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36A03A2"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0FC85E18" w:rsidR="00447E69" w:rsidRDefault="00E04650">
            <w:pPr>
              <w:rPr>
                <w:b/>
              </w:rPr>
            </w:pPr>
            <w:r>
              <w:rPr>
                <w:b/>
              </w:rPr>
              <w:t>UTSKOTTSSAMMANTRÄDE 20</w:t>
            </w:r>
            <w:r w:rsidR="00BD09A6">
              <w:rPr>
                <w:b/>
              </w:rPr>
              <w:t>2</w:t>
            </w:r>
            <w:r w:rsidR="00135867">
              <w:rPr>
                <w:b/>
              </w:rPr>
              <w:t>5</w:t>
            </w:r>
            <w:r w:rsidR="00E362AB">
              <w:rPr>
                <w:b/>
              </w:rPr>
              <w:t>/2</w:t>
            </w:r>
            <w:r w:rsidR="00135867">
              <w:rPr>
                <w:b/>
              </w:rPr>
              <w:t>6</w:t>
            </w:r>
            <w:r w:rsidR="00520D71">
              <w:rPr>
                <w:b/>
              </w:rPr>
              <w:t>:</w:t>
            </w:r>
            <w:r w:rsidR="00EC0FFD">
              <w:rPr>
                <w:b/>
              </w:rPr>
              <w:t>13</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1B31BE82" w:rsidR="00447E69" w:rsidRDefault="00BB7028" w:rsidP="007765ED">
            <w:r>
              <w:t>20</w:t>
            </w:r>
            <w:r w:rsidR="005F0E85">
              <w:t>2</w:t>
            </w:r>
            <w:r w:rsidR="002406D5">
              <w:t>5</w:t>
            </w:r>
            <w:r w:rsidR="00520D71">
              <w:t>-</w:t>
            </w:r>
            <w:r w:rsidR="00EC0FFD">
              <w:t>11</w:t>
            </w:r>
            <w:r w:rsidR="00520D71">
              <w:t>-</w:t>
            </w:r>
            <w:r w:rsidR="00EC0FFD">
              <w:t>25</w:t>
            </w:r>
          </w:p>
        </w:tc>
      </w:tr>
      <w:tr w:rsidR="00447E69" w14:paraId="55018730" w14:textId="77777777">
        <w:tc>
          <w:tcPr>
            <w:tcW w:w="1985" w:type="dxa"/>
          </w:tcPr>
          <w:p w14:paraId="664E9CD2" w14:textId="77777777" w:rsidR="00447E69" w:rsidRDefault="00447E69">
            <w:r>
              <w:t>TID</w:t>
            </w:r>
          </w:p>
        </w:tc>
        <w:tc>
          <w:tcPr>
            <w:tcW w:w="6463" w:type="dxa"/>
          </w:tcPr>
          <w:p w14:paraId="70E324A3" w14:textId="2F7B9CFC" w:rsidR="00447E69" w:rsidRDefault="00EC0FFD">
            <w:r>
              <w:t>11</w:t>
            </w:r>
            <w:r w:rsidR="00306F1B">
              <w:t>:00</w:t>
            </w:r>
            <w:r w:rsidR="00FA543D">
              <w:t>–</w:t>
            </w:r>
            <w:r w:rsidR="00FC3F17" w:rsidRPr="00FC3F17">
              <w:t>11</w:t>
            </w:r>
            <w:r w:rsidR="00A77DB6" w:rsidRPr="00FC3F17">
              <w:t>:</w:t>
            </w:r>
            <w:r w:rsidR="00FC3F17" w:rsidRPr="00FC3F17">
              <w:t>55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35867" w14:paraId="51DF6958" w14:textId="77777777" w:rsidTr="0001177E">
        <w:tc>
          <w:tcPr>
            <w:tcW w:w="567" w:type="dxa"/>
          </w:tcPr>
          <w:p w14:paraId="15D71B81" w14:textId="77777777" w:rsidR="00135867" w:rsidRPr="003B4DE8" w:rsidRDefault="00135867" w:rsidP="003B4DE8">
            <w:pPr>
              <w:pStyle w:val="Liststycke"/>
              <w:numPr>
                <w:ilvl w:val="0"/>
                <w:numId w:val="2"/>
              </w:numPr>
              <w:tabs>
                <w:tab w:val="left" w:pos="1701"/>
              </w:tabs>
              <w:rPr>
                <w:b/>
                <w:snapToGrid w:val="0"/>
              </w:rPr>
            </w:pPr>
          </w:p>
        </w:tc>
        <w:tc>
          <w:tcPr>
            <w:tcW w:w="6946" w:type="dxa"/>
            <w:gridSpan w:val="2"/>
          </w:tcPr>
          <w:p w14:paraId="7377B40B" w14:textId="77777777" w:rsidR="00135867" w:rsidRDefault="00EC0FFD">
            <w:pPr>
              <w:tabs>
                <w:tab w:val="left" w:pos="1701"/>
              </w:tabs>
              <w:rPr>
                <w:b/>
                <w:snapToGrid w:val="0"/>
              </w:rPr>
            </w:pPr>
            <w:r w:rsidRPr="00EC0FFD">
              <w:rPr>
                <w:b/>
                <w:snapToGrid w:val="0"/>
              </w:rPr>
              <w:t>EU-överläggning om förslag till ändring av förordningen om det gemensamma företaget för ett europeiskt högpresterande datorsystem (</w:t>
            </w:r>
            <w:proofErr w:type="spellStart"/>
            <w:r w:rsidRPr="00EC0FFD">
              <w:rPr>
                <w:b/>
                <w:snapToGrid w:val="0"/>
              </w:rPr>
              <w:t>EuroHPC</w:t>
            </w:r>
            <w:proofErr w:type="spellEnd"/>
            <w:r w:rsidRPr="00EC0FFD">
              <w:rPr>
                <w:b/>
                <w:snapToGrid w:val="0"/>
              </w:rPr>
              <w:t>)</w:t>
            </w:r>
          </w:p>
          <w:p w14:paraId="549A5316" w14:textId="77777777" w:rsidR="00EC0FFD" w:rsidRDefault="00EC0FFD">
            <w:pPr>
              <w:tabs>
                <w:tab w:val="left" w:pos="1701"/>
              </w:tabs>
              <w:rPr>
                <w:b/>
                <w:snapToGrid w:val="0"/>
              </w:rPr>
            </w:pPr>
          </w:p>
          <w:p w14:paraId="40F7310A" w14:textId="4CB41A7C" w:rsidR="00121E7B" w:rsidRDefault="00121E7B">
            <w:pPr>
              <w:tabs>
                <w:tab w:val="left" w:pos="1701"/>
              </w:tabs>
              <w:rPr>
                <w:b/>
                <w:snapToGrid w:val="0"/>
              </w:rPr>
            </w:pPr>
            <w:r>
              <w:rPr>
                <w:bCs/>
                <w:snapToGrid w:val="0"/>
                <w:szCs w:val="24"/>
              </w:rPr>
              <w:t>Utskottet överlade med gymnasie-, högskole- och forskningsminister Lotta Edholm, biträdd av medarbetare från Utbildningsdepartementet, om et</w:t>
            </w:r>
            <w:r w:rsidRPr="00121E7B">
              <w:rPr>
                <w:bCs/>
                <w:snapToGrid w:val="0"/>
                <w:szCs w:val="24"/>
              </w:rPr>
              <w:t xml:space="preserve">t </w:t>
            </w:r>
            <w:r w:rsidRPr="00121E7B">
              <w:rPr>
                <w:bCs/>
                <w:snapToGrid w:val="0"/>
              </w:rPr>
              <w:t>förslag till ändring av förordningen om det gemensamma företaget för ett europeiskt högpresterande datorsystem (</w:t>
            </w:r>
            <w:proofErr w:type="spellStart"/>
            <w:r w:rsidRPr="00121E7B">
              <w:rPr>
                <w:bCs/>
                <w:snapToGrid w:val="0"/>
              </w:rPr>
              <w:t>EuroHPC</w:t>
            </w:r>
            <w:proofErr w:type="spellEnd"/>
            <w:r w:rsidRPr="00121E7B">
              <w:rPr>
                <w:bCs/>
                <w:snapToGrid w:val="0"/>
              </w:rPr>
              <w:t>).</w:t>
            </w:r>
          </w:p>
          <w:p w14:paraId="20ED6035" w14:textId="589E0915" w:rsidR="00121E7B" w:rsidRDefault="00121E7B">
            <w:pPr>
              <w:tabs>
                <w:tab w:val="left" w:pos="1701"/>
              </w:tabs>
              <w:rPr>
                <w:b/>
                <w:snapToGrid w:val="0"/>
              </w:rPr>
            </w:pPr>
          </w:p>
          <w:p w14:paraId="154D33C7" w14:textId="77777777" w:rsidR="00121E7B" w:rsidRDefault="00121E7B" w:rsidP="00121E7B">
            <w:pPr>
              <w:tabs>
                <w:tab w:val="left" w:pos="1701"/>
              </w:tabs>
              <w:rPr>
                <w:bCs/>
                <w:i/>
                <w:iCs/>
                <w:snapToGrid w:val="0"/>
                <w:szCs w:val="24"/>
              </w:rPr>
            </w:pPr>
            <w:r>
              <w:rPr>
                <w:bCs/>
                <w:i/>
                <w:iCs/>
                <w:snapToGrid w:val="0"/>
                <w:szCs w:val="24"/>
              </w:rPr>
              <w:t>Underlag för överläggningen</w:t>
            </w:r>
          </w:p>
          <w:p w14:paraId="63586ABB" w14:textId="77777777" w:rsidR="00121E7B" w:rsidRPr="00121E7B" w:rsidRDefault="00121E7B" w:rsidP="00121E7B">
            <w:pPr>
              <w:tabs>
                <w:tab w:val="left" w:pos="1701"/>
              </w:tabs>
              <w:rPr>
                <w:bCs/>
                <w:snapToGrid w:val="0"/>
              </w:rPr>
            </w:pPr>
            <w:r w:rsidRPr="00121E7B">
              <w:rPr>
                <w:bCs/>
                <w:snapToGrid w:val="0"/>
              </w:rPr>
              <w:t xml:space="preserve">Överläggningspromemoria från Utbildningsdepartementet (dnr </w:t>
            </w:r>
            <w:proofErr w:type="gramStart"/>
            <w:r w:rsidRPr="00121E7B">
              <w:rPr>
                <w:bCs/>
                <w:snapToGrid w:val="0"/>
              </w:rPr>
              <w:t>616-2025</w:t>
            </w:r>
            <w:proofErr w:type="gramEnd"/>
            <w:r w:rsidRPr="00121E7B">
              <w:rPr>
                <w:bCs/>
                <w:snapToGrid w:val="0"/>
              </w:rPr>
              <w:t>/26)</w:t>
            </w:r>
          </w:p>
          <w:p w14:paraId="52036944" w14:textId="77777777" w:rsidR="00121E7B" w:rsidRPr="00121E7B" w:rsidRDefault="00121E7B" w:rsidP="00121E7B">
            <w:pPr>
              <w:tabs>
                <w:tab w:val="left" w:pos="1701"/>
              </w:tabs>
              <w:rPr>
                <w:bCs/>
                <w:snapToGrid w:val="0"/>
              </w:rPr>
            </w:pPr>
            <w:r w:rsidRPr="00121E7B">
              <w:rPr>
                <w:bCs/>
                <w:snapToGrid w:val="0"/>
              </w:rPr>
              <w:t>Rådsdokument 15072/25</w:t>
            </w:r>
          </w:p>
          <w:p w14:paraId="41CF53D5" w14:textId="67EA2DAB" w:rsidR="00121E7B" w:rsidRPr="00121E7B" w:rsidRDefault="00121E7B" w:rsidP="00121E7B">
            <w:pPr>
              <w:tabs>
                <w:tab w:val="left" w:pos="1701"/>
              </w:tabs>
              <w:rPr>
                <w:bCs/>
                <w:snapToGrid w:val="0"/>
              </w:rPr>
            </w:pPr>
            <w:proofErr w:type="gramStart"/>
            <w:r w:rsidRPr="00121E7B">
              <w:rPr>
                <w:bCs/>
                <w:snapToGrid w:val="0"/>
              </w:rPr>
              <w:t>COM(</w:t>
            </w:r>
            <w:proofErr w:type="gramEnd"/>
            <w:r w:rsidRPr="00121E7B">
              <w:rPr>
                <w:bCs/>
                <w:snapToGrid w:val="0"/>
              </w:rPr>
              <w:t>2025) 414</w:t>
            </w:r>
          </w:p>
          <w:p w14:paraId="7C898D98" w14:textId="4409F21C" w:rsidR="00121E7B" w:rsidRDefault="00121E7B">
            <w:pPr>
              <w:tabs>
                <w:tab w:val="left" w:pos="1701"/>
              </w:tabs>
              <w:rPr>
                <w:b/>
                <w:snapToGrid w:val="0"/>
              </w:rPr>
            </w:pPr>
          </w:p>
          <w:p w14:paraId="063185F5" w14:textId="77777777" w:rsidR="00121E7B" w:rsidRDefault="00121E7B" w:rsidP="00121E7B">
            <w:pPr>
              <w:tabs>
                <w:tab w:val="left" w:pos="1701"/>
              </w:tabs>
              <w:rPr>
                <w:bCs/>
                <w:i/>
                <w:iCs/>
                <w:snapToGrid w:val="0"/>
                <w:szCs w:val="24"/>
              </w:rPr>
            </w:pPr>
            <w:r>
              <w:rPr>
                <w:bCs/>
                <w:i/>
                <w:iCs/>
                <w:snapToGrid w:val="0"/>
                <w:szCs w:val="24"/>
              </w:rPr>
              <w:t>Regeringens förslag till svensk ståndpunkt</w:t>
            </w:r>
          </w:p>
          <w:p w14:paraId="1FD68168" w14:textId="77777777" w:rsidR="00121E7B" w:rsidRPr="00121E7B" w:rsidRDefault="00121E7B" w:rsidP="00121E7B">
            <w:pPr>
              <w:tabs>
                <w:tab w:val="left" w:pos="1701"/>
              </w:tabs>
              <w:rPr>
                <w:bCs/>
                <w:snapToGrid w:val="0"/>
                <w:szCs w:val="24"/>
              </w:rPr>
            </w:pPr>
            <w:r w:rsidRPr="00121E7B">
              <w:rPr>
                <w:bCs/>
                <w:snapToGrid w:val="0"/>
                <w:szCs w:val="24"/>
              </w:rPr>
              <w:t>Sverige välkomnar initiativet som strategiskt viktigt för EU.</w:t>
            </w:r>
          </w:p>
          <w:p w14:paraId="032F33F9" w14:textId="77777777" w:rsidR="00121E7B" w:rsidRPr="00121E7B" w:rsidRDefault="00121E7B" w:rsidP="00121E7B">
            <w:pPr>
              <w:tabs>
                <w:tab w:val="left" w:pos="1701"/>
              </w:tabs>
              <w:rPr>
                <w:bCs/>
                <w:snapToGrid w:val="0"/>
                <w:szCs w:val="24"/>
              </w:rPr>
            </w:pPr>
          </w:p>
          <w:p w14:paraId="44E98BFB" w14:textId="77777777" w:rsidR="00121E7B" w:rsidRPr="00121E7B" w:rsidRDefault="00121E7B" w:rsidP="00121E7B">
            <w:pPr>
              <w:tabs>
                <w:tab w:val="left" w:pos="1701"/>
              </w:tabs>
              <w:rPr>
                <w:bCs/>
                <w:snapToGrid w:val="0"/>
                <w:szCs w:val="24"/>
              </w:rPr>
            </w:pPr>
            <w:r w:rsidRPr="00121E7B">
              <w:rPr>
                <w:bCs/>
                <w:snapToGrid w:val="0"/>
                <w:szCs w:val="24"/>
              </w:rPr>
              <w:t>Sverige har särskilt goda förutsättningar för datacenter utifrån bland annat tillgången till fossilfri energi, digital kapacitet och robust digital infrastruktur, samt dokumenterad kompetens och förmåga att bygga datacenter. Dessa faktorer kan möjliggöra etablering av ytterligare AI-relaterade satsningar och kan bidra till att attrahera internationella investeringar.</w:t>
            </w:r>
          </w:p>
          <w:p w14:paraId="4EAC02B0" w14:textId="77777777" w:rsidR="00121E7B" w:rsidRPr="00121E7B" w:rsidRDefault="00121E7B" w:rsidP="00121E7B">
            <w:pPr>
              <w:tabs>
                <w:tab w:val="left" w:pos="1701"/>
              </w:tabs>
              <w:rPr>
                <w:bCs/>
                <w:snapToGrid w:val="0"/>
                <w:szCs w:val="24"/>
              </w:rPr>
            </w:pPr>
          </w:p>
          <w:p w14:paraId="37EFF700" w14:textId="77777777" w:rsidR="00121E7B" w:rsidRPr="00121E7B" w:rsidRDefault="00121E7B" w:rsidP="00121E7B">
            <w:pPr>
              <w:tabs>
                <w:tab w:val="left" w:pos="1701"/>
              </w:tabs>
              <w:rPr>
                <w:bCs/>
                <w:snapToGrid w:val="0"/>
                <w:szCs w:val="24"/>
              </w:rPr>
            </w:pPr>
            <w:r w:rsidRPr="00121E7B">
              <w:rPr>
                <w:bCs/>
                <w:snapToGrid w:val="0"/>
                <w:szCs w:val="24"/>
              </w:rPr>
              <w:t xml:space="preserve">Regeringen anser att samtliga större satsningar kopplat till </w:t>
            </w:r>
            <w:proofErr w:type="spellStart"/>
            <w:r w:rsidRPr="00121E7B">
              <w:rPr>
                <w:bCs/>
                <w:snapToGrid w:val="0"/>
                <w:szCs w:val="24"/>
              </w:rPr>
              <w:t>EuroHPC</w:t>
            </w:r>
            <w:proofErr w:type="spellEnd"/>
            <w:r w:rsidRPr="00121E7B">
              <w:rPr>
                <w:bCs/>
                <w:snapToGrid w:val="0"/>
                <w:szCs w:val="24"/>
              </w:rPr>
              <w:t xml:space="preserve"> bör analyseras avseende transparens, finansiering och rollfördelning mellan forskning, industri och infrastruktur. Vidare att AI-gigafabriker inte bör försörjas med fossila energikällor. Bedömningen av ansökningar om sådan etablering bör därför väga in anläggningars klimatpåverkan och EU:s Fit for 55 agenda.</w:t>
            </w:r>
          </w:p>
          <w:p w14:paraId="0BE38568" w14:textId="77777777" w:rsidR="00121E7B" w:rsidRPr="00121E7B" w:rsidRDefault="00121E7B" w:rsidP="00121E7B">
            <w:pPr>
              <w:tabs>
                <w:tab w:val="left" w:pos="1701"/>
              </w:tabs>
              <w:rPr>
                <w:bCs/>
                <w:snapToGrid w:val="0"/>
                <w:szCs w:val="24"/>
              </w:rPr>
            </w:pPr>
          </w:p>
          <w:p w14:paraId="3281A86B" w14:textId="77777777" w:rsidR="00121E7B" w:rsidRPr="00121E7B" w:rsidRDefault="00121E7B" w:rsidP="00121E7B">
            <w:pPr>
              <w:tabs>
                <w:tab w:val="left" w:pos="1701"/>
              </w:tabs>
              <w:rPr>
                <w:bCs/>
                <w:snapToGrid w:val="0"/>
                <w:szCs w:val="24"/>
              </w:rPr>
            </w:pPr>
            <w:r w:rsidRPr="00121E7B">
              <w:rPr>
                <w:bCs/>
                <w:snapToGrid w:val="0"/>
                <w:szCs w:val="24"/>
              </w:rPr>
              <w:t>Regeringen förespråkar att bedömningsprocessen för AI-gigafabriker inkluderar uppföljningsbara mål, oberoende utvärdering, tydliga beskrivningar av storleken och möjliga placeringar av anläggningarna utifrån tillgänglig elektrisk infrastruktur och tillgänglig energi samt att beslut om finansiering grundas på objektiva och transparenta konsekvensanalyser.</w:t>
            </w:r>
          </w:p>
          <w:p w14:paraId="3326EF35" w14:textId="77777777" w:rsidR="00121E7B" w:rsidRPr="00121E7B" w:rsidRDefault="00121E7B" w:rsidP="00121E7B">
            <w:pPr>
              <w:tabs>
                <w:tab w:val="left" w:pos="1701"/>
              </w:tabs>
              <w:rPr>
                <w:bCs/>
                <w:snapToGrid w:val="0"/>
                <w:szCs w:val="24"/>
              </w:rPr>
            </w:pPr>
          </w:p>
          <w:p w14:paraId="4C99F99B" w14:textId="3EF60536" w:rsidR="00121E7B" w:rsidRDefault="00121E7B">
            <w:pPr>
              <w:tabs>
                <w:tab w:val="left" w:pos="1701"/>
              </w:tabs>
              <w:rPr>
                <w:b/>
                <w:snapToGrid w:val="0"/>
              </w:rPr>
            </w:pPr>
            <w:r w:rsidRPr="00121E7B">
              <w:rPr>
                <w:bCs/>
                <w:snapToGrid w:val="0"/>
                <w:szCs w:val="24"/>
              </w:rPr>
              <w:lastRenderedPageBreak/>
              <w:t xml:space="preserve">Utgiftsdrivande åtgärder på EU-budgeten behöver finansieras genom omprioriteringar i den fleråriga budgetramen (MFF). Regeringen noterar att budgetära omprioriteringar aviseras i förslaget med upp till 1 600 miljoner euro från ramprogrammet för forskning och innovation, Horisont Europa, 2 142 miljoner från programmet för det digitala </w:t>
            </w:r>
            <w:proofErr w:type="spellStart"/>
            <w:r w:rsidRPr="00121E7B">
              <w:rPr>
                <w:bCs/>
                <w:snapToGrid w:val="0"/>
                <w:szCs w:val="24"/>
              </w:rPr>
              <w:t>europa</w:t>
            </w:r>
            <w:proofErr w:type="spellEnd"/>
            <w:r w:rsidRPr="00121E7B">
              <w:rPr>
                <w:bCs/>
                <w:snapToGrid w:val="0"/>
                <w:szCs w:val="24"/>
              </w:rPr>
              <w:t xml:space="preserve">, och 320 miljoner </w:t>
            </w:r>
            <w:r w:rsidRPr="00121E7B">
              <w:rPr>
                <w:szCs w:val="24"/>
              </w:rPr>
              <w:t xml:space="preserve">från fonden för det sammanlänkade </w:t>
            </w:r>
            <w:proofErr w:type="spellStart"/>
            <w:r w:rsidRPr="00121E7B">
              <w:rPr>
                <w:szCs w:val="24"/>
              </w:rPr>
              <w:t>europa</w:t>
            </w:r>
            <w:proofErr w:type="spellEnd"/>
            <w:r w:rsidRPr="00121E7B">
              <w:rPr>
                <w:szCs w:val="24"/>
              </w:rPr>
              <w:t xml:space="preserve"> för att finansiera AI-gigafabriker. För Sverige är det högsta prioritet att säkerställa att excellens är grunden i ramprogrammet och att maximera budgetnyttan för detta. EU:s internationella konkurrenskraft ska stärkas genom att allokera budgetmedlen med ett ständigt fokus på excellens i alla forsknings- och innovationsinitiativ. Detta inkluderar att förhindra att budget från Horisont Europa används för annat än forskning och innovation. Omfördelning av medel till nya initiativ, såsom AI Gigafabriker, bör endast ske efter att det finns tydlig evidens för vetenskapligt och samhälleligt värde. </w:t>
            </w:r>
          </w:p>
          <w:p w14:paraId="72A06B21" w14:textId="0F3AC521" w:rsidR="00121E7B" w:rsidRDefault="00121E7B">
            <w:pPr>
              <w:tabs>
                <w:tab w:val="left" w:pos="1701"/>
              </w:tabs>
              <w:rPr>
                <w:b/>
                <w:snapToGrid w:val="0"/>
              </w:rPr>
            </w:pPr>
          </w:p>
          <w:p w14:paraId="732214FC" w14:textId="77777777" w:rsidR="00121E7B" w:rsidRDefault="00121E7B" w:rsidP="00121E7B">
            <w:pPr>
              <w:tabs>
                <w:tab w:val="left" w:pos="1701"/>
              </w:tabs>
              <w:rPr>
                <w:bCs/>
                <w:i/>
                <w:iCs/>
                <w:snapToGrid w:val="0"/>
                <w:szCs w:val="24"/>
              </w:rPr>
            </w:pPr>
            <w:r>
              <w:rPr>
                <w:bCs/>
                <w:i/>
                <w:iCs/>
                <w:snapToGrid w:val="0"/>
                <w:szCs w:val="24"/>
              </w:rPr>
              <w:t>Överläggningen</w:t>
            </w:r>
          </w:p>
          <w:p w14:paraId="5CA94B71" w14:textId="0C42783D" w:rsidR="00121E7B" w:rsidRDefault="00121E7B">
            <w:pPr>
              <w:tabs>
                <w:tab w:val="left" w:pos="1701"/>
              </w:tabs>
              <w:rPr>
                <w:b/>
                <w:snapToGrid w:val="0"/>
              </w:rPr>
            </w:pPr>
            <w:r>
              <w:rPr>
                <w:bCs/>
                <w:szCs w:val="24"/>
              </w:rPr>
              <w:t>Ordföranden konstaterade att det fanns stöd för regeringens ståndpunkt.</w:t>
            </w:r>
          </w:p>
          <w:p w14:paraId="7846DED4" w14:textId="6621274B" w:rsidR="00121E7B" w:rsidRDefault="00121E7B">
            <w:pPr>
              <w:tabs>
                <w:tab w:val="left" w:pos="1701"/>
              </w:tabs>
              <w:rPr>
                <w:b/>
                <w:snapToGrid w:val="0"/>
              </w:rPr>
            </w:pPr>
          </w:p>
        </w:tc>
      </w:tr>
      <w:tr w:rsidR="00135867" w14:paraId="37BF61E1" w14:textId="77777777" w:rsidTr="0001177E">
        <w:tc>
          <w:tcPr>
            <w:tcW w:w="567" w:type="dxa"/>
          </w:tcPr>
          <w:p w14:paraId="4D916E9D" w14:textId="77777777" w:rsidR="00135867" w:rsidRPr="003B4DE8" w:rsidRDefault="00135867" w:rsidP="003B4DE8">
            <w:pPr>
              <w:pStyle w:val="Liststycke"/>
              <w:numPr>
                <w:ilvl w:val="0"/>
                <w:numId w:val="2"/>
              </w:numPr>
              <w:tabs>
                <w:tab w:val="left" w:pos="1701"/>
              </w:tabs>
              <w:rPr>
                <w:b/>
                <w:snapToGrid w:val="0"/>
              </w:rPr>
            </w:pPr>
          </w:p>
        </w:tc>
        <w:tc>
          <w:tcPr>
            <w:tcW w:w="6946" w:type="dxa"/>
            <w:gridSpan w:val="2"/>
          </w:tcPr>
          <w:p w14:paraId="533A11D2" w14:textId="77777777" w:rsidR="00135867" w:rsidRPr="00121E7B" w:rsidRDefault="00EC0FFD">
            <w:pPr>
              <w:tabs>
                <w:tab w:val="left" w:pos="1701"/>
              </w:tabs>
              <w:rPr>
                <w:b/>
                <w:snapToGrid w:val="0"/>
                <w:szCs w:val="24"/>
              </w:rPr>
            </w:pPr>
            <w:r w:rsidRPr="00121E7B">
              <w:rPr>
                <w:b/>
                <w:snapToGrid w:val="0"/>
                <w:szCs w:val="24"/>
              </w:rPr>
              <w:t xml:space="preserve">EU-överläggning om förslag till förordning om </w:t>
            </w:r>
            <w:proofErr w:type="gramStart"/>
            <w:r w:rsidRPr="00121E7B">
              <w:rPr>
                <w:b/>
                <w:snapToGrid w:val="0"/>
                <w:szCs w:val="24"/>
              </w:rPr>
              <w:t>Europeiska</w:t>
            </w:r>
            <w:proofErr w:type="gramEnd"/>
            <w:r w:rsidRPr="00121E7B">
              <w:rPr>
                <w:b/>
                <w:snapToGrid w:val="0"/>
                <w:szCs w:val="24"/>
              </w:rPr>
              <w:t xml:space="preserve"> atomenergigemenskapens (Euratom) forsknings- och utbildningsprogram 2028–2032</w:t>
            </w:r>
          </w:p>
          <w:p w14:paraId="2C2CA6F6" w14:textId="77777777" w:rsidR="00EC0FFD" w:rsidRPr="00121E7B" w:rsidRDefault="00EC0FFD">
            <w:pPr>
              <w:tabs>
                <w:tab w:val="left" w:pos="1701"/>
              </w:tabs>
              <w:rPr>
                <w:b/>
                <w:snapToGrid w:val="0"/>
                <w:szCs w:val="24"/>
              </w:rPr>
            </w:pPr>
          </w:p>
          <w:p w14:paraId="3DCDC089" w14:textId="690BB777" w:rsidR="00121E7B" w:rsidRPr="00121E7B" w:rsidRDefault="00121E7B">
            <w:pPr>
              <w:tabs>
                <w:tab w:val="left" w:pos="1701"/>
              </w:tabs>
              <w:rPr>
                <w:bCs/>
                <w:snapToGrid w:val="0"/>
                <w:szCs w:val="24"/>
              </w:rPr>
            </w:pPr>
            <w:r w:rsidRPr="00121E7B">
              <w:rPr>
                <w:bCs/>
                <w:snapToGrid w:val="0"/>
                <w:szCs w:val="24"/>
              </w:rPr>
              <w:t xml:space="preserve">Utskottet överlade med gymnasie-, högskole- och forskningsminister Lotta Edholm, biträdd av medarbetare från Utbildningsdepartementet, om ett förslag till förordning om </w:t>
            </w:r>
            <w:proofErr w:type="gramStart"/>
            <w:r w:rsidRPr="00121E7B">
              <w:rPr>
                <w:bCs/>
                <w:snapToGrid w:val="0"/>
                <w:szCs w:val="24"/>
              </w:rPr>
              <w:t>Europeiska</w:t>
            </w:r>
            <w:proofErr w:type="gramEnd"/>
            <w:r w:rsidRPr="00121E7B">
              <w:rPr>
                <w:bCs/>
                <w:snapToGrid w:val="0"/>
                <w:szCs w:val="24"/>
              </w:rPr>
              <w:t xml:space="preserve"> atomenergigemenskapens (Euratom) forsknings- och utbildningsprogram 2028–2032.</w:t>
            </w:r>
          </w:p>
          <w:p w14:paraId="018A40DA" w14:textId="2FE69EE6" w:rsidR="00121E7B" w:rsidRPr="00121E7B" w:rsidRDefault="00121E7B">
            <w:pPr>
              <w:tabs>
                <w:tab w:val="left" w:pos="1701"/>
              </w:tabs>
              <w:rPr>
                <w:bCs/>
                <w:snapToGrid w:val="0"/>
                <w:szCs w:val="24"/>
              </w:rPr>
            </w:pPr>
          </w:p>
          <w:p w14:paraId="1C01FED1" w14:textId="77777777" w:rsidR="00121E7B" w:rsidRPr="00121E7B" w:rsidRDefault="00121E7B" w:rsidP="00121E7B">
            <w:pPr>
              <w:tabs>
                <w:tab w:val="left" w:pos="1701"/>
              </w:tabs>
              <w:rPr>
                <w:bCs/>
                <w:i/>
                <w:iCs/>
                <w:snapToGrid w:val="0"/>
                <w:szCs w:val="24"/>
              </w:rPr>
            </w:pPr>
            <w:r w:rsidRPr="00121E7B">
              <w:rPr>
                <w:bCs/>
                <w:i/>
                <w:iCs/>
                <w:snapToGrid w:val="0"/>
                <w:szCs w:val="24"/>
              </w:rPr>
              <w:t>Underlag för överläggningen</w:t>
            </w:r>
          </w:p>
          <w:p w14:paraId="3E54BDA8" w14:textId="77777777" w:rsidR="00121E7B" w:rsidRPr="00121E7B" w:rsidRDefault="00121E7B" w:rsidP="00121E7B">
            <w:pPr>
              <w:tabs>
                <w:tab w:val="left" w:pos="1701"/>
              </w:tabs>
              <w:rPr>
                <w:bCs/>
                <w:snapToGrid w:val="0"/>
                <w:szCs w:val="24"/>
              </w:rPr>
            </w:pPr>
            <w:r w:rsidRPr="00121E7B">
              <w:rPr>
                <w:bCs/>
                <w:snapToGrid w:val="0"/>
                <w:szCs w:val="24"/>
              </w:rPr>
              <w:t xml:space="preserve">Överläggningspromemoria från Utbildningsdepartementet (dnr </w:t>
            </w:r>
            <w:proofErr w:type="gramStart"/>
            <w:r w:rsidRPr="00121E7B">
              <w:rPr>
                <w:bCs/>
                <w:snapToGrid w:val="0"/>
                <w:szCs w:val="24"/>
              </w:rPr>
              <w:t>617-2025</w:t>
            </w:r>
            <w:proofErr w:type="gramEnd"/>
            <w:r w:rsidRPr="00121E7B">
              <w:rPr>
                <w:bCs/>
                <w:snapToGrid w:val="0"/>
                <w:szCs w:val="24"/>
              </w:rPr>
              <w:t>/26)</w:t>
            </w:r>
          </w:p>
          <w:p w14:paraId="3D6A9DC5" w14:textId="53FC9921" w:rsidR="00121E7B" w:rsidRPr="00121E7B" w:rsidRDefault="00121E7B" w:rsidP="00121E7B">
            <w:pPr>
              <w:tabs>
                <w:tab w:val="left" w:pos="1701"/>
              </w:tabs>
              <w:rPr>
                <w:bCs/>
                <w:snapToGrid w:val="0"/>
                <w:szCs w:val="24"/>
              </w:rPr>
            </w:pPr>
            <w:proofErr w:type="gramStart"/>
            <w:r w:rsidRPr="00121E7B">
              <w:rPr>
                <w:bCs/>
                <w:snapToGrid w:val="0"/>
                <w:szCs w:val="24"/>
              </w:rPr>
              <w:t>COM(</w:t>
            </w:r>
            <w:proofErr w:type="gramEnd"/>
            <w:r w:rsidRPr="00121E7B">
              <w:rPr>
                <w:bCs/>
                <w:snapToGrid w:val="0"/>
                <w:szCs w:val="24"/>
              </w:rPr>
              <w:t>2025) 594</w:t>
            </w:r>
          </w:p>
          <w:p w14:paraId="77E71A9B" w14:textId="77F492F5" w:rsidR="00121E7B" w:rsidRPr="00121E7B" w:rsidRDefault="00121E7B">
            <w:pPr>
              <w:tabs>
                <w:tab w:val="left" w:pos="1701"/>
              </w:tabs>
              <w:rPr>
                <w:bCs/>
                <w:snapToGrid w:val="0"/>
                <w:szCs w:val="24"/>
              </w:rPr>
            </w:pPr>
          </w:p>
          <w:p w14:paraId="380E04F5" w14:textId="77777777" w:rsidR="00121E7B" w:rsidRPr="00121E7B" w:rsidRDefault="00121E7B" w:rsidP="00121E7B">
            <w:pPr>
              <w:tabs>
                <w:tab w:val="left" w:pos="1701"/>
              </w:tabs>
              <w:rPr>
                <w:bCs/>
                <w:i/>
                <w:iCs/>
                <w:snapToGrid w:val="0"/>
                <w:szCs w:val="24"/>
              </w:rPr>
            </w:pPr>
            <w:r w:rsidRPr="00121E7B">
              <w:rPr>
                <w:bCs/>
                <w:i/>
                <w:iCs/>
                <w:snapToGrid w:val="0"/>
                <w:szCs w:val="24"/>
              </w:rPr>
              <w:t>Regeringens förslag till svensk ståndpunkt</w:t>
            </w:r>
          </w:p>
          <w:p w14:paraId="30FC3333" w14:textId="1E6CDE84" w:rsidR="00121E7B" w:rsidRDefault="00121E7B">
            <w:pPr>
              <w:tabs>
                <w:tab w:val="left" w:pos="1701"/>
              </w:tabs>
              <w:rPr>
                <w:sz w:val="25"/>
                <w:szCs w:val="25"/>
              </w:rPr>
            </w:pPr>
            <w:r>
              <w:rPr>
                <w:sz w:val="25"/>
                <w:szCs w:val="25"/>
              </w:rPr>
              <w:t>Regeringens ståndpunkter avseende övergripande principer för den fleråriga budgetramen och dess storlek, inklusive för enskilda fonder och program, behandlas i faktapromemoria 2025/</w:t>
            </w:r>
            <w:proofErr w:type="gramStart"/>
            <w:r>
              <w:rPr>
                <w:sz w:val="25"/>
                <w:szCs w:val="25"/>
              </w:rPr>
              <w:t>26:FPM</w:t>
            </w:r>
            <w:proofErr w:type="gramEnd"/>
            <w:r>
              <w:rPr>
                <w:sz w:val="25"/>
                <w:szCs w:val="25"/>
              </w:rPr>
              <w:t xml:space="preserve">3. </w:t>
            </w:r>
          </w:p>
          <w:p w14:paraId="51A12579" w14:textId="2E2783A7" w:rsidR="00121E7B" w:rsidRDefault="00121E7B">
            <w:pPr>
              <w:tabs>
                <w:tab w:val="left" w:pos="1701"/>
              </w:tabs>
              <w:rPr>
                <w:sz w:val="25"/>
                <w:szCs w:val="25"/>
              </w:rPr>
            </w:pPr>
          </w:p>
          <w:p w14:paraId="3CF25856" w14:textId="463C1922" w:rsidR="00121E7B" w:rsidRDefault="00121E7B">
            <w:pPr>
              <w:tabs>
                <w:tab w:val="left" w:pos="1701"/>
              </w:tabs>
              <w:rPr>
                <w:sz w:val="25"/>
                <w:szCs w:val="25"/>
              </w:rPr>
            </w:pPr>
            <w:r>
              <w:rPr>
                <w:sz w:val="25"/>
                <w:szCs w:val="25"/>
              </w:rPr>
              <w:t xml:space="preserve">Regeringen välkomnar förslagets inriktning. Det är angeläget att forskningssatsningar inom Euratom kan fortsätta och utvecklas för att svara mot mål kopplade till konkurrenskraft och klimatomställning. Regeringen ser samtidigt positivt på att forskning om kärnsäkerhet och strålskydd fortsatt intar en central position i programmet, för att skydda människor och miljö. Samtidigt bör programmets utökade inriktning mot samarbete med privata aktörer välkomnas, inte minst med tanke på behovet av att gå från grundforskning till tillämpning, bl.a. inom fusionsforskningen. Regeringen anser att programmet även bör stötta vidareutvecklingen av säker fissionsteknik, t ex för små </w:t>
            </w:r>
            <w:proofErr w:type="spellStart"/>
            <w:r>
              <w:rPr>
                <w:sz w:val="25"/>
                <w:szCs w:val="25"/>
              </w:rPr>
              <w:t>modulära</w:t>
            </w:r>
            <w:proofErr w:type="spellEnd"/>
            <w:r>
              <w:rPr>
                <w:sz w:val="25"/>
                <w:szCs w:val="25"/>
              </w:rPr>
              <w:t xml:space="preserve"> reaktorer (SMR). </w:t>
            </w:r>
          </w:p>
          <w:p w14:paraId="0A9D1129" w14:textId="77777777" w:rsidR="00121E7B" w:rsidRDefault="00121E7B">
            <w:pPr>
              <w:tabs>
                <w:tab w:val="left" w:pos="1701"/>
              </w:tabs>
              <w:rPr>
                <w:sz w:val="25"/>
                <w:szCs w:val="25"/>
              </w:rPr>
            </w:pPr>
          </w:p>
          <w:p w14:paraId="0C3F3455" w14:textId="46A80346" w:rsidR="00121E7B" w:rsidRDefault="00121E7B">
            <w:pPr>
              <w:tabs>
                <w:tab w:val="left" w:pos="1701"/>
              </w:tabs>
              <w:rPr>
                <w:sz w:val="25"/>
                <w:szCs w:val="25"/>
              </w:rPr>
            </w:pPr>
            <w:r>
              <w:rPr>
                <w:sz w:val="25"/>
                <w:szCs w:val="25"/>
              </w:rPr>
              <w:t xml:space="preserve">Regeringen betonar att medlemsländernas inflytande genom ändamålsenliga kommittéförfaranden är viktigt för att europeiska, nationella och regionala satsningar ska samverka och främja högsta vetenskapliga kvalitet, samt för att områden där Sverige har särskild kompetens får ett tydligt utrymme i programmet. Det är angeläget att EU:s medlemsstater ges vederbörligt inflytande över arbetsprogrammen och aktiviteter under programmet, vilket underlättar effektiv samverkan mellan europeiska och nationella och regionala forsknings- och innovationssatsningar och att fler svenska aktörer ges goda förutsättningar att delta. </w:t>
            </w:r>
          </w:p>
          <w:p w14:paraId="369262CE" w14:textId="28E55287" w:rsidR="00121E7B" w:rsidRDefault="00121E7B">
            <w:pPr>
              <w:tabs>
                <w:tab w:val="left" w:pos="1701"/>
              </w:tabs>
              <w:rPr>
                <w:sz w:val="25"/>
                <w:szCs w:val="25"/>
              </w:rPr>
            </w:pPr>
          </w:p>
          <w:p w14:paraId="009BC8C8" w14:textId="1EAEC5BD" w:rsidR="00121E7B" w:rsidRDefault="00121E7B">
            <w:pPr>
              <w:tabs>
                <w:tab w:val="left" w:pos="1701"/>
              </w:tabs>
              <w:rPr>
                <w:sz w:val="25"/>
                <w:szCs w:val="25"/>
              </w:rPr>
            </w:pPr>
            <w:r>
              <w:rPr>
                <w:sz w:val="25"/>
                <w:szCs w:val="25"/>
              </w:rPr>
              <w:t xml:space="preserve">Europa måste bli bättre på att nyttiggöra forskningsresultaten. Regeringen vill se fortsatta förenklingar, och åtgärder som gör programmet mer tillgängligt och skapar bättre förutsättningar för forskare, företag och samhällets olika aktörer. Regeringen framhåller betydelsen av näringslivets investeringar i forskning och innovation och kommer att verka för att deltagande i programmet är attraktivt för företag. </w:t>
            </w:r>
          </w:p>
          <w:p w14:paraId="31E4B170" w14:textId="77777777" w:rsidR="00121E7B" w:rsidRPr="00121E7B" w:rsidRDefault="00121E7B">
            <w:pPr>
              <w:tabs>
                <w:tab w:val="left" w:pos="1701"/>
              </w:tabs>
              <w:rPr>
                <w:bCs/>
                <w:snapToGrid w:val="0"/>
                <w:szCs w:val="24"/>
              </w:rPr>
            </w:pPr>
          </w:p>
          <w:p w14:paraId="5B9F946C" w14:textId="77777777" w:rsidR="00121E7B" w:rsidRPr="00121E7B" w:rsidRDefault="00121E7B" w:rsidP="00121E7B">
            <w:pPr>
              <w:tabs>
                <w:tab w:val="left" w:pos="1701"/>
              </w:tabs>
              <w:rPr>
                <w:bCs/>
                <w:i/>
                <w:iCs/>
                <w:snapToGrid w:val="0"/>
                <w:szCs w:val="24"/>
              </w:rPr>
            </w:pPr>
            <w:r w:rsidRPr="00121E7B">
              <w:rPr>
                <w:bCs/>
                <w:i/>
                <w:iCs/>
                <w:snapToGrid w:val="0"/>
                <w:szCs w:val="24"/>
              </w:rPr>
              <w:t>Överläggningen</w:t>
            </w:r>
          </w:p>
          <w:p w14:paraId="30701E62" w14:textId="2D77DDFF" w:rsidR="00121E7B" w:rsidRPr="00121E7B" w:rsidRDefault="00121E7B">
            <w:pPr>
              <w:tabs>
                <w:tab w:val="left" w:pos="1701"/>
              </w:tabs>
              <w:rPr>
                <w:bCs/>
                <w:snapToGrid w:val="0"/>
                <w:szCs w:val="24"/>
              </w:rPr>
            </w:pPr>
            <w:r w:rsidRPr="00121E7B">
              <w:rPr>
                <w:bCs/>
                <w:szCs w:val="24"/>
              </w:rPr>
              <w:t>Ordföranden konstaterade att det fanns stöd för regeringens ståndpunkt.</w:t>
            </w:r>
          </w:p>
          <w:p w14:paraId="5F4D68EE" w14:textId="388ABEFD" w:rsidR="00121E7B" w:rsidRPr="00121E7B" w:rsidRDefault="00121E7B">
            <w:pPr>
              <w:tabs>
                <w:tab w:val="left" w:pos="1701"/>
              </w:tabs>
              <w:rPr>
                <w:b/>
                <w:snapToGrid w:val="0"/>
                <w:szCs w:val="24"/>
              </w:rPr>
            </w:pPr>
          </w:p>
        </w:tc>
      </w:tr>
      <w:tr w:rsidR="00EC0FFD" w14:paraId="11F15F8C" w14:textId="77777777" w:rsidTr="0001177E">
        <w:tc>
          <w:tcPr>
            <w:tcW w:w="567" w:type="dxa"/>
          </w:tcPr>
          <w:p w14:paraId="0B6C0088" w14:textId="77777777" w:rsidR="00EC0FFD" w:rsidRPr="003B4DE8" w:rsidRDefault="00EC0FFD" w:rsidP="003B4DE8">
            <w:pPr>
              <w:pStyle w:val="Liststycke"/>
              <w:numPr>
                <w:ilvl w:val="0"/>
                <w:numId w:val="2"/>
              </w:numPr>
              <w:tabs>
                <w:tab w:val="left" w:pos="1701"/>
              </w:tabs>
              <w:rPr>
                <w:b/>
                <w:snapToGrid w:val="0"/>
              </w:rPr>
            </w:pPr>
          </w:p>
        </w:tc>
        <w:tc>
          <w:tcPr>
            <w:tcW w:w="6946" w:type="dxa"/>
            <w:gridSpan w:val="2"/>
          </w:tcPr>
          <w:p w14:paraId="65180261" w14:textId="77777777" w:rsidR="00EC0FFD" w:rsidRDefault="00EC0FFD">
            <w:pPr>
              <w:tabs>
                <w:tab w:val="left" w:pos="1701"/>
              </w:tabs>
              <w:rPr>
                <w:b/>
                <w:snapToGrid w:val="0"/>
              </w:rPr>
            </w:pPr>
            <w:r w:rsidRPr="00EC0FFD">
              <w:rPr>
                <w:b/>
                <w:snapToGrid w:val="0"/>
              </w:rPr>
              <w:t>EU-information om framstegsrapport gällande förhandlingarna om nästa forsknings- och innovationsprogram, Horisont Europa 2028–2034</w:t>
            </w:r>
          </w:p>
          <w:p w14:paraId="7E898FDA" w14:textId="77777777" w:rsidR="00EC0FFD" w:rsidRDefault="00EC0FFD">
            <w:pPr>
              <w:tabs>
                <w:tab w:val="left" w:pos="1701"/>
              </w:tabs>
              <w:rPr>
                <w:b/>
                <w:snapToGrid w:val="0"/>
              </w:rPr>
            </w:pPr>
          </w:p>
          <w:p w14:paraId="4B00D2B1" w14:textId="0B3F669C" w:rsidR="00583692" w:rsidRDefault="00583692">
            <w:pPr>
              <w:tabs>
                <w:tab w:val="left" w:pos="1701"/>
              </w:tabs>
              <w:rPr>
                <w:bCs/>
                <w:snapToGrid w:val="0"/>
              </w:rPr>
            </w:pPr>
            <w:r w:rsidRPr="00583692">
              <w:rPr>
                <w:bCs/>
                <w:snapToGrid w:val="0"/>
              </w:rPr>
              <w:t>Gymnasie-, högskole- och forskningsminister Lotta Edholm</w:t>
            </w:r>
            <w:r>
              <w:rPr>
                <w:bCs/>
                <w:snapToGrid w:val="0"/>
              </w:rPr>
              <w:t>,</w:t>
            </w:r>
            <w:r w:rsidRPr="00583692">
              <w:rPr>
                <w:bCs/>
                <w:snapToGrid w:val="0"/>
              </w:rPr>
              <w:t xml:space="preserve"> </w:t>
            </w:r>
            <w:r>
              <w:rPr>
                <w:bCs/>
                <w:snapToGrid w:val="0"/>
              </w:rPr>
              <w:t xml:space="preserve">biträdd av medarbetare från Utbildningsdepartementet, informerade om </w:t>
            </w:r>
            <w:r w:rsidR="002026D3">
              <w:rPr>
                <w:bCs/>
                <w:snapToGrid w:val="0"/>
              </w:rPr>
              <w:t xml:space="preserve">en </w:t>
            </w:r>
            <w:r w:rsidRPr="00583692">
              <w:rPr>
                <w:bCs/>
                <w:snapToGrid w:val="0"/>
              </w:rPr>
              <w:t>framstegsrapport gällande förhandlingarna om nästa forsknings- och innovationsprogram, Horisont Europa 2028–2034</w:t>
            </w:r>
            <w:r>
              <w:rPr>
                <w:bCs/>
                <w:snapToGrid w:val="0"/>
              </w:rPr>
              <w:t>.</w:t>
            </w:r>
          </w:p>
          <w:p w14:paraId="495D0E10" w14:textId="6D6EB41E" w:rsidR="00583692" w:rsidRPr="00583692" w:rsidRDefault="00583692">
            <w:pPr>
              <w:tabs>
                <w:tab w:val="left" w:pos="1701"/>
              </w:tabs>
              <w:rPr>
                <w:bCs/>
                <w:snapToGrid w:val="0"/>
              </w:rPr>
            </w:pPr>
          </w:p>
        </w:tc>
      </w:tr>
      <w:tr w:rsidR="00EC0FFD" w14:paraId="1631CE27" w14:textId="77777777" w:rsidTr="0001177E">
        <w:tc>
          <w:tcPr>
            <w:tcW w:w="567" w:type="dxa"/>
          </w:tcPr>
          <w:p w14:paraId="5ACCBAB3" w14:textId="77777777" w:rsidR="00EC0FFD" w:rsidRPr="003B4DE8" w:rsidRDefault="00EC0FFD" w:rsidP="003B4DE8">
            <w:pPr>
              <w:pStyle w:val="Liststycke"/>
              <w:numPr>
                <w:ilvl w:val="0"/>
                <w:numId w:val="2"/>
              </w:numPr>
              <w:tabs>
                <w:tab w:val="left" w:pos="1701"/>
              </w:tabs>
              <w:rPr>
                <w:b/>
                <w:snapToGrid w:val="0"/>
              </w:rPr>
            </w:pPr>
          </w:p>
        </w:tc>
        <w:tc>
          <w:tcPr>
            <w:tcW w:w="6946" w:type="dxa"/>
            <w:gridSpan w:val="2"/>
          </w:tcPr>
          <w:p w14:paraId="40A43273" w14:textId="77777777" w:rsidR="00EC0FFD" w:rsidRDefault="00EC0FFD">
            <w:pPr>
              <w:tabs>
                <w:tab w:val="left" w:pos="1701"/>
              </w:tabs>
              <w:rPr>
                <w:b/>
                <w:snapToGrid w:val="0"/>
              </w:rPr>
            </w:pPr>
            <w:r w:rsidRPr="00EC0FFD">
              <w:rPr>
                <w:b/>
                <w:snapToGrid w:val="0"/>
              </w:rPr>
              <w:t>EU-information om en planerad debatt i Konkurrenskraftsrådet (KKR) om strategiska prioriteringar och partnerskap i nästa forsknings- och innovationsprogram, Horisont Europa 2028–2034</w:t>
            </w:r>
          </w:p>
          <w:p w14:paraId="7D635248" w14:textId="77777777" w:rsidR="00EC0FFD" w:rsidRDefault="00EC0FFD">
            <w:pPr>
              <w:tabs>
                <w:tab w:val="left" w:pos="1701"/>
              </w:tabs>
              <w:rPr>
                <w:b/>
                <w:snapToGrid w:val="0"/>
              </w:rPr>
            </w:pPr>
          </w:p>
          <w:p w14:paraId="7D5A783B" w14:textId="137DA400" w:rsidR="00583692" w:rsidRDefault="00583692">
            <w:pPr>
              <w:tabs>
                <w:tab w:val="left" w:pos="1701"/>
              </w:tabs>
              <w:rPr>
                <w:bCs/>
                <w:snapToGrid w:val="0"/>
              </w:rPr>
            </w:pPr>
            <w:r w:rsidRPr="00583692">
              <w:rPr>
                <w:bCs/>
                <w:snapToGrid w:val="0"/>
              </w:rPr>
              <w:t>Gymnasie-, högskole- och forskningsminister Lotta Edholm</w:t>
            </w:r>
            <w:r>
              <w:rPr>
                <w:bCs/>
                <w:snapToGrid w:val="0"/>
              </w:rPr>
              <w:t>,</w:t>
            </w:r>
            <w:r w:rsidRPr="00583692">
              <w:rPr>
                <w:bCs/>
                <w:snapToGrid w:val="0"/>
              </w:rPr>
              <w:t xml:space="preserve"> </w:t>
            </w:r>
            <w:r>
              <w:rPr>
                <w:bCs/>
                <w:snapToGrid w:val="0"/>
              </w:rPr>
              <w:t xml:space="preserve">biträdd av medarbetare från Utbildningsdepartementet, informerade om </w:t>
            </w:r>
            <w:r w:rsidRPr="00583692">
              <w:rPr>
                <w:bCs/>
                <w:snapToGrid w:val="0"/>
              </w:rPr>
              <w:t>en planerad debatt i Konkurrenskraftsrådet (KKR)</w:t>
            </w:r>
            <w:r w:rsidR="006E01B0">
              <w:rPr>
                <w:bCs/>
                <w:snapToGrid w:val="0"/>
              </w:rPr>
              <w:t xml:space="preserve"> den 9 december 2025</w:t>
            </w:r>
            <w:r w:rsidRPr="00583692">
              <w:rPr>
                <w:bCs/>
                <w:snapToGrid w:val="0"/>
              </w:rPr>
              <w:t xml:space="preserve"> om strategiska prioriteringar och partnerskap i nästa forsknings- och innovationsprogram, Horisont Europa 2028–2034</w:t>
            </w:r>
            <w:r>
              <w:rPr>
                <w:bCs/>
                <w:snapToGrid w:val="0"/>
              </w:rPr>
              <w:t xml:space="preserve">. </w:t>
            </w:r>
          </w:p>
          <w:p w14:paraId="7B23599D" w14:textId="799FAA70" w:rsidR="00583692" w:rsidRDefault="00583692">
            <w:pPr>
              <w:tabs>
                <w:tab w:val="left" w:pos="1701"/>
              </w:tabs>
              <w:rPr>
                <w:b/>
                <w:snapToGrid w:val="0"/>
              </w:rPr>
            </w:pPr>
          </w:p>
        </w:tc>
      </w:tr>
      <w:tr w:rsidR="00EC0FFD" w14:paraId="113F5A70" w14:textId="77777777" w:rsidTr="0001177E">
        <w:tc>
          <w:tcPr>
            <w:tcW w:w="567" w:type="dxa"/>
          </w:tcPr>
          <w:p w14:paraId="1DB8B491" w14:textId="77777777" w:rsidR="00EC0FFD" w:rsidRPr="003B4DE8" w:rsidRDefault="00EC0FFD" w:rsidP="003B4DE8">
            <w:pPr>
              <w:pStyle w:val="Liststycke"/>
              <w:numPr>
                <w:ilvl w:val="0"/>
                <w:numId w:val="2"/>
              </w:numPr>
              <w:tabs>
                <w:tab w:val="left" w:pos="1701"/>
              </w:tabs>
              <w:rPr>
                <w:b/>
                <w:snapToGrid w:val="0"/>
              </w:rPr>
            </w:pPr>
          </w:p>
        </w:tc>
        <w:tc>
          <w:tcPr>
            <w:tcW w:w="6946" w:type="dxa"/>
            <w:gridSpan w:val="2"/>
          </w:tcPr>
          <w:p w14:paraId="675E79DC" w14:textId="77777777" w:rsidR="00EC0FFD" w:rsidRDefault="00EC0FFD">
            <w:pPr>
              <w:tabs>
                <w:tab w:val="left" w:pos="1701"/>
              </w:tabs>
              <w:rPr>
                <w:b/>
                <w:snapToGrid w:val="0"/>
              </w:rPr>
            </w:pPr>
            <w:r w:rsidRPr="00EC0FFD">
              <w:rPr>
                <w:b/>
                <w:snapToGrid w:val="0"/>
              </w:rPr>
              <w:t>EU-information om framstegsrapport gällande förhandlingarna om en ny rymdförordning</w:t>
            </w:r>
          </w:p>
          <w:p w14:paraId="6C1AAEEE" w14:textId="77777777" w:rsidR="00EC0FFD" w:rsidRDefault="00EC0FFD">
            <w:pPr>
              <w:tabs>
                <w:tab w:val="left" w:pos="1701"/>
              </w:tabs>
              <w:rPr>
                <w:b/>
                <w:snapToGrid w:val="0"/>
              </w:rPr>
            </w:pPr>
          </w:p>
          <w:p w14:paraId="61491B07" w14:textId="76533D5F" w:rsidR="00583692" w:rsidRDefault="00583692">
            <w:pPr>
              <w:tabs>
                <w:tab w:val="left" w:pos="1701"/>
              </w:tabs>
              <w:rPr>
                <w:bCs/>
                <w:snapToGrid w:val="0"/>
              </w:rPr>
            </w:pPr>
            <w:r w:rsidRPr="00583692">
              <w:rPr>
                <w:bCs/>
                <w:snapToGrid w:val="0"/>
              </w:rPr>
              <w:t>Gymnasie-, högskole- och forskningsminister Lotta Edholm</w:t>
            </w:r>
            <w:r>
              <w:rPr>
                <w:bCs/>
                <w:snapToGrid w:val="0"/>
              </w:rPr>
              <w:t>,</w:t>
            </w:r>
            <w:r w:rsidRPr="00583692">
              <w:rPr>
                <w:bCs/>
                <w:snapToGrid w:val="0"/>
              </w:rPr>
              <w:t xml:space="preserve"> </w:t>
            </w:r>
            <w:r>
              <w:rPr>
                <w:bCs/>
                <w:snapToGrid w:val="0"/>
              </w:rPr>
              <w:t xml:space="preserve">biträdd av medarbetare från Utbildningsdepartementet, informerade om </w:t>
            </w:r>
            <w:r w:rsidR="002026D3">
              <w:rPr>
                <w:bCs/>
                <w:snapToGrid w:val="0"/>
              </w:rPr>
              <w:t xml:space="preserve">en </w:t>
            </w:r>
            <w:r w:rsidRPr="00583692">
              <w:rPr>
                <w:bCs/>
                <w:snapToGrid w:val="0"/>
              </w:rPr>
              <w:t>framstegsrapport gällande förhandlingarna om en ny rymdförordning</w:t>
            </w:r>
            <w:r>
              <w:rPr>
                <w:bCs/>
                <w:snapToGrid w:val="0"/>
              </w:rPr>
              <w:t>.</w:t>
            </w:r>
          </w:p>
          <w:p w14:paraId="51F3CE54" w14:textId="3863A1F6" w:rsidR="00583692" w:rsidRDefault="00583692">
            <w:pPr>
              <w:tabs>
                <w:tab w:val="left" w:pos="1701"/>
              </w:tabs>
              <w:rPr>
                <w:b/>
                <w:snapToGrid w:val="0"/>
              </w:rPr>
            </w:pPr>
          </w:p>
        </w:tc>
      </w:tr>
      <w:tr w:rsidR="00EC0FFD" w14:paraId="0482F62E" w14:textId="77777777" w:rsidTr="0001177E">
        <w:tc>
          <w:tcPr>
            <w:tcW w:w="567" w:type="dxa"/>
          </w:tcPr>
          <w:p w14:paraId="5045A9B8" w14:textId="77777777" w:rsidR="00EC0FFD" w:rsidRPr="003B4DE8" w:rsidRDefault="00EC0FFD" w:rsidP="003B4DE8">
            <w:pPr>
              <w:pStyle w:val="Liststycke"/>
              <w:numPr>
                <w:ilvl w:val="0"/>
                <w:numId w:val="2"/>
              </w:numPr>
              <w:tabs>
                <w:tab w:val="left" w:pos="1701"/>
              </w:tabs>
              <w:rPr>
                <w:b/>
                <w:snapToGrid w:val="0"/>
              </w:rPr>
            </w:pPr>
          </w:p>
        </w:tc>
        <w:tc>
          <w:tcPr>
            <w:tcW w:w="6946" w:type="dxa"/>
            <w:gridSpan w:val="2"/>
          </w:tcPr>
          <w:p w14:paraId="2D99BE98" w14:textId="77777777" w:rsidR="00EC0FFD" w:rsidRDefault="00EC0FFD">
            <w:pPr>
              <w:tabs>
                <w:tab w:val="left" w:pos="1701"/>
              </w:tabs>
              <w:rPr>
                <w:b/>
                <w:snapToGrid w:val="0"/>
              </w:rPr>
            </w:pPr>
            <w:r w:rsidRPr="00EC0FFD">
              <w:rPr>
                <w:b/>
                <w:snapToGrid w:val="0"/>
              </w:rPr>
              <w:t>EU-information om en planerad debatt i Konkurrenskraftsrådet (KKR) om styrkor och utmaningar i förslaget till ny rymdförordning</w:t>
            </w:r>
          </w:p>
          <w:p w14:paraId="5842A50F" w14:textId="77777777" w:rsidR="00EC0FFD" w:rsidRDefault="00EC0FFD">
            <w:pPr>
              <w:tabs>
                <w:tab w:val="left" w:pos="1701"/>
              </w:tabs>
              <w:rPr>
                <w:b/>
                <w:snapToGrid w:val="0"/>
              </w:rPr>
            </w:pPr>
          </w:p>
          <w:p w14:paraId="7A8AC2E4" w14:textId="2131554E" w:rsidR="00583692" w:rsidRDefault="00583692">
            <w:pPr>
              <w:tabs>
                <w:tab w:val="left" w:pos="1701"/>
              </w:tabs>
              <w:rPr>
                <w:bCs/>
                <w:snapToGrid w:val="0"/>
              </w:rPr>
            </w:pPr>
            <w:r w:rsidRPr="00583692">
              <w:rPr>
                <w:bCs/>
                <w:snapToGrid w:val="0"/>
              </w:rPr>
              <w:t>Gymnasie-, högskole- och forskningsminister Lotta Edholm</w:t>
            </w:r>
            <w:r>
              <w:rPr>
                <w:bCs/>
                <w:snapToGrid w:val="0"/>
              </w:rPr>
              <w:t>,</w:t>
            </w:r>
            <w:r w:rsidRPr="00583692">
              <w:rPr>
                <w:bCs/>
                <w:snapToGrid w:val="0"/>
              </w:rPr>
              <w:t xml:space="preserve"> </w:t>
            </w:r>
            <w:r>
              <w:rPr>
                <w:bCs/>
                <w:snapToGrid w:val="0"/>
              </w:rPr>
              <w:t xml:space="preserve">biträdd av medarbetare från Utbildningsdepartementet, informerade om </w:t>
            </w:r>
            <w:r w:rsidR="002026D3">
              <w:rPr>
                <w:bCs/>
                <w:snapToGrid w:val="0"/>
              </w:rPr>
              <w:t xml:space="preserve">en planerad debatt i Konkurrenskraftsrådet (KKR) </w:t>
            </w:r>
            <w:r w:rsidR="006E01B0">
              <w:rPr>
                <w:bCs/>
                <w:snapToGrid w:val="0"/>
              </w:rPr>
              <w:t xml:space="preserve">den 9 december 2025 </w:t>
            </w:r>
            <w:r w:rsidR="002026D3">
              <w:rPr>
                <w:bCs/>
                <w:snapToGrid w:val="0"/>
              </w:rPr>
              <w:t xml:space="preserve">om </w:t>
            </w:r>
            <w:r w:rsidRPr="00583692">
              <w:rPr>
                <w:bCs/>
                <w:snapToGrid w:val="0"/>
              </w:rPr>
              <w:t>styrkor och utmaningar i förslaget till ny rymdförordning</w:t>
            </w:r>
            <w:r>
              <w:rPr>
                <w:bCs/>
                <w:snapToGrid w:val="0"/>
              </w:rPr>
              <w:t xml:space="preserve">. </w:t>
            </w:r>
          </w:p>
          <w:p w14:paraId="1B8CD2E2" w14:textId="4C231FE0" w:rsidR="00583692" w:rsidRDefault="00583692">
            <w:pPr>
              <w:tabs>
                <w:tab w:val="left" w:pos="1701"/>
              </w:tabs>
              <w:rPr>
                <w:b/>
                <w:snapToGrid w:val="0"/>
              </w:rPr>
            </w:pPr>
          </w:p>
        </w:tc>
      </w:tr>
      <w:tr w:rsidR="00EC0FFD" w14:paraId="5C28B4CE" w14:textId="77777777" w:rsidTr="0001177E">
        <w:tc>
          <w:tcPr>
            <w:tcW w:w="567" w:type="dxa"/>
          </w:tcPr>
          <w:p w14:paraId="26165D7A" w14:textId="77777777" w:rsidR="00EC0FFD" w:rsidRPr="003B4DE8" w:rsidRDefault="00EC0FFD" w:rsidP="003B4DE8">
            <w:pPr>
              <w:pStyle w:val="Liststycke"/>
              <w:numPr>
                <w:ilvl w:val="0"/>
                <w:numId w:val="2"/>
              </w:numPr>
              <w:tabs>
                <w:tab w:val="left" w:pos="1701"/>
              </w:tabs>
              <w:rPr>
                <w:b/>
                <w:snapToGrid w:val="0"/>
              </w:rPr>
            </w:pPr>
          </w:p>
        </w:tc>
        <w:tc>
          <w:tcPr>
            <w:tcW w:w="6946" w:type="dxa"/>
            <w:gridSpan w:val="2"/>
          </w:tcPr>
          <w:p w14:paraId="506E623F" w14:textId="77777777" w:rsidR="00EC0FFD" w:rsidRDefault="00EC0FFD">
            <w:pPr>
              <w:tabs>
                <w:tab w:val="left" w:pos="1701"/>
              </w:tabs>
              <w:rPr>
                <w:b/>
                <w:snapToGrid w:val="0"/>
              </w:rPr>
            </w:pPr>
            <w:r w:rsidRPr="00EC0FFD">
              <w:rPr>
                <w:b/>
                <w:snapToGrid w:val="0"/>
              </w:rPr>
              <w:t>Information från Vetenskapsrådet</w:t>
            </w:r>
          </w:p>
          <w:p w14:paraId="04EEFD7D" w14:textId="77777777" w:rsidR="00EC0FFD" w:rsidRDefault="00EC0FFD">
            <w:pPr>
              <w:tabs>
                <w:tab w:val="left" w:pos="1701"/>
              </w:tabs>
              <w:rPr>
                <w:b/>
                <w:snapToGrid w:val="0"/>
              </w:rPr>
            </w:pPr>
          </w:p>
          <w:p w14:paraId="74D38EF2" w14:textId="77777777" w:rsidR="00EC0FFD" w:rsidRDefault="00EC0FFD">
            <w:pPr>
              <w:tabs>
                <w:tab w:val="left" w:pos="1701"/>
              </w:tabs>
              <w:rPr>
                <w:bCs/>
                <w:snapToGrid w:val="0"/>
              </w:rPr>
            </w:pPr>
            <w:r w:rsidRPr="00EC0FFD">
              <w:rPr>
                <w:bCs/>
                <w:snapToGrid w:val="0"/>
              </w:rPr>
              <w:t xml:space="preserve">Generaldirektör Katarina </w:t>
            </w:r>
            <w:proofErr w:type="spellStart"/>
            <w:r w:rsidRPr="00EC0FFD">
              <w:rPr>
                <w:bCs/>
                <w:snapToGrid w:val="0"/>
              </w:rPr>
              <w:t>Bjelke</w:t>
            </w:r>
            <w:proofErr w:type="spellEnd"/>
            <w:r w:rsidRPr="00EC0FFD">
              <w:rPr>
                <w:bCs/>
                <w:snapToGrid w:val="0"/>
              </w:rPr>
              <w:t>, med medarbetare, informera</w:t>
            </w:r>
            <w:r>
              <w:rPr>
                <w:bCs/>
                <w:snapToGrid w:val="0"/>
              </w:rPr>
              <w:t>de</w:t>
            </w:r>
            <w:r w:rsidRPr="00EC0FFD">
              <w:rPr>
                <w:bCs/>
                <w:snapToGrid w:val="0"/>
              </w:rPr>
              <w:t xml:space="preserve"> om Forskningsbarometern 2025 m.m.</w:t>
            </w:r>
          </w:p>
          <w:p w14:paraId="430CC685" w14:textId="797ABDE2" w:rsidR="00671F8F" w:rsidRPr="00EC0FFD" w:rsidRDefault="00671F8F">
            <w:pPr>
              <w:tabs>
                <w:tab w:val="left" w:pos="1701"/>
              </w:tabs>
              <w:rPr>
                <w:bCs/>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444C0701"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35867">
              <w:rPr>
                <w:snapToGrid w:val="0"/>
                <w:sz w:val="23"/>
                <w:szCs w:val="23"/>
              </w:rPr>
              <w:t>5</w:t>
            </w:r>
            <w:r w:rsidR="00267FC1" w:rsidRPr="008D4BF2">
              <w:rPr>
                <w:snapToGrid w:val="0"/>
                <w:sz w:val="23"/>
                <w:szCs w:val="23"/>
              </w:rPr>
              <w:t>/</w:t>
            </w:r>
            <w:r w:rsidR="00E362AB" w:rsidRPr="008D4BF2">
              <w:rPr>
                <w:snapToGrid w:val="0"/>
                <w:sz w:val="23"/>
                <w:szCs w:val="23"/>
              </w:rPr>
              <w:t>2</w:t>
            </w:r>
            <w:r w:rsidR="00135867">
              <w:rPr>
                <w:snapToGrid w:val="0"/>
                <w:sz w:val="23"/>
                <w:szCs w:val="23"/>
              </w:rPr>
              <w:t>6</w:t>
            </w:r>
            <w:r w:rsidR="00A2367D" w:rsidRPr="008D4BF2">
              <w:rPr>
                <w:snapToGrid w:val="0"/>
                <w:sz w:val="23"/>
                <w:szCs w:val="23"/>
              </w:rPr>
              <w:t>:</w:t>
            </w:r>
            <w:r w:rsidR="00EC0FFD">
              <w:rPr>
                <w:snapToGrid w:val="0"/>
                <w:sz w:val="23"/>
                <w:szCs w:val="23"/>
              </w:rPr>
              <w:t>12</w:t>
            </w:r>
            <w:r w:rsidR="00447E69">
              <w:rPr>
                <w:snapToGrid w:val="0"/>
              </w:rPr>
              <w:t>.</w:t>
            </w:r>
          </w:p>
          <w:p w14:paraId="69A855E0" w14:textId="77777777" w:rsidR="00447E69" w:rsidRDefault="00447E69">
            <w:pPr>
              <w:tabs>
                <w:tab w:val="left" w:pos="1701"/>
              </w:tabs>
              <w:rPr>
                <w:snapToGrid w:val="0"/>
              </w:rPr>
            </w:pPr>
          </w:p>
        </w:tc>
      </w:tr>
      <w:tr w:rsidR="00306F1B" w14:paraId="6D2710E4" w14:textId="77777777" w:rsidTr="0001177E">
        <w:tc>
          <w:tcPr>
            <w:tcW w:w="567" w:type="dxa"/>
          </w:tcPr>
          <w:p w14:paraId="6B719AC6"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75A95BBC" w14:textId="181EDD3F" w:rsidR="00306F1B" w:rsidRDefault="00BD0D32">
            <w:pPr>
              <w:tabs>
                <w:tab w:val="left" w:pos="1701"/>
              </w:tabs>
              <w:rPr>
                <w:b/>
                <w:snapToGrid w:val="0"/>
              </w:rPr>
            </w:pPr>
            <w:r w:rsidRPr="00135867">
              <w:rPr>
                <w:b/>
                <w:snapToGrid w:val="0"/>
              </w:rPr>
              <w:t>Inkomna skrivelser</w:t>
            </w:r>
          </w:p>
          <w:p w14:paraId="632681DE" w14:textId="77777777" w:rsidR="00306F1B" w:rsidRDefault="00306F1B">
            <w:pPr>
              <w:tabs>
                <w:tab w:val="left" w:pos="1701"/>
              </w:tabs>
              <w:rPr>
                <w:b/>
                <w:snapToGrid w:val="0"/>
              </w:rPr>
            </w:pPr>
          </w:p>
          <w:p w14:paraId="16DC1C01" w14:textId="77777777" w:rsidR="00306F1B" w:rsidRDefault="00306F1B">
            <w:pPr>
              <w:tabs>
                <w:tab w:val="left" w:pos="1701"/>
              </w:tabs>
              <w:rPr>
                <w:bCs/>
                <w:snapToGrid w:val="0"/>
              </w:rPr>
            </w:pPr>
            <w:r w:rsidRPr="00306F1B">
              <w:rPr>
                <w:bCs/>
                <w:snapToGrid w:val="0"/>
              </w:rPr>
              <w:t xml:space="preserve">Inkomna skrivelser anmäldes enligt bilaga 2. </w:t>
            </w:r>
          </w:p>
          <w:p w14:paraId="004B8B2E" w14:textId="3175FF9E" w:rsidR="00306F1B" w:rsidRPr="00306F1B" w:rsidRDefault="00306F1B">
            <w:pPr>
              <w:tabs>
                <w:tab w:val="left" w:pos="1701"/>
              </w:tabs>
              <w:rPr>
                <w:bCs/>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291626E8" w14:textId="24B76A30" w:rsidR="00306F1B" w:rsidRPr="00306F1B" w:rsidRDefault="0019344E">
            <w:pPr>
              <w:tabs>
                <w:tab w:val="left" w:pos="1701"/>
              </w:tabs>
              <w:rPr>
                <w:bCs/>
                <w:snapToGrid w:val="0"/>
              </w:rPr>
            </w:pPr>
            <w:r>
              <w:rPr>
                <w:bCs/>
                <w:snapToGrid w:val="0"/>
              </w:rPr>
              <w:t xml:space="preserve">En sammanställning över EU-dokument som inkommit under </w:t>
            </w:r>
            <w:r w:rsidR="00671F8F">
              <w:rPr>
                <w:bCs/>
                <w:snapToGrid w:val="0"/>
              </w:rPr>
              <w:t>6 november</w:t>
            </w:r>
            <w:r w:rsidR="00EC0FFD">
              <w:rPr>
                <w:bCs/>
                <w:snapToGrid w:val="0"/>
              </w:rPr>
              <w:t xml:space="preserve"> – 12</w:t>
            </w:r>
            <w:r w:rsidR="00671F8F">
              <w:rPr>
                <w:bCs/>
                <w:snapToGrid w:val="0"/>
              </w:rPr>
              <w:t xml:space="preserve"> november </w:t>
            </w:r>
            <w:r w:rsidR="00EC0FFD">
              <w:rPr>
                <w:bCs/>
                <w:snapToGrid w:val="0"/>
              </w:rPr>
              <w:t>2025</w:t>
            </w:r>
            <w:r>
              <w:rPr>
                <w:bCs/>
                <w:snapToGrid w:val="0"/>
              </w:rPr>
              <w:t xml:space="preserve"> anmäldes. </w:t>
            </w:r>
          </w:p>
          <w:p w14:paraId="7D9B4CE5" w14:textId="28C60CA4" w:rsidR="00306F1B" w:rsidRDefault="00306F1B">
            <w:pPr>
              <w:tabs>
                <w:tab w:val="left" w:pos="1701"/>
              </w:tabs>
              <w:rPr>
                <w:b/>
                <w:snapToGrid w:val="0"/>
              </w:rPr>
            </w:pPr>
          </w:p>
        </w:tc>
      </w:tr>
      <w:tr w:rsidR="00671F8F" w14:paraId="0E2C211A" w14:textId="77777777" w:rsidTr="0001177E">
        <w:tc>
          <w:tcPr>
            <w:tcW w:w="567" w:type="dxa"/>
          </w:tcPr>
          <w:p w14:paraId="2BFCFADA" w14:textId="77777777" w:rsidR="00671F8F" w:rsidRPr="003B4DE8" w:rsidRDefault="00671F8F" w:rsidP="003B4DE8">
            <w:pPr>
              <w:pStyle w:val="Liststycke"/>
              <w:numPr>
                <w:ilvl w:val="0"/>
                <w:numId w:val="2"/>
              </w:numPr>
              <w:tabs>
                <w:tab w:val="left" w:pos="1701"/>
              </w:tabs>
              <w:rPr>
                <w:b/>
                <w:snapToGrid w:val="0"/>
              </w:rPr>
            </w:pPr>
          </w:p>
        </w:tc>
        <w:tc>
          <w:tcPr>
            <w:tcW w:w="6946" w:type="dxa"/>
            <w:gridSpan w:val="2"/>
          </w:tcPr>
          <w:p w14:paraId="0A673E5F" w14:textId="77777777" w:rsidR="00671F8F" w:rsidRDefault="00671F8F">
            <w:pPr>
              <w:tabs>
                <w:tab w:val="left" w:pos="1701"/>
              </w:tabs>
              <w:rPr>
                <w:b/>
              </w:rPr>
            </w:pPr>
            <w:r>
              <w:rPr>
                <w:b/>
              </w:rPr>
              <w:t>Mottagande av motionsyrkande</w:t>
            </w:r>
          </w:p>
          <w:p w14:paraId="1981DA21" w14:textId="77777777" w:rsidR="00671F8F" w:rsidRDefault="00671F8F">
            <w:pPr>
              <w:tabs>
                <w:tab w:val="left" w:pos="1701"/>
              </w:tabs>
              <w:rPr>
                <w:b/>
              </w:rPr>
            </w:pPr>
          </w:p>
          <w:p w14:paraId="2D803C7B" w14:textId="1A482F41" w:rsidR="00671F8F" w:rsidRDefault="00671F8F">
            <w:pPr>
              <w:tabs>
                <w:tab w:val="left" w:pos="1701"/>
              </w:tabs>
              <w:rPr>
                <w:bCs/>
                <w:snapToGrid w:val="0"/>
              </w:rPr>
            </w:pPr>
            <w:r w:rsidRPr="00671F8F">
              <w:rPr>
                <w:bCs/>
                <w:snapToGrid w:val="0"/>
              </w:rPr>
              <w:t>Utskottet besluta</w:t>
            </w:r>
            <w:r>
              <w:rPr>
                <w:bCs/>
                <w:snapToGrid w:val="0"/>
              </w:rPr>
              <w:t>de</w:t>
            </w:r>
            <w:r w:rsidRPr="00671F8F">
              <w:rPr>
                <w:bCs/>
                <w:snapToGrid w:val="0"/>
              </w:rPr>
              <w:t xml:space="preserve"> att ta emot motion 2025/26:2819 yrkande 1 av </w:t>
            </w:r>
            <w:proofErr w:type="spellStart"/>
            <w:r w:rsidRPr="00671F8F">
              <w:rPr>
                <w:bCs/>
                <w:snapToGrid w:val="0"/>
              </w:rPr>
              <w:t>Nooshi</w:t>
            </w:r>
            <w:proofErr w:type="spellEnd"/>
            <w:r w:rsidRPr="00671F8F">
              <w:rPr>
                <w:bCs/>
                <w:snapToGrid w:val="0"/>
              </w:rPr>
              <w:t xml:space="preserve"> </w:t>
            </w:r>
            <w:proofErr w:type="spellStart"/>
            <w:r w:rsidRPr="00671F8F">
              <w:rPr>
                <w:bCs/>
                <w:snapToGrid w:val="0"/>
              </w:rPr>
              <w:t>Dadgostar</w:t>
            </w:r>
            <w:proofErr w:type="spellEnd"/>
            <w:r w:rsidRPr="00671F8F">
              <w:rPr>
                <w:bCs/>
                <w:snapToGrid w:val="0"/>
              </w:rPr>
              <w:t xml:space="preserve"> m.fl. (V) från kulturutskottet.</w:t>
            </w:r>
          </w:p>
          <w:p w14:paraId="5E49831D" w14:textId="4537D9B5" w:rsidR="002A5EC1" w:rsidRDefault="002A5EC1">
            <w:pPr>
              <w:tabs>
                <w:tab w:val="left" w:pos="1701"/>
              </w:tabs>
              <w:rPr>
                <w:bCs/>
                <w:snapToGrid w:val="0"/>
              </w:rPr>
            </w:pPr>
          </w:p>
          <w:p w14:paraId="0AA7DD5B" w14:textId="53D00109" w:rsidR="002A5EC1" w:rsidRPr="00671F8F" w:rsidRDefault="002A5EC1">
            <w:pPr>
              <w:tabs>
                <w:tab w:val="left" w:pos="1701"/>
              </w:tabs>
              <w:rPr>
                <w:bCs/>
                <w:snapToGrid w:val="0"/>
              </w:rPr>
            </w:pPr>
            <w:r>
              <w:rPr>
                <w:bCs/>
                <w:snapToGrid w:val="0"/>
              </w:rPr>
              <w:t xml:space="preserve">Denna paragraf förklarades omedelbart justerad. </w:t>
            </w:r>
          </w:p>
          <w:p w14:paraId="2330474D" w14:textId="7459A0F1" w:rsidR="00671F8F" w:rsidRDefault="00671F8F">
            <w:pPr>
              <w:tabs>
                <w:tab w:val="left" w:pos="1701"/>
              </w:tabs>
              <w:rPr>
                <w:b/>
                <w:snapToGrid w:val="0"/>
              </w:rPr>
            </w:pPr>
          </w:p>
        </w:tc>
      </w:tr>
      <w:tr w:rsidR="00BD0D32" w14:paraId="1B96B847" w14:textId="77777777" w:rsidTr="0001177E">
        <w:tc>
          <w:tcPr>
            <w:tcW w:w="567" w:type="dxa"/>
          </w:tcPr>
          <w:p w14:paraId="5278D7F0" w14:textId="77777777" w:rsidR="00BD0D32" w:rsidRPr="003B4DE8" w:rsidRDefault="00BD0D32" w:rsidP="003B4DE8">
            <w:pPr>
              <w:pStyle w:val="Liststycke"/>
              <w:numPr>
                <w:ilvl w:val="0"/>
                <w:numId w:val="2"/>
              </w:numPr>
              <w:tabs>
                <w:tab w:val="left" w:pos="1701"/>
              </w:tabs>
              <w:rPr>
                <w:b/>
                <w:snapToGrid w:val="0"/>
              </w:rPr>
            </w:pPr>
          </w:p>
        </w:tc>
        <w:tc>
          <w:tcPr>
            <w:tcW w:w="6946" w:type="dxa"/>
            <w:gridSpan w:val="2"/>
          </w:tcPr>
          <w:p w14:paraId="115C9E09" w14:textId="625C9B2C" w:rsidR="00BD0D32" w:rsidRDefault="00671F8F" w:rsidP="00BD0D32">
            <w:pPr>
              <w:tabs>
                <w:tab w:val="left" w:pos="1701"/>
              </w:tabs>
              <w:rPr>
                <w:b/>
                <w:bCs/>
              </w:rPr>
            </w:pPr>
            <w:r w:rsidRPr="00671F8F">
              <w:rPr>
                <w:b/>
                <w:bCs/>
              </w:rPr>
              <w:t>Utgiftsområde 15 Studiestöd (UbU2)</w:t>
            </w:r>
          </w:p>
          <w:p w14:paraId="15B9C759" w14:textId="77777777" w:rsidR="00671F8F" w:rsidRDefault="00671F8F" w:rsidP="00BD0D32">
            <w:pPr>
              <w:tabs>
                <w:tab w:val="left" w:pos="1701"/>
              </w:tabs>
              <w:rPr>
                <w:b/>
                <w:bCs/>
              </w:rPr>
            </w:pPr>
          </w:p>
          <w:p w14:paraId="29277EF6" w14:textId="5C7C3FF4" w:rsidR="00BD0D32" w:rsidRPr="008D4BF2" w:rsidRDefault="00BD0D32" w:rsidP="00BD0D32">
            <w:pPr>
              <w:tabs>
                <w:tab w:val="left" w:pos="1701"/>
              </w:tabs>
            </w:pPr>
            <w:r w:rsidRPr="008D4BF2">
              <w:t xml:space="preserve">Utskottet </w:t>
            </w:r>
            <w:r>
              <w:t>fortsatte beredningen av proposition 202</w:t>
            </w:r>
            <w:r w:rsidR="00135867">
              <w:t>5</w:t>
            </w:r>
            <w:r>
              <w:t>/2</w:t>
            </w:r>
            <w:r w:rsidR="00135867">
              <w:t>6</w:t>
            </w:r>
            <w:r>
              <w:t>:</w:t>
            </w:r>
            <w:r w:rsidR="00671F8F">
              <w:t>1</w:t>
            </w:r>
            <w:r>
              <w:t xml:space="preserve"> </w:t>
            </w:r>
            <w:r w:rsidR="00671F8F">
              <w:t xml:space="preserve">utgiftsområde 15 </w:t>
            </w:r>
            <w:r>
              <w:t>och motioner</w:t>
            </w:r>
            <w:r w:rsidRPr="008D4BF2">
              <w:t xml:space="preserve">. </w:t>
            </w:r>
          </w:p>
          <w:p w14:paraId="6B3E65FA" w14:textId="77777777" w:rsidR="00BD0D32" w:rsidRPr="008D4BF2" w:rsidRDefault="00BD0D32" w:rsidP="00BD0D32">
            <w:pPr>
              <w:tabs>
                <w:tab w:val="left" w:pos="1701"/>
              </w:tabs>
            </w:pPr>
          </w:p>
          <w:p w14:paraId="53DB1404" w14:textId="77777777" w:rsidR="00BD0D32" w:rsidRDefault="00BD0D32" w:rsidP="00BD0D32">
            <w:pPr>
              <w:tabs>
                <w:tab w:val="left" w:pos="1701"/>
              </w:tabs>
              <w:rPr>
                <w:b/>
                <w:bCs/>
              </w:rPr>
            </w:pPr>
            <w:r w:rsidRPr="008D4BF2">
              <w:t>Ärendet bordlades.</w:t>
            </w:r>
            <w:r>
              <w:rPr>
                <w:b/>
                <w:bCs/>
              </w:rPr>
              <w:t xml:space="preserve"> </w:t>
            </w:r>
          </w:p>
          <w:p w14:paraId="0100ED28" w14:textId="77777777" w:rsidR="00BD0D32" w:rsidRDefault="00BD0D32" w:rsidP="00BB7028">
            <w:pPr>
              <w:tabs>
                <w:tab w:val="left" w:pos="1701"/>
              </w:tabs>
              <w:rPr>
                <w:b/>
                <w:bCs/>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F90C34C" w14:textId="77777777" w:rsidR="00671F8F" w:rsidRDefault="00671F8F" w:rsidP="00671F8F">
            <w:pPr>
              <w:widowControl/>
              <w:rPr>
                <w:b/>
                <w:color w:val="000000"/>
              </w:rPr>
            </w:pPr>
            <w:r>
              <w:rPr>
                <w:b/>
                <w:color w:val="000000"/>
              </w:rPr>
              <w:t>Studiestöd (UbU14)</w:t>
            </w:r>
          </w:p>
          <w:p w14:paraId="22009052" w14:textId="77777777" w:rsidR="008D4BF2" w:rsidRDefault="008D4BF2" w:rsidP="00BB7028">
            <w:pPr>
              <w:tabs>
                <w:tab w:val="left" w:pos="1701"/>
              </w:tabs>
              <w:rPr>
                <w:b/>
                <w:bCs/>
              </w:rPr>
            </w:pPr>
          </w:p>
          <w:p w14:paraId="1FA0E968" w14:textId="025A5C70" w:rsidR="008D4BF2" w:rsidRPr="008D4BF2" w:rsidRDefault="008D4BF2" w:rsidP="00BB7028">
            <w:pPr>
              <w:tabs>
                <w:tab w:val="left" w:pos="1701"/>
              </w:tabs>
            </w:pPr>
            <w:r w:rsidRPr="008D4BF2">
              <w:t xml:space="preserve">Utskottet </w:t>
            </w:r>
            <w:r w:rsidR="009A292F">
              <w:t xml:space="preserve">inledde </w:t>
            </w:r>
            <w:r w:rsidR="00306F1B">
              <w:t>be</w:t>
            </w:r>
            <w:r w:rsidR="009A292F">
              <w:t>redningen av</w:t>
            </w:r>
            <w:r w:rsidR="00BD0D32">
              <w:t xml:space="preserve"> motioner</w:t>
            </w:r>
            <w:r w:rsidRPr="008D4BF2">
              <w:t xml:space="preserve">. </w:t>
            </w:r>
          </w:p>
          <w:p w14:paraId="20302469" w14:textId="77777777" w:rsidR="008D4BF2" w:rsidRPr="008D4BF2" w:rsidRDefault="008D4BF2" w:rsidP="00BB7028">
            <w:pPr>
              <w:tabs>
                <w:tab w:val="left" w:pos="1701"/>
              </w:tabs>
            </w:pPr>
          </w:p>
          <w:p w14:paraId="2EC4F3E7" w14:textId="77777777" w:rsidR="008D4BF2" w:rsidRDefault="008D4BF2" w:rsidP="00BB7028">
            <w:pPr>
              <w:tabs>
                <w:tab w:val="left" w:pos="1701"/>
              </w:tabs>
              <w:rPr>
                <w:b/>
                <w:bCs/>
              </w:rPr>
            </w:pPr>
            <w:r w:rsidRPr="008D4BF2">
              <w:t>Ärendet bordlades.</w:t>
            </w:r>
            <w:r>
              <w:rPr>
                <w:b/>
                <w:bCs/>
              </w:rPr>
              <w:t xml:space="preserve"> </w:t>
            </w:r>
          </w:p>
          <w:p w14:paraId="1ABB43A7" w14:textId="42AE2B6E" w:rsidR="008D4BF2" w:rsidRPr="008D4BF2" w:rsidRDefault="008D4BF2" w:rsidP="00BB7028">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277A0ED6"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671F8F">
              <w:rPr>
                <w:szCs w:val="24"/>
              </w:rPr>
              <w:t>tors</w:t>
            </w:r>
            <w:r w:rsidR="00BB7028">
              <w:rPr>
                <w:szCs w:val="24"/>
              </w:rPr>
              <w:t xml:space="preserve">dagen den </w:t>
            </w:r>
            <w:r w:rsidR="00671F8F">
              <w:rPr>
                <w:szCs w:val="24"/>
              </w:rPr>
              <w:t>27</w:t>
            </w:r>
            <w:r w:rsidR="00575176">
              <w:rPr>
                <w:szCs w:val="24"/>
              </w:rPr>
              <w:t xml:space="preserve"> </w:t>
            </w:r>
            <w:r w:rsidR="00671F8F">
              <w:rPr>
                <w:szCs w:val="24"/>
              </w:rPr>
              <w:t>november</w:t>
            </w:r>
            <w:r w:rsidR="008D4BF2">
              <w:rPr>
                <w:szCs w:val="24"/>
              </w:rPr>
              <w:t xml:space="preserve"> </w:t>
            </w:r>
            <w:r w:rsidR="00BB7028">
              <w:rPr>
                <w:szCs w:val="24"/>
              </w:rPr>
              <w:t>20</w:t>
            </w:r>
            <w:r w:rsidR="005F0E85">
              <w:rPr>
                <w:szCs w:val="24"/>
              </w:rPr>
              <w:t>2</w:t>
            </w:r>
            <w:r w:rsidR="002406D5">
              <w:rPr>
                <w:szCs w:val="24"/>
              </w:rPr>
              <w:t>5</w:t>
            </w:r>
            <w:r>
              <w:rPr>
                <w:szCs w:val="24"/>
              </w:rPr>
              <w:t xml:space="preserve"> kl. </w:t>
            </w:r>
            <w:r w:rsidR="00671F8F">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2039E78D" w:rsidR="00D817DA" w:rsidRDefault="00671F8F"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4A2427D4" w:rsidR="00D817DA" w:rsidRDefault="00D817DA" w:rsidP="00D817DA">
            <w:pPr>
              <w:tabs>
                <w:tab w:val="left" w:pos="1701"/>
              </w:tabs>
            </w:pPr>
            <w:r w:rsidRPr="00C56172">
              <w:t xml:space="preserve">Justeras </w:t>
            </w:r>
            <w:r w:rsidR="00671F8F">
              <w:t>tors</w:t>
            </w:r>
            <w:r w:rsidRPr="00C56172">
              <w:t xml:space="preserve">dagen </w:t>
            </w:r>
            <w:r w:rsidR="008D4BF2">
              <w:t xml:space="preserve">den </w:t>
            </w:r>
            <w:r w:rsidR="00671F8F">
              <w:t>27</w:t>
            </w:r>
            <w:r w:rsidR="008D4BF2">
              <w:t xml:space="preserve"> </w:t>
            </w:r>
            <w:r w:rsidR="00671F8F">
              <w:t>november</w:t>
            </w:r>
            <w:r w:rsidR="00BB7028">
              <w:t xml:space="preserve"> 20</w:t>
            </w:r>
            <w:r w:rsidR="005F0E85">
              <w:t>2</w:t>
            </w:r>
            <w:r w:rsidR="002406D5">
              <w:t>5</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1CD06808" w:rsidR="00822AF4" w:rsidRPr="00310016" w:rsidRDefault="00822AF4" w:rsidP="007A14AA">
            <w:pPr>
              <w:tabs>
                <w:tab w:val="left" w:pos="1276"/>
              </w:tabs>
              <w:rPr>
                <w:b/>
              </w:rPr>
            </w:pPr>
            <w:r w:rsidRPr="00DB43E0">
              <w:t>202</w:t>
            </w:r>
            <w:r w:rsidR="00135867">
              <w:t>5</w:t>
            </w:r>
            <w:r w:rsidRPr="00DB43E0">
              <w:t>/2</w:t>
            </w:r>
            <w:r w:rsidR="00135867">
              <w:t>6</w:t>
            </w:r>
            <w:r w:rsidRPr="00DB43E0">
              <w:t>:</w:t>
            </w:r>
            <w:r w:rsidR="00671F8F">
              <w:t>13</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5A23257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A5EC1">
              <w:rPr>
                <w:sz w:val="22"/>
              </w:rPr>
              <w:t>1–8</w:t>
            </w:r>
          </w:p>
        </w:tc>
        <w:tc>
          <w:tcPr>
            <w:tcW w:w="712" w:type="dxa"/>
            <w:gridSpan w:val="2"/>
            <w:tcBorders>
              <w:top w:val="single" w:sz="6" w:space="0" w:color="auto"/>
              <w:left w:val="single" w:sz="6" w:space="0" w:color="auto"/>
              <w:bottom w:val="single" w:sz="6" w:space="0" w:color="auto"/>
              <w:right w:val="single" w:sz="6" w:space="0" w:color="auto"/>
            </w:tcBorders>
          </w:tcPr>
          <w:p w14:paraId="1B6C0EF0" w14:textId="6F9674C0"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A5EC1">
              <w:rPr>
                <w:sz w:val="22"/>
              </w:rPr>
              <w:t>8–14</w:t>
            </w: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FC3F17" w:rsidRPr="00C145F4"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FC3F17" w:rsidRPr="003F58FF"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39281E89"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06F0A899" w:rsidR="00FC3F17" w:rsidRPr="00C145F4"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 xml:space="preserve">Anders </w:t>
            </w:r>
            <w:proofErr w:type="spellStart"/>
            <w:r>
              <w:rPr>
                <w:sz w:val="22"/>
                <w:szCs w:val="22"/>
              </w:rPr>
              <w:t>Ygeman</w:t>
            </w:r>
            <w:proofErr w:type="spellEnd"/>
            <w:r w:rsidRPr="00C145F4">
              <w:rPr>
                <w:sz w:val="22"/>
                <w:szCs w:val="22"/>
              </w:rPr>
              <w:t xml:space="preserve">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FC3F17" w:rsidRPr="003F58FF"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532842D0"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FC3F17" w:rsidRPr="00C145F4" w:rsidRDefault="00FC3F17" w:rsidP="00FC3F17">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4A98059F"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4BAD6B5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0F951362" w:rsidR="00FC3F17" w:rsidRPr="00C145F4" w:rsidRDefault="00FC3F17" w:rsidP="00FC3F17">
            <w:pPr>
              <w:rPr>
                <w:sz w:val="22"/>
                <w:szCs w:val="22"/>
              </w:rPr>
            </w:pPr>
            <w:r w:rsidRPr="00FA7D56">
              <w:rPr>
                <w:sz w:val="22"/>
                <w:szCs w:val="22"/>
              </w:rPr>
              <w:t xml:space="preserve">Kristina Axén Olin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451C795B"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36013B40"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FC3F17" w:rsidRPr="00001172"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FC3F17" w:rsidRPr="00C145F4" w:rsidRDefault="00FC3F17" w:rsidP="00FC3F17">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5A839C0C" w:rsidR="00FC3F17" w:rsidRPr="003F58FF" w:rsidRDefault="00FC3F17" w:rsidP="00FC3F17">
            <w:pP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06874AB" w:rsidR="00FC3F17" w:rsidRDefault="00FC3F17" w:rsidP="00FC3F17">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7B7D815B"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FC3F17" w:rsidRPr="00C145F4" w:rsidRDefault="00FC3F17" w:rsidP="00FC3F17">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250B170"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39EA3728"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FC3F17" w:rsidRPr="00C145F4" w:rsidRDefault="00FC3F17" w:rsidP="00FC3F17">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09E80AF"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1CB4167E"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40571D6F"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FC3F17" w:rsidRPr="00EC27A5"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240B64B4" w:rsidR="00FC3F17" w:rsidRPr="00C145F4" w:rsidRDefault="00FC3F17" w:rsidP="00FC3F17">
            <w:pPr>
              <w:rPr>
                <w:sz w:val="22"/>
                <w:szCs w:val="22"/>
              </w:rPr>
            </w:pPr>
            <w:r w:rsidRPr="00FA7D56">
              <w:rPr>
                <w:sz w:val="22"/>
                <w:szCs w:val="22"/>
              </w:rPr>
              <w:t xml:space="preserve">Johanna Rantsi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43CF9C8A"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3A290381"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FC3F17" w:rsidRPr="00C145F4" w:rsidRDefault="00FC3F17" w:rsidP="00FC3F17">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0EB53FE4"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58F86C78"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FC3F17" w:rsidRPr="00C145F4" w:rsidRDefault="00FC3F17" w:rsidP="00FC3F17">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5A60B491"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68A0423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FC3F17" w:rsidRPr="00C145F4" w:rsidRDefault="00FC3F17" w:rsidP="00FC3F17">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666B604A" w:rsidR="00FC3F17" w:rsidRPr="003F58FF" w:rsidRDefault="00FC3F17" w:rsidP="00FC3F17">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4AFBF4FE" w:rsidR="00FC3F17" w:rsidRDefault="00FC3F17" w:rsidP="00FC3F17">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12FC82"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4C544458"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32167237" w:rsidR="00FC3F17" w:rsidRPr="00C145F4" w:rsidRDefault="00FC3F17" w:rsidP="00FC3F17">
            <w:pPr>
              <w:rPr>
                <w:sz w:val="22"/>
                <w:szCs w:val="22"/>
              </w:rPr>
            </w:pPr>
            <w:r>
              <w:rPr>
                <w:sz w:val="22"/>
                <w:szCs w:val="22"/>
              </w:rPr>
              <w:t xml:space="preserve">Oliver Rosengren </w:t>
            </w:r>
            <w:r w:rsidRPr="0042750F">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3EF297B4"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6BE731E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1E8B8F8A" w:rsidR="00FC3F17" w:rsidRPr="00C145F4" w:rsidRDefault="00FC3F17" w:rsidP="00FC3F17">
            <w:pPr>
              <w:rPr>
                <w:sz w:val="22"/>
                <w:szCs w:val="22"/>
              </w:rPr>
            </w:pPr>
            <w:r w:rsidRPr="004170B5">
              <w:rPr>
                <w:sz w:val="22"/>
                <w:szCs w:val="22"/>
              </w:rPr>
              <w:t xml:space="preserve">Isabell Mixter </w:t>
            </w:r>
            <w:r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06066695" w:rsidR="00FC3F17" w:rsidRPr="003F58FF" w:rsidRDefault="00FC3F17" w:rsidP="00FC3F17">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4C28DEF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7916773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FC3F17" w:rsidRPr="00C145F4" w:rsidRDefault="00FC3F17" w:rsidP="00FC3F17">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BB2AFA6"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391F864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FC3F17" w:rsidRPr="00C145F4" w:rsidRDefault="00FC3F17" w:rsidP="00FC3F17">
            <w:pPr>
              <w:rPr>
                <w:sz w:val="22"/>
                <w:szCs w:val="22"/>
              </w:rPr>
            </w:pPr>
            <w:r>
              <w:rPr>
                <w:sz w:val="22"/>
                <w:szCs w:val="22"/>
              </w:rPr>
              <w:t>Niels Paarup-Petersen</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3E9A1D06" w:rsidR="00FC3F17" w:rsidRPr="003F58FF" w:rsidRDefault="00FC3F17" w:rsidP="00FC3F17">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46C8F28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6DC5E48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FC3F17" w:rsidRPr="00C145F4" w:rsidRDefault="00FC3F17" w:rsidP="00FC3F17">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FC3F17" w:rsidRPr="003F58FF" w:rsidRDefault="00FC3F17" w:rsidP="00FC3F17">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11097CA7" w:rsidR="00FC3F17" w:rsidRDefault="00FC3F17" w:rsidP="00FC3F17">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6484D413"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FC3F17" w:rsidRPr="00C145F4" w:rsidRDefault="00FC3F17" w:rsidP="00FC3F17">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3958402E" w:rsidR="00FC3F17" w:rsidRPr="003F58FF" w:rsidRDefault="00FC3F17" w:rsidP="00FC3F17">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6BF4045F"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FC3F17" w:rsidRDefault="00FC3F17" w:rsidP="00FC3F17"/>
        </w:tc>
        <w:tc>
          <w:tcPr>
            <w:tcW w:w="356" w:type="dxa"/>
            <w:tcBorders>
              <w:top w:val="single" w:sz="6" w:space="0" w:color="auto"/>
              <w:left w:val="single" w:sz="6" w:space="0" w:color="auto"/>
              <w:bottom w:val="single" w:sz="6" w:space="0" w:color="auto"/>
              <w:right w:val="single" w:sz="6" w:space="0" w:color="auto"/>
            </w:tcBorders>
          </w:tcPr>
          <w:p w14:paraId="64CAEADD"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FC3F17"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C3F17"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FC3F17" w:rsidRPr="00C145F4" w:rsidRDefault="00FC3F17" w:rsidP="00FC3F17">
            <w:pPr>
              <w:rPr>
                <w:sz w:val="22"/>
                <w:szCs w:val="22"/>
              </w:rPr>
            </w:pPr>
            <w:r w:rsidRPr="00B45668">
              <w:rPr>
                <w:sz w:val="22"/>
                <w:szCs w:val="22"/>
              </w:rPr>
              <w:t>Robert Olesen</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628593C7" w:rsidR="00FC3F17" w:rsidRPr="003F58FF"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23B94093"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C3F17"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8CB7A88" w:rsidR="00FC3F17" w:rsidRPr="00C145F4" w:rsidRDefault="00FC3F17" w:rsidP="00FC3F17">
            <w:pPr>
              <w:rPr>
                <w:sz w:val="22"/>
                <w:szCs w:val="22"/>
              </w:rPr>
            </w:pPr>
            <w:r>
              <w:rPr>
                <w:sz w:val="22"/>
                <w:szCs w:val="22"/>
              </w:rPr>
              <w:t>Lars-Ingvar Ljungman (M)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423E9A05" w:rsidR="00FC3F17" w:rsidRPr="003F58FF"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F58FF">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14EF1DDF"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3F58FF">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C3F17"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FC3F17" w:rsidRPr="00C145F4" w:rsidRDefault="00FC3F17" w:rsidP="00FC3F17">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4954C3B3" w:rsidR="00FC3F17" w:rsidRPr="003F58FF"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3459BF04"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FC3F17" w:rsidRPr="009E1FCA" w:rsidRDefault="00FC3F17" w:rsidP="00FC3F1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3CD5D0B2" w:rsidR="00B22FB7" w:rsidRPr="00C145F4" w:rsidRDefault="00FA7D56" w:rsidP="007A14AA">
            <w:pPr>
              <w:rPr>
                <w:sz w:val="22"/>
                <w:szCs w:val="22"/>
              </w:rPr>
            </w:pPr>
            <w:r>
              <w:rPr>
                <w:sz w:val="22"/>
                <w:szCs w:val="22"/>
              </w:rPr>
              <w:t>Vakant</w:t>
            </w:r>
            <w:r w:rsidR="00B22FB7">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3C5A93E" w:rsidR="00822AF4" w:rsidRPr="003F58FF" w:rsidRDefault="0011426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201CF79" w:rsidR="00822AF4" w:rsidRDefault="00FC3F1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13860AA4"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4A8138B0"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5A6888C9" w:rsidR="00822AF4" w:rsidRDefault="00FC3F1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6E431633" w:rsidR="00822AF4" w:rsidRPr="00C145F4" w:rsidRDefault="004170B5" w:rsidP="007A14AA">
            <w:pPr>
              <w:rPr>
                <w:sz w:val="22"/>
                <w:szCs w:val="22"/>
              </w:rPr>
            </w:pPr>
            <w:r w:rsidRPr="004170B5">
              <w:rPr>
                <w:sz w:val="22"/>
                <w:szCs w:val="22"/>
              </w:rPr>
              <w:t xml:space="preserve">Ilona Szatmári Waldau </w:t>
            </w:r>
            <w:r w:rsidR="00822AF4" w:rsidRPr="00E83E1F">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lastRenderedPageBreak/>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EB39D90" w:rsidR="0029458D" w:rsidRDefault="00F9481A" w:rsidP="007A14AA">
            <w:pPr>
              <w:rPr>
                <w:sz w:val="22"/>
                <w:szCs w:val="22"/>
              </w:rPr>
            </w:pPr>
            <w:r>
              <w:rPr>
                <w:sz w:val="22"/>
                <w:szCs w:val="22"/>
              </w:rPr>
              <w:t>Ciczie Weidby</w:t>
            </w:r>
            <w:r w:rsidR="0029458D">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Pr="003F58FF"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75E8F" w14:paraId="058D7B8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80C9B7" w14:textId="4E735E0C" w:rsidR="00975E8F" w:rsidRDefault="00975E8F" w:rsidP="007A14AA">
            <w:pPr>
              <w:rPr>
                <w:sz w:val="22"/>
                <w:szCs w:val="22"/>
              </w:rPr>
            </w:pPr>
            <w:r w:rsidRPr="00975E8F">
              <w:rPr>
                <w:sz w:val="22"/>
                <w:szCs w:val="22"/>
              </w:rPr>
              <w:t>Lena Bäckelin (S)</w:t>
            </w:r>
          </w:p>
        </w:tc>
        <w:tc>
          <w:tcPr>
            <w:tcW w:w="356" w:type="dxa"/>
            <w:gridSpan w:val="2"/>
            <w:tcBorders>
              <w:top w:val="single" w:sz="6" w:space="0" w:color="auto"/>
              <w:left w:val="single" w:sz="6" w:space="0" w:color="auto"/>
              <w:bottom w:val="single" w:sz="6" w:space="0" w:color="auto"/>
              <w:right w:val="single" w:sz="6" w:space="0" w:color="auto"/>
            </w:tcBorders>
          </w:tcPr>
          <w:p w14:paraId="43C72E8C" w14:textId="77777777" w:rsidR="00975E8F" w:rsidRPr="003F58F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18C1F"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79643F"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077657"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3BCF2"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848BD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F5C81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A066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A47469"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2B590"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C31D9"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1382E"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F541B5"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6A67B"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0E10259D" w14:textId="1F4B41F4" w:rsidR="00AB2E46" w:rsidRDefault="00AB2E46" w:rsidP="00AD346A">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93E2094"/>
    <w:multiLevelType w:val="hybridMultilevel"/>
    <w:tmpl w:val="EF147432"/>
    <w:lvl w:ilvl="0" w:tplc="0DD051FE">
      <w:start w:val="1"/>
      <w:numFmt w:val="decimal"/>
      <w:lvlText w:val="%1."/>
      <w:lvlJc w:val="left"/>
      <w:pPr>
        <w:ind w:left="1746" w:hanging="360"/>
      </w:pPr>
      <w:rPr>
        <w:b/>
        <w:b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33465"/>
    <w:rsid w:val="00050807"/>
    <w:rsid w:val="00071F8E"/>
    <w:rsid w:val="00073768"/>
    <w:rsid w:val="000867B0"/>
    <w:rsid w:val="0009467D"/>
    <w:rsid w:val="00096E79"/>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14262"/>
    <w:rsid w:val="00121E7B"/>
    <w:rsid w:val="00123C5B"/>
    <w:rsid w:val="00126727"/>
    <w:rsid w:val="00127778"/>
    <w:rsid w:val="0013107A"/>
    <w:rsid w:val="00135412"/>
    <w:rsid w:val="00135867"/>
    <w:rsid w:val="00143656"/>
    <w:rsid w:val="00161A87"/>
    <w:rsid w:val="00163039"/>
    <w:rsid w:val="001634B9"/>
    <w:rsid w:val="001671DE"/>
    <w:rsid w:val="001712BC"/>
    <w:rsid w:val="00186651"/>
    <w:rsid w:val="001929DC"/>
    <w:rsid w:val="0019344E"/>
    <w:rsid w:val="001A287E"/>
    <w:rsid w:val="001A5933"/>
    <w:rsid w:val="001D2973"/>
    <w:rsid w:val="001D5522"/>
    <w:rsid w:val="001F30E5"/>
    <w:rsid w:val="001F5AC6"/>
    <w:rsid w:val="002026D3"/>
    <w:rsid w:val="002059AD"/>
    <w:rsid w:val="00207D45"/>
    <w:rsid w:val="00210E6C"/>
    <w:rsid w:val="0022226E"/>
    <w:rsid w:val="00224EC3"/>
    <w:rsid w:val="00237DB6"/>
    <w:rsid w:val="002406D5"/>
    <w:rsid w:val="00241043"/>
    <w:rsid w:val="002462FF"/>
    <w:rsid w:val="00253162"/>
    <w:rsid w:val="002608E3"/>
    <w:rsid w:val="00267FC1"/>
    <w:rsid w:val="002711A1"/>
    <w:rsid w:val="002830F8"/>
    <w:rsid w:val="002871AD"/>
    <w:rsid w:val="0029458D"/>
    <w:rsid w:val="002A3434"/>
    <w:rsid w:val="002A5EC1"/>
    <w:rsid w:val="002B5161"/>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3F58FF"/>
    <w:rsid w:val="00402D5D"/>
    <w:rsid w:val="0040376B"/>
    <w:rsid w:val="00407517"/>
    <w:rsid w:val="00411691"/>
    <w:rsid w:val="004170B5"/>
    <w:rsid w:val="004214D1"/>
    <w:rsid w:val="00424C64"/>
    <w:rsid w:val="0042750F"/>
    <w:rsid w:val="004309E7"/>
    <w:rsid w:val="00437505"/>
    <w:rsid w:val="00447E69"/>
    <w:rsid w:val="004514FD"/>
    <w:rsid w:val="00453542"/>
    <w:rsid w:val="0045482B"/>
    <w:rsid w:val="004610E6"/>
    <w:rsid w:val="004674B5"/>
    <w:rsid w:val="00483EB5"/>
    <w:rsid w:val="004875DF"/>
    <w:rsid w:val="004C4C01"/>
    <w:rsid w:val="004C7522"/>
    <w:rsid w:val="004D13B3"/>
    <w:rsid w:val="004E024A"/>
    <w:rsid w:val="004E4037"/>
    <w:rsid w:val="00501D18"/>
    <w:rsid w:val="005054C4"/>
    <w:rsid w:val="00506F63"/>
    <w:rsid w:val="00520D71"/>
    <w:rsid w:val="005331E3"/>
    <w:rsid w:val="005349AA"/>
    <w:rsid w:val="005739C0"/>
    <w:rsid w:val="00575176"/>
    <w:rsid w:val="00576AFA"/>
    <w:rsid w:val="00583395"/>
    <w:rsid w:val="00583692"/>
    <w:rsid w:val="00587BBF"/>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24FF4"/>
    <w:rsid w:val="00637376"/>
    <w:rsid w:val="00650ADB"/>
    <w:rsid w:val="00654347"/>
    <w:rsid w:val="00656420"/>
    <w:rsid w:val="00656ECC"/>
    <w:rsid w:val="00662279"/>
    <w:rsid w:val="00666846"/>
    <w:rsid w:val="00667E8B"/>
    <w:rsid w:val="00671F8F"/>
    <w:rsid w:val="0067487F"/>
    <w:rsid w:val="00680665"/>
    <w:rsid w:val="006826CB"/>
    <w:rsid w:val="006965E4"/>
    <w:rsid w:val="006A2991"/>
    <w:rsid w:val="006B026C"/>
    <w:rsid w:val="006B1BCF"/>
    <w:rsid w:val="006B1D76"/>
    <w:rsid w:val="006B4C5A"/>
    <w:rsid w:val="006B65A5"/>
    <w:rsid w:val="006B7A08"/>
    <w:rsid w:val="006D3F07"/>
    <w:rsid w:val="006E01B0"/>
    <w:rsid w:val="006E0945"/>
    <w:rsid w:val="006E6B54"/>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543B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75E8F"/>
    <w:rsid w:val="00985715"/>
    <w:rsid w:val="009A1313"/>
    <w:rsid w:val="009A164A"/>
    <w:rsid w:val="009A1CEC"/>
    <w:rsid w:val="009A292F"/>
    <w:rsid w:val="009B47EF"/>
    <w:rsid w:val="009B52FA"/>
    <w:rsid w:val="009D493C"/>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DB2"/>
    <w:rsid w:val="00A65178"/>
    <w:rsid w:val="00A66B33"/>
    <w:rsid w:val="00A77DB6"/>
    <w:rsid w:val="00A84772"/>
    <w:rsid w:val="00A956F9"/>
    <w:rsid w:val="00AB2E46"/>
    <w:rsid w:val="00AB3B80"/>
    <w:rsid w:val="00AB5776"/>
    <w:rsid w:val="00AC33D3"/>
    <w:rsid w:val="00AD346A"/>
    <w:rsid w:val="00AD44A0"/>
    <w:rsid w:val="00AF0314"/>
    <w:rsid w:val="00AF2B05"/>
    <w:rsid w:val="00AF4D2B"/>
    <w:rsid w:val="00AF62C3"/>
    <w:rsid w:val="00B1265F"/>
    <w:rsid w:val="00B22FB7"/>
    <w:rsid w:val="00B2693D"/>
    <w:rsid w:val="00B26ACD"/>
    <w:rsid w:val="00B36F2A"/>
    <w:rsid w:val="00B40576"/>
    <w:rsid w:val="00B432F2"/>
    <w:rsid w:val="00B45668"/>
    <w:rsid w:val="00B529AF"/>
    <w:rsid w:val="00B6136A"/>
    <w:rsid w:val="00B63606"/>
    <w:rsid w:val="00B73227"/>
    <w:rsid w:val="00B734EF"/>
    <w:rsid w:val="00B873BB"/>
    <w:rsid w:val="00B8773E"/>
    <w:rsid w:val="00BA05FF"/>
    <w:rsid w:val="00BA1F9C"/>
    <w:rsid w:val="00BA404C"/>
    <w:rsid w:val="00BB4FC6"/>
    <w:rsid w:val="00BB6E1B"/>
    <w:rsid w:val="00BB7028"/>
    <w:rsid w:val="00BD09A6"/>
    <w:rsid w:val="00BD0D32"/>
    <w:rsid w:val="00BD3A78"/>
    <w:rsid w:val="00BF1E92"/>
    <w:rsid w:val="00BF41C2"/>
    <w:rsid w:val="00BF5F58"/>
    <w:rsid w:val="00C04265"/>
    <w:rsid w:val="00C1169B"/>
    <w:rsid w:val="00C13B6E"/>
    <w:rsid w:val="00C145F4"/>
    <w:rsid w:val="00C150F8"/>
    <w:rsid w:val="00C152B6"/>
    <w:rsid w:val="00C21DC4"/>
    <w:rsid w:val="00C24CCF"/>
    <w:rsid w:val="00C318F6"/>
    <w:rsid w:val="00C367F8"/>
    <w:rsid w:val="00C422E7"/>
    <w:rsid w:val="00C54112"/>
    <w:rsid w:val="00C616C4"/>
    <w:rsid w:val="00C62BD3"/>
    <w:rsid w:val="00C6692B"/>
    <w:rsid w:val="00C66AC4"/>
    <w:rsid w:val="00C76BCC"/>
    <w:rsid w:val="00C77DBB"/>
    <w:rsid w:val="00C82E31"/>
    <w:rsid w:val="00C866DE"/>
    <w:rsid w:val="00C87373"/>
    <w:rsid w:val="00C91495"/>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26FA3"/>
    <w:rsid w:val="00D35718"/>
    <w:rsid w:val="00D40FEB"/>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6D84"/>
    <w:rsid w:val="00E37728"/>
    <w:rsid w:val="00E45BEC"/>
    <w:rsid w:val="00E52F02"/>
    <w:rsid w:val="00E72E3F"/>
    <w:rsid w:val="00E776AC"/>
    <w:rsid w:val="00E77ADF"/>
    <w:rsid w:val="00E810DC"/>
    <w:rsid w:val="00E81B4F"/>
    <w:rsid w:val="00E93918"/>
    <w:rsid w:val="00EB577E"/>
    <w:rsid w:val="00EC0FFD"/>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9481A"/>
    <w:rsid w:val="00FA12EF"/>
    <w:rsid w:val="00FA543D"/>
    <w:rsid w:val="00FA7D56"/>
    <w:rsid w:val="00FB46D8"/>
    <w:rsid w:val="00FC3F17"/>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Kommentarsreferens">
    <w:name w:val="annotation reference"/>
    <w:basedOn w:val="Standardstycketeckensnitt"/>
    <w:rsid w:val="00135867"/>
    <w:rPr>
      <w:sz w:val="16"/>
      <w:szCs w:val="16"/>
    </w:rPr>
  </w:style>
  <w:style w:type="paragraph" w:styleId="Kommentarer">
    <w:name w:val="annotation text"/>
    <w:basedOn w:val="Normal"/>
    <w:link w:val="KommentarerChar"/>
    <w:rsid w:val="00135867"/>
    <w:rPr>
      <w:sz w:val="20"/>
    </w:rPr>
  </w:style>
  <w:style w:type="character" w:customStyle="1" w:styleId="KommentarerChar">
    <w:name w:val="Kommentarer Char"/>
    <w:basedOn w:val="Standardstycketeckensnitt"/>
    <w:link w:val="Kommentarer"/>
    <w:rsid w:val="00135867"/>
  </w:style>
  <w:style w:type="paragraph" w:styleId="Kommentarsmne">
    <w:name w:val="annotation subject"/>
    <w:basedOn w:val="Kommentarer"/>
    <w:next w:val="Kommentarer"/>
    <w:link w:val="KommentarsmneChar"/>
    <w:rsid w:val="00135867"/>
    <w:rPr>
      <w:b/>
      <w:bCs/>
    </w:rPr>
  </w:style>
  <w:style w:type="character" w:customStyle="1" w:styleId="KommentarsmneChar">
    <w:name w:val="Kommentarsämne Char"/>
    <w:basedOn w:val="KommentarerChar"/>
    <w:link w:val="Kommentarsmne"/>
    <w:rsid w:val="00135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4892">
      <w:bodyDiv w:val="1"/>
      <w:marLeft w:val="0"/>
      <w:marRight w:val="0"/>
      <w:marTop w:val="0"/>
      <w:marBottom w:val="0"/>
      <w:divBdr>
        <w:top w:val="none" w:sz="0" w:space="0" w:color="auto"/>
        <w:left w:val="none" w:sz="0" w:space="0" w:color="auto"/>
        <w:bottom w:val="none" w:sz="0" w:space="0" w:color="auto"/>
        <w:right w:val="none" w:sz="0" w:space="0" w:color="auto"/>
      </w:divBdr>
    </w:div>
    <w:div w:id="606692361">
      <w:bodyDiv w:val="1"/>
      <w:marLeft w:val="0"/>
      <w:marRight w:val="0"/>
      <w:marTop w:val="0"/>
      <w:marBottom w:val="0"/>
      <w:divBdr>
        <w:top w:val="none" w:sz="0" w:space="0" w:color="auto"/>
        <w:left w:val="none" w:sz="0" w:space="0" w:color="auto"/>
        <w:bottom w:val="none" w:sz="0" w:space="0" w:color="auto"/>
        <w:right w:val="none" w:sz="0" w:space="0" w:color="auto"/>
      </w:divBdr>
    </w:div>
    <w:div w:id="989867063">
      <w:bodyDiv w:val="1"/>
      <w:marLeft w:val="0"/>
      <w:marRight w:val="0"/>
      <w:marTop w:val="0"/>
      <w:marBottom w:val="0"/>
      <w:divBdr>
        <w:top w:val="none" w:sz="0" w:space="0" w:color="auto"/>
        <w:left w:val="none" w:sz="0" w:space="0" w:color="auto"/>
        <w:bottom w:val="none" w:sz="0" w:space="0" w:color="auto"/>
        <w:right w:val="none" w:sz="0" w:space="0" w:color="auto"/>
      </w:divBdr>
    </w:div>
    <w:div w:id="1124036476">
      <w:bodyDiv w:val="1"/>
      <w:marLeft w:val="0"/>
      <w:marRight w:val="0"/>
      <w:marTop w:val="0"/>
      <w:marBottom w:val="0"/>
      <w:divBdr>
        <w:top w:val="none" w:sz="0" w:space="0" w:color="auto"/>
        <w:left w:val="none" w:sz="0" w:space="0" w:color="auto"/>
        <w:bottom w:val="none" w:sz="0" w:space="0" w:color="auto"/>
        <w:right w:val="none" w:sz="0" w:space="0" w:color="auto"/>
      </w:divBdr>
    </w:div>
    <w:div w:id="1400666942">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 w:id="1636910570">
      <w:bodyDiv w:val="1"/>
      <w:marLeft w:val="0"/>
      <w:marRight w:val="0"/>
      <w:marTop w:val="0"/>
      <w:marBottom w:val="0"/>
      <w:divBdr>
        <w:top w:val="none" w:sz="0" w:space="0" w:color="auto"/>
        <w:left w:val="none" w:sz="0" w:space="0" w:color="auto"/>
        <w:bottom w:val="none" w:sz="0" w:space="0" w:color="auto"/>
        <w:right w:val="none" w:sz="0" w:space="0" w:color="auto"/>
      </w:divBdr>
    </w:div>
    <w:div w:id="1804881327">
      <w:bodyDiv w:val="1"/>
      <w:marLeft w:val="0"/>
      <w:marRight w:val="0"/>
      <w:marTop w:val="0"/>
      <w:marBottom w:val="0"/>
      <w:divBdr>
        <w:top w:val="none" w:sz="0" w:space="0" w:color="auto"/>
        <w:left w:val="none" w:sz="0" w:space="0" w:color="auto"/>
        <w:bottom w:val="none" w:sz="0" w:space="0" w:color="auto"/>
        <w:right w:val="none" w:sz="0" w:space="0" w:color="auto"/>
      </w:divBdr>
    </w:div>
    <w:div w:id="21167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1239</Words>
  <Characters>8900</Characters>
  <Application>Microsoft Office Word</Application>
  <DocSecurity>0</DocSecurity>
  <Lines>1112</Lines>
  <Paragraphs>241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2025-11-27T10:12:00Z</dcterms:created>
  <dcterms:modified xsi:type="dcterms:W3CDTF">2025-11-27T10:12:00Z</dcterms:modified>
</cp:coreProperties>
</file>