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447E69" w:rsidTr="00572A6C">
        <w:tc>
          <w:tcPr>
            <w:tcW w:w="9141" w:type="dxa"/>
          </w:tcPr>
          <w:p w:rsidR="00447E69" w:rsidRDefault="00306C08">
            <w:bookmarkStart w:id="0" w:name="_GoBack"/>
            <w:bookmarkEnd w:id="0"/>
            <w:r>
              <w:t>FÖRSVARS</w:t>
            </w:r>
            <w:r w:rsidR="00447E69">
              <w:t>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PROTOKOLL</w:t>
            </w:r>
          </w:p>
        </w:tc>
        <w:tc>
          <w:tcPr>
            <w:tcW w:w="6463" w:type="dxa"/>
          </w:tcPr>
          <w:p w:rsidR="00447E69" w:rsidRPr="00185D74" w:rsidRDefault="00E04650">
            <w:pPr>
              <w:rPr>
                <w:b/>
                <w:color w:val="000000" w:themeColor="text1"/>
              </w:rPr>
            </w:pPr>
            <w:r>
              <w:rPr>
                <w:b/>
              </w:rPr>
              <w:t>UTSKOTTSSAMMANTRÄDE 20</w:t>
            </w:r>
            <w:r w:rsidR="007F79EB">
              <w:rPr>
                <w:b/>
              </w:rPr>
              <w:t>20</w:t>
            </w:r>
            <w:r w:rsidR="00C866DE">
              <w:rPr>
                <w:b/>
              </w:rPr>
              <w:t>/</w:t>
            </w:r>
            <w:r w:rsidR="0066405B">
              <w:rPr>
                <w:b/>
              </w:rPr>
              <w:t>2</w:t>
            </w:r>
            <w:r w:rsidR="007F79EB">
              <w:rPr>
                <w:b/>
              </w:rPr>
              <w:t>1</w:t>
            </w:r>
            <w:r w:rsidR="00D74D98" w:rsidRPr="00185D74">
              <w:rPr>
                <w:b/>
                <w:color w:val="000000" w:themeColor="text1"/>
              </w:rPr>
              <w:t>:</w:t>
            </w:r>
            <w:r w:rsidR="00FC2CE6">
              <w:rPr>
                <w:b/>
                <w:color w:val="000000" w:themeColor="text1"/>
              </w:rPr>
              <w:t>2</w:t>
            </w:r>
            <w:r w:rsidR="00AD5392">
              <w:rPr>
                <w:b/>
                <w:color w:val="000000" w:themeColor="text1"/>
              </w:rPr>
              <w:t>2</w:t>
            </w:r>
          </w:p>
          <w:p w:rsidR="00447E69" w:rsidRDefault="00447E69">
            <w:pPr>
              <w:rPr>
                <w:b/>
              </w:rPr>
            </w:pPr>
          </w:p>
        </w:tc>
      </w:tr>
      <w:tr w:rsidR="00447E69">
        <w:tc>
          <w:tcPr>
            <w:tcW w:w="1985" w:type="dxa"/>
          </w:tcPr>
          <w:p w:rsidR="00447E69" w:rsidRDefault="00447E69">
            <w:r>
              <w:t>DATUM</w:t>
            </w:r>
          </w:p>
        </w:tc>
        <w:tc>
          <w:tcPr>
            <w:tcW w:w="6463" w:type="dxa"/>
          </w:tcPr>
          <w:p w:rsidR="00447E69" w:rsidRDefault="002C17EC" w:rsidP="00C75984">
            <w:r>
              <w:t>20</w:t>
            </w:r>
            <w:r w:rsidR="005E4AF1">
              <w:t>2</w:t>
            </w:r>
            <w:r w:rsidR="00A32DF4">
              <w:t>1</w:t>
            </w:r>
            <w:r w:rsidR="00185D74">
              <w:t>-</w:t>
            </w:r>
            <w:r w:rsidR="00164597">
              <w:t>0</w:t>
            </w:r>
            <w:r w:rsidR="00AD5392">
              <w:t>2</w:t>
            </w:r>
            <w:r w:rsidR="004E4521">
              <w:t>-</w:t>
            </w:r>
            <w:r w:rsidR="00AD5392">
              <w:t>10</w:t>
            </w:r>
          </w:p>
        </w:tc>
      </w:tr>
      <w:tr w:rsidR="00447E69">
        <w:tc>
          <w:tcPr>
            <w:tcW w:w="1985" w:type="dxa"/>
          </w:tcPr>
          <w:p w:rsidR="00447E69" w:rsidRDefault="00447E69">
            <w:r>
              <w:t>TID</w:t>
            </w:r>
          </w:p>
        </w:tc>
        <w:tc>
          <w:tcPr>
            <w:tcW w:w="6463" w:type="dxa"/>
          </w:tcPr>
          <w:p w:rsidR="00447E69" w:rsidRDefault="00AD5392" w:rsidP="00477247">
            <w:r>
              <w:t>08</w:t>
            </w:r>
            <w:r w:rsidR="00185D74">
              <w:t>.00</w:t>
            </w:r>
            <w:r w:rsidR="00FA543D">
              <w:t>–</w:t>
            </w:r>
            <w:r w:rsidR="00952235">
              <w:t>08.50</w:t>
            </w:r>
          </w:p>
        </w:tc>
      </w:tr>
      <w:tr w:rsidR="00447E69">
        <w:tc>
          <w:tcPr>
            <w:tcW w:w="1985" w:type="dxa"/>
          </w:tcPr>
          <w:p w:rsidR="00447E69" w:rsidRDefault="00BF67D4" w:rsidP="002B0E8A">
            <w:r>
              <w:t>NÄRVARANDE</w:t>
            </w:r>
          </w:p>
        </w:tc>
        <w:tc>
          <w:tcPr>
            <w:tcW w:w="6463" w:type="dxa"/>
          </w:tcPr>
          <w:p w:rsidR="00447E69" w:rsidRDefault="00576AFA">
            <w:r>
              <w:t>Se bilaga</w:t>
            </w:r>
            <w:r w:rsidR="00A956F9">
              <w:t xml:space="preserve"> </w:t>
            </w:r>
          </w:p>
        </w:tc>
      </w:tr>
    </w:tbl>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8789" w:type="dxa"/>
        <w:tblInd w:w="212" w:type="dxa"/>
        <w:tblLayout w:type="fixed"/>
        <w:tblCellMar>
          <w:left w:w="70" w:type="dxa"/>
          <w:right w:w="70" w:type="dxa"/>
        </w:tblCellMar>
        <w:tblLook w:val="00A0" w:firstRow="1" w:lastRow="0" w:firstColumn="1" w:lastColumn="0" w:noHBand="0" w:noVBand="0"/>
      </w:tblPr>
      <w:tblGrid>
        <w:gridCol w:w="1275"/>
        <w:gridCol w:w="566"/>
        <w:gridCol w:w="1416"/>
        <w:gridCol w:w="142"/>
        <w:gridCol w:w="45"/>
        <w:gridCol w:w="356"/>
        <w:gridCol w:w="356"/>
        <w:gridCol w:w="356"/>
        <w:gridCol w:w="356"/>
        <w:gridCol w:w="356"/>
        <w:gridCol w:w="356"/>
        <w:gridCol w:w="356"/>
        <w:gridCol w:w="356"/>
        <w:gridCol w:w="356"/>
        <w:gridCol w:w="295"/>
        <w:gridCol w:w="61"/>
        <w:gridCol w:w="356"/>
        <w:gridCol w:w="356"/>
        <w:gridCol w:w="356"/>
        <w:gridCol w:w="358"/>
        <w:gridCol w:w="359"/>
      </w:tblGrid>
      <w:tr w:rsidR="00982EFA" w:rsidTr="00572A6C">
        <w:trPr>
          <w:gridBefore w:val="1"/>
          <w:wBefore w:w="1276" w:type="dxa"/>
        </w:trPr>
        <w:tc>
          <w:tcPr>
            <w:tcW w:w="567" w:type="dxa"/>
          </w:tcPr>
          <w:p w:rsidR="00982EFA" w:rsidRDefault="00982EFA">
            <w:pPr>
              <w:tabs>
                <w:tab w:val="left" w:pos="1701"/>
              </w:tabs>
              <w:rPr>
                <w:b/>
                <w:snapToGrid w:val="0"/>
              </w:rPr>
            </w:pPr>
            <w:r>
              <w:rPr>
                <w:b/>
                <w:snapToGrid w:val="0"/>
              </w:rPr>
              <w:t xml:space="preserve">§ </w:t>
            </w:r>
            <w:r w:rsidR="00367515">
              <w:rPr>
                <w:b/>
                <w:snapToGrid w:val="0"/>
              </w:rPr>
              <w:t>1</w:t>
            </w:r>
          </w:p>
        </w:tc>
        <w:tc>
          <w:tcPr>
            <w:tcW w:w="6946" w:type="dxa"/>
            <w:gridSpan w:val="19"/>
          </w:tcPr>
          <w:p w:rsidR="002B0E8A" w:rsidRDefault="002B0E8A" w:rsidP="002B0E8A">
            <w:pPr>
              <w:tabs>
                <w:tab w:val="left" w:pos="1701"/>
              </w:tabs>
              <w:rPr>
                <w:b/>
                <w:snapToGrid w:val="0"/>
              </w:rPr>
            </w:pPr>
            <w:r>
              <w:rPr>
                <w:b/>
                <w:snapToGrid w:val="0"/>
              </w:rPr>
              <w:t>Medgivande att delta på distans</w:t>
            </w:r>
          </w:p>
          <w:p w:rsidR="002B0E8A" w:rsidRDefault="002B0E8A" w:rsidP="002B0E8A">
            <w:pPr>
              <w:tabs>
                <w:tab w:val="left" w:pos="1701"/>
              </w:tabs>
              <w:rPr>
                <w:snapToGrid w:val="0"/>
              </w:rPr>
            </w:pPr>
          </w:p>
          <w:p w:rsidR="00AD5392" w:rsidRPr="00AD5392" w:rsidRDefault="00AD5392" w:rsidP="00AD5392">
            <w:pPr>
              <w:tabs>
                <w:tab w:val="left" w:pos="1701"/>
              </w:tabs>
              <w:rPr>
                <w:snapToGrid w:val="0"/>
                <w:color w:val="000000" w:themeColor="text1"/>
              </w:rPr>
            </w:pPr>
            <w:r w:rsidRPr="00AD5392">
              <w:rPr>
                <w:snapToGrid w:val="0"/>
                <w:color w:val="000000" w:themeColor="text1"/>
              </w:rPr>
              <w:t>Utskottet medgav deltagande på distans för följande ledamöter och suppleanter: Niklas Karlsson (S), Paula Holmqvist (S), Jan R Andersson (M), Roger Richthoff (SD), Mattias Ottosson (S), Daniel Bäckström (C), Hanna Gunnarsson (V), Jörgen Berglund (M), Sven-Olof Sällström (SD), Kalle Olsson (S),</w:t>
            </w:r>
            <w:r w:rsidR="009A766D">
              <w:rPr>
                <w:snapToGrid w:val="0"/>
                <w:color w:val="000000" w:themeColor="text1"/>
              </w:rPr>
              <w:t xml:space="preserve"> </w:t>
            </w:r>
            <w:r w:rsidRPr="00AD5392">
              <w:rPr>
                <w:snapToGrid w:val="0"/>
                <w:color w:val="000000" w:themeColor="text1"/>
              </w:rPr>
              <w:t>Alexandra Völker (S), Allan Widman (L), Caroline Nordengrip (SD), Elisabeth Falkhaven (MP), Alexandra Anstrell (M), ClasGöran Carlsson (S), Jessika Roswall (M), Heléne Björklund (S), Lars Andersson (SD)</w:t>
            </w:r>
            <w:r w:rsidR="009A766D">
              <w:rPr>
                <w:snapToGrid w:val="0"/>
                <w:color w:val="000000" w:themeColor="text1"/>
              </w:rPr>
              <w:t xml:space="preserve"> och </w:t>
            </w:r>
            <w:r w:rsidRPr="00AD5392">
              <w:rPr>
                <w:snapToGrid w:val="0"/>
                <w:color w:val="000000" w:themeColor="text1"/>
              </w:rPr>
              <w:t>Hans Wallmark (M)</w:t>
            </w:r>
            <w:r w:rsidR="00161845">
              <w:rPr>
                <w:snapToGrid w:val="0"/>
                <w:color w:val="000000" w:themeColor="text1"/>
              </w:rPr>
              <w:t>.</w:t>
            </w:r>
          </w:p>
          <w:p w:rsidR="008E4AD6" w:rsidRDefault="008E4AD6" w:rsidP="00AD5392">
            <w:pPr>
              <w:tabs>
                <w:tab w:val="left" w:pos="1701"/>
              </w:tabs>
              <w:rPr>
                <w:snapToGrid w:val="0"/>
                <w:color w:val="000000" w:themeColor="text1"/>
              </w:rPr>
            </w:pPr>
          </w:p>
          <w:p w:rsidR="008E4AD6" w:rsidRPr="00AD5392" w:rsidRDefault="008E4AD6" w:rsidP="00AD5392">
            <w:pPr>
              <w:tabs>
                <w:tab w:val="left" w:pos="1701"/>
              </w:tabs>
              <w:rPr>
                <w:snapToGrid w:val="0"/>
                <w:color w:val="000000" w:themeColor="text1"/>
              </w:rPr>
            </w:pPr>
            <w:r>
              <w:rPr>
                <w:snapToGrid w:val="0"/>
                <w:color w:val="000000" w:themeColor="text1"/>
              </w:rPr>
              <w:t xml:space="preserve">En tjänsteman från EU-nämndens kansli var uppkopplad på distans under punkterna </w:t>
            </w:r>
            <w:r w:rsidR="009A766D">
              <w:rPr>
                <w:snapToGrid w:val="0"/>
                <w:color w:val="000000" w:themeColor="text1"/>
              </w:rPr>
              <w:t>2</w:t>
            </w:r>
            <w:r>
              <w:rPr>
                <w:snapToGrid w:val="0"/>
                <w:color w:val="000000" w:themeColor="text1"/>
              </w:rPr>
              <w:t>–</w:t>
            </w:r>
            <w:r w:rsidR="009A766D">
              <w:rPr>
                <w:snapToGrid w:val="0"/>
                <w:color w:val="000000" w:themeColor="text1"/>
              </w:rPr>
              <w:t>4</w:t>
            </w:r>
            <w:r>
              <w:rPr>
                <w:snapToGrid w:val="0"/>
                <w:color w:val="000000" w:themeColor="text1"/>
              </w:rPr>
              <w:t>.</w:t>
            </w:r>
          </w:p>
          <w:p w:rsidR="00827383" w:rsidRPr="002B7C8D" w:rsidRDefault="00827383" w:rsidP="00AD5392">
            <w:pPr>
              <w:tabs>
                <w:tab w:val="left" w:pos="1701"/>
              </w:tabs>
              <w:rPr>
                <w:b/>
                <w:snapToGrid w:val="0"/>
              </w:rPr>
            </w:pPr>
          </w:p>
        </w:tc>
      </w:tr>
      <w:tr w:rsidR="00FC2CE6" w:rsidTr="00572A6C">
        <w:trPr>
          <w:gridBefore w:val="1"/>
          <w:wBefore w:w="1276" w:type="dxa"/>
        </w:trPr>
        <w:tc>
          <w:tcPr>
            <w:tcW w:w="567" w:type="dxa"/>
          </w:tcPr>
          <w:p w:rsidR="00FC2CE6" w:rsidRDefault="00774720">
            <w:pPr>
              <w:tabs>
                <w:tab w:val="left" w:pos="1701"/>
              </w:tabs>
              <w:rPr>
                <w:b/>
                <w:snapToGrid w:val="0"/>
              </w:rPr>
            </w:pPr>
            <w:r>
              <w:rPr>
                <w:b/>
                <w:snapToGrid w:val="0"/>
              </w:rPr>
              <w:t xml:space="preserve">§ </w:t>
            </w:r>
            <w:r w:rsidR="00195472">
              <w:rPr>
                <w:b/>
                <w:snapToGrid w:val="0"/>
              </w:rPr>
              <w:t>2</w:t>
            </w:r>
          </w:p>
        </w:tc>
        <w:tc>
          <w:tcPr>
            <w:tcW w:w="6946" w:type="dxa"/>
            <w:gridSpan w:val="19"/>
          </w:tcPr>
          <w:p w:rsidR="00195472" w:rsidRPr="00195472" w:rsidRDefault="00195472" w:rsidP="00195472">
            <w:pPr>
              <w:tabs>
                <w:tab w:val="left" w:pos="1701"/>
              </w:tabs>
              <w:rPr>
                <w:b/>
                <w:snapToGrid w:val="0"/>
                <w:color w:val="000000" w:themeColor="text1"/>
              </w:rPr>
            </w:pPr>
            <w:r w:rsidRPr="00195472">
              <w:rPr>
                <w:b/>
                <w:snapToGrid w:val="0"/>
                <w:color w:val="000000" w:themeColor="text1"/>
              </w:rPr>
              <w:t>EU:s strategi för cybersäkerhet för ett digitalt decennium</w:t>
            </w:r>
          </w:p>
          <w:p w:rsidR="00195472" w:rsidRDefault="00195472" w:rsidP="00195472">
            <w:pPr>
              <w:tabs>
                <w:tab w:val="left" w:pos="1701"/>
              </w:tabs>
              <w:rPr>
                <w:b/>
                <w:snapToGrid w:val="0"/>
                <w:color w:val="000000" w:themeColor="text1"/>
              </w:rPr>
            </w:pPr>
          </w:p>
          <w:p w:rsidR="00DC3401" w:rsidRPr="00195472" w:rsidRDefault="00195472" w:rsidP="00195472">
            <w:pPr>
              <w:tabs>
                <w:tab w:val="left" w:pos="1701"/>
              </w:tabs>
              <w:rPr>
                <w:snapToGrid w:val="0"/>
                <w:color w:val="000000" w:themeColor="text1"/>
              </w:rPr>
            </w:pPr>
            <w:r w:rsidRPr="00195472">
              <w:rPr>
                <w:snapToGrid w:val="0"/>
                <w:color w:val="000000" w:themeColor="text1"/>
              </w:rPr>
              <w:t>Inrikesminister Mikael Damberg</w:t>
            </w:r>
            <w:r w:rsidR="00994DA5">
              <w:rPr>
                <w:snapToGrid w:val="0"/>
                <w:color w:val="000000" w:themeColor="text1"/>
              </w:rPr>
              <w:t xml:space="preserve"> med medarbetare</w:t>
            </w:r>
            <w:r w:rsidRPr="00195472">
              <w:rPr>
                <w:snapToGrid w:val="0"/>
                <w:color w:val="000000" w:themeColor="text1"/>
              </w:rPr>
              <w:t xml:space="preserve">, Justitiedepartementet, informerade </w:t>
            </w:r>
            <w:r w:rsidR="001D2F41">
              <w:rPr>
                <w:snapToGrid w:val="0"/>
                <w:color w:val="000000" w:themeColor="text1"/>
              </w:rPr>
              <w:t xml:space="preserve">på distans </w:t>
            </w:r>
            <w:r w:rsidRPr="00195472">
              <w:rPr>
                <w:snapToGrid w:val="0"/>
                <w:color w:val="000000" w:themeColor="text1"/>
              </w:rPr>
              <w:t>utskottet om EU:s strategi för cybersäkerhet för ett digitalt decennium (</w:t>
            </w:r>
            <w:proofErr w:type="gramStart"/>
            <w:r w:rsidRPr="00195472">
              <w:rPr>
                <w:snapToGrid w:val="0"/>
                <w:color w:val="000000" w:themeColor="text1"/>
              </w:rPr>
              <w:t>JOIN(</w:t>
            </w:r>
            <w:proofErr w:type="gramEnd"/>
            <w:r w:rsidRPr="00195472">
              <w:rPr>
                <w:snapToGrid w:val="0"/>
                <w:color w:val="000000" w:themeColor="text1"/>
              </w:rPr>
              <w:t>2020) 18, faktapromemoria 2020/21:FPM70).</w:t>
            </w:r>
          </w:p>
          <w:p w:rsidR="00195472" w:rsidRPr="00195472" w:rsidRDefault="00195472" w:rsidP="00195472">
            <w:pPr>
              <w:tabs>
                <w:tab w:val="left" w:pos="1701"/>
              </w:tabs>
              <w:rPr>
                <w:snapToGrid w:val="0"/>
                <w:color w:val="000000" w:themeColor="text1"/>
              </w:rPr>
            </w:pPr>
          </w:p>
          <w:p w:rsidR="00195472" w:rsidRPr="00195472" w:rsidRDefault="00195472" w:rsidP="00195472">
            <w:pPr>
              <w:tabs>
                <w:tab w:val="left" w:pos="1701"/>
              </w:tabs>
              <w:rPr>
                <w:snapToGrid w:val="0"/>
                <w:color w:val="000000" w:themeColor="text1"/>
              </w:rPr>
            </w:pPr>
            <w:r w:rsidRPr="00195472">
              <w:rPr>
                <w:snapToGrid w:val="0"/>
                <w:color w:val="000000" w:themeColor="text1"/>
              </w:rPr>
              <w:t>Ledamöternas frågor besvarades.</w:t>
            </w:r>
          </w:p>
          <w:p w:rsidR="00195472" w:rsidRPr="00F0658E" w:rsidRDefault="00195472" w:rsidP="00195472">
            <w:pPr>
              <w:tabs>
                <w:tab w:val="left" w:pos="1701"/>
              </w:tabs>
              <w:rPr>
                <w:b/>
                <w:snapToGrid w:val="0"/>
                <w:color w:val="000000" w:themeColor="text1"/>
              </w:rPr>
            </w:pPr>
          </w:p>
        </w:tc>
      </w:tr>
      <w:tr w:rsidR="00F71631" w:rsidTr="00572A6C">
        <w:trPr>
          <w:gridBefore w:val="1"/>
          <w:wBefore w:w="1276" w:type="dxa"/>
        </w:trPr>
        <w:tc>
          <w:tcPr>
            <w:tcW w:w="567" w:type="dxa"/>
          </w:tcPr>
          <w:p w:rsidR="00F71631" w:rsidRDefault="00082AF4">
            <w:pPr>
              <w:tabs>
                <w:tab w:val="left" w:pos="1701"/>
              </w:tabs>
              <w:rPr>
                <w:b/>
                <w:snapToGrid w:val="0"/>
              </w:rPr>
            </w:pPr>
            <w:r>
              <w:rPr>
                <w:b/>
                <w:snapToGrid w:val="0"/>
              </w:rPr>
              <w:t xml:space="preserve">§ </w:t>
            </w:r>
            <w:r w:rsidR="00994DA5">
              <w:rPr>
                <w:b/>
                <w:snapToGrid w:val="0"/>
              </w:rPr>
              <w:t>3</w:t>
            </w:r>
          </w:p>
        </w:tc>
        <w:tc>
          <w:tcPr>
            <w:tcW w:w="6946" w:type="dxa"/>
            <w:gridSpan w:val="19"/>
          </w:tcPr>
          <w:p w:rsidR="00082AF4" w:rsidRPr="00013F89" w:rsidRDefault="00082AF4" w:rsidP="009A4C30">
            <w:pPr>
              <w:tabs>
                <w:tab w:val="left" w:pos="1701"/>
              </w:tabs>
              <w:rPr>
                <w:b/>
                <w:snapToGrid w:val="0"/>
                <w:color w:val="000000" w:themeColor="text1"/>
              </w:rPr>
            </w:pPr>
            <w:r w:rsidRPr="00013F89">
              <w:rPr>
                <w:b/>
                <w:snapToGrid w:val="0"/>
                <w:color w:val="000000" w:themeColor="text1"/>
              </w:rPr>
              <w:t>Kommissionens förslag till direktiv om åtgärder för en hög gemensam cybersäkerhetsnivå i hela unionen, och om upphävande av direktiv (EU) 2016/1148</w:t>
            </w:r>
          </w:p>
          <w:p w:rsidR="00082AF4" w:rsidRPr="00502DB6" w:rsidRDefault="00082AF4" w:rsidP="009A4C30">
            <w:pPr>
              <w:tabs>
                <w:tab w:val="left" w:pos="1701"/>
              </w:tabs>
              <w:rPr>
                <w:snapToGrid w:val="0"/>
              </w:rPr>
            </w:pPr>
          </w:p>
          <w:p w:rsidR="009A4C30" w:rsidRPr="00502DB6" w:rsidRDefault="009A4C30" w:rsidP="009A4C30">
            <w:pPr>
              <w:tabs>
                <w:tab w:val="left" w:pos="1701"/>
              </w:tabs>
              <w:rPr>
                <w:bCs/>
                <w:szCs w:val="24"/>
              </w:rPr>
            </w:pPr>
            <w:r w:rsidRPr="00502DB6">
              <w:rPr>
                <w:snapToGrid w:val="0"/>
              </w:rPr>
              <w:t xml:space="preserve">Utskottet överlade </w:t>
            </w:r>
            <w:r w:rsidR="001D2F41" w:rsidRPr="00502DB6">
              <w:rPr>
                <w:snapToGrid w:val="0"/>
              </w:rPr>
              <w:t xml:space="preserve">på distans </w:t>
            </w:r>
            <w:r w:rsidRPr="00502DB6">
              <w:rPr>
                <w:snapToGrid w:val="0"/>
              </w:rPr>
              <w:t xml:space="preserve">med </w:t>
            </w:r>
            <w:r w:rsidR="00013F89" w:rsidRPr="00502DB6">
              <w:rPr>
                <w:snapToGrid w:val="0"/>
              </w:rPr>
              <w:t>inrikesminister</w:t>
            </w:r>
            <w:r w:rsidRPr="00502DB6">
              <w:rPr>
                <w:snapToGrid w:val="0"/>
              </w:rPr>
              <w:t xml:space="preserve"> Mikael Damberg</w:t>
            </w:r>
            <w:r w:rsidR="00325885" w:rsidRPr="00502DB6">
              <w:rPr>
                <w:snapToGrid w:val="0"/>
              </w:rPr>
              <w:t xml:space="preserve"> med medarbetare från Justitiedepartementet.</w:t>
            </w:r>
          </w:p>
          <w:p w:rsidR="009A4C30" w:rsidRPr="00502DB6" w:rsidRDefault="009A4C30" w:rsidP="009A4C30">
            <w:pPr>
              <w:tabs>
                <w:tab w:val="left" w:pos="1701"/>
              </w:tabs>
              <w:rPr>
                <w:bCs/>
                <w:szCs w:val="24"/>
              </w:rPr>
            </w:pPr>
          </w:p>
          <w:p w:rsidR="009A4C30" w:rsidRPr="00502DB6" w:rsidRDefault="009A4C30" w:rsidP="009A4C30">
            <w:pPr>
              <w:tabs>
                <w:tab w:val="left" w:pos="1701"/>
              </w:tabs>
              <w:rPr>
                <w:snapToGrid w:val="0"/>
              </w:rPr>
            </w:pPr>
            <w:r w:rsidRPr="00502DB6">
              <w:rPr>
                <w:bCs/>
                <w:szCs w:val="24"/>
              </w:rPr>
              <w:t>Underlaget utgjordes av</w:t>
            </w:r>
            <w:r w:rsidR="00013F89" w:rsidRPr="00502DB6">
              <w:rPr>
                <w:bCs/>
                <w:szCs w:val="24"/>
              </w:rPr>
              <w:t xml:space="preserve"> kommissionens förslag</w:t>
            </w:r>
            <w:r w:rsidRPr="00502DB6">
              <w:rPr>
                <w:bCs/>
                <w:szCs w:val="24"/>
              </w:rPr>
              <w:t xml:space="preserve"> </w:t>
            </w:r>
            <w:r w:rsidR="00013F89" w:rsidRPr="00502DB6">
              <w:rPr>
                <w:bCs/>
                <w:szCs w:val="24"/>
              </w:rPr>
              <w:t>(</w:t>
            </w:r>
            <w:proofErr w:type="gramStart"/>
            <w:r w:rsidR="00013F89" w:rsidRPr="00502DB6">
              <w:rPr>
                <w:bCs/>
                <w:szCs w:val="24"/>
              </w:rPr>
              <w:t>COM(</w:t>
            </w:r>
            <w:proofErr w:type="gramEnd"/>
            <w:r w:rsidR="00013F89" w:rsidRPr="00502DB6">
              <w:rPr>
                <w:bCs/>
                <w:szCs w:val="24"/>
              </w:rPr>
              <w:t xml:space="preserve">2020) 823) och </w:t>
            </w:r>
            <w:r w:rsidRPr="00502DB6">
              <w:rPr>
                <w:bCs/>
                <w:szCs w:val="24"/>
              </w:rPr>
              <w:t>Regeringskansliets faktapromemoria 2020/21</w:t>
            </w:r>
            <w:r w:rsidR="00B93E16" w:rsidRPr="00502DB6">
              <w:rPr>
                <w:bCs/>
                <w:szCs w:val="24"/>
              </w:rPr>
              <w:t>:</w:t>
            </w:r>
            <w:r w:rsidRPr="00502DB6">
              <w:rPr>
                <w:bCs/>
                <w:szCs w:val="24"/>
              </w:rPr>
              <w:t>FPM7</w:t>
            </w:r>
            <w:r w:rsidR="00B93E16" w:rsidRPr="00502DB6">
              <w:rPr>
                <w:bCs/>
                <w:szCs w:val="24"/>
              </w:rPr>
              <w:t>1</w:t>
            </w:r>
            <w:r w:rsidRPr="00502DB6">
              <w:rPr>
                <w:bCs/>
                <w:szCs w:val="24"/>
              </w:rPr>
              <w:t>.</w:t>
            </w:r>
            <w:r w:rsidRPr="00502DB6">
              <w:rPr>
                <w:szCs w:val="24"/>
              </w:rPr>
              <w:t xml:space="preserve"> </w:t>
            </w:r>
          </w:p>
          <w:p w:rsidR="009A4C30" w:rsidRPr="00502DB6" w:rsidRDefault="009A4C30" w:rsidP="00F71631">
            <w:pPr>
              <w:tabs>
                <w:tab w:val="left" w:pos="1701"/>
              </w:tabs>
              <w:rPr>
                <w:snapToGrid w:val="0"/>
              </w:rPr>
            </w:pPr>
          </w:p>
          <w:p w:rsidR="00013F89" w:rsidRPr="00502DB6" w:rsidRDefault="00013F89" w:rsidP="00F71631">
            <w:pPr>
              <w:tabs>
                <w:tab w:val="left" w:pos="1701"/>
              </w:tabs>
              <w:rPr>
                <w:snapToGrid w:val="0"/>
              </w:rPr>
            </w:pPr>
            <w:r w:rsidRPr="00502DB6">
              <w:rPr>
                <w:snapToGrid w:val="0"/>
              </w:rPr>
              <w:t>Inrikesministern redogjorde för regeringens ståndpunkt i enlighet med faktapromemorian</w:t>
            </w:r>
            <w:r w:rsidR="00325885" w:rsidRPr="00502DB6">
              <w:rPr>
                <w:snapToGrid w:val="0"/>
              </w:rPr>
              <w:t>:</w:t>
            </w:r>
          </w:p>
          <w:p w:rsidR="00F71631" w:rsidRPr="00F71631" w:rsidRDefault="00F71631" w:rsidP="00325885">
            <w:pPr>
              <w:tabs>
                <w:tab w:val="left" w:pos="1701"/>
              </w:tabs>
              <w:ind w:left="1304"/>
              <w:rPr>
                <w:snapToGrid w:val="0"/>
              </w:rPr>
            </w:pPr>
            <w:r w:rsidRPr="00502DB6">
              <w:rPr>
                <w:snapToGrid w:val="0"/>
              </w:rPr>
              <w:t>Nätverk och informationssystem spelar en allt viktigare roll i samhället</w:t>
            </w:r>
            <w:r w:rsidRPr="00F71631">
              <w:rPr>
                <w:snapToGrid w:val="0"/>
              </w:rPr>
              <w:t xml:space="preserve">. Deras tillförlitlighet och säkerhet är grundläggande för ekonomisk och samhällelig verksamhet och den inre marknadens funktion. Regeringen välkomnar översynen av NIS-direktivet i syfte att ytterligare förstärka </w:t>
            </w:r>
            <w:proofErr w:type="spellStart"/>
            <w:r w:rsidRPr="00F71631">
              <w:rPr>
                <w:snapToGrid w:val="0"/>
              </w:rPr>
              <w:t>resiliensen</w:t>
            </w:r>
            <w:proofErr w:type="spellEnd"/>
            <w:r w:rsidRPr="00F71631">
              <w:rPr>
                <w:snapToGrid w:val="0"/>
              </w:rPr>
              <w:t xml:space="preserve"> inom cyberområdet, både på nationell och på EU-nivå.</w:t>
            </w:r>
          </w:p>
          <w:p w:rsidR="00F71631" w:rsidRPr="00F71631" w:rsidRDefault="00F71631" w:rsidP="00F71631">
            <w:pPr>
              <w:tabs>
                <w:tab w:val="left" w:pos="1701"/>
              </w:tabs>
              <w:rPr>
                <w:snapToGrid w:val="0"/>
              </w:rPr>
            </w:pPr>
          </w:p>
          <w:p w:rsidR="00F71631" w:rsidRPr="00F71631" w:rsidRDefault="00F71631" w:rsidP="00325885">
            <w:pPr>
              <w:tabs>
                <w:tab w:val="left" w:pos="1701"/>
              </w:tabs>
              <w:ind w:left="1304"/>
              <w:rPr>
                <w:snapToGrid w:val="0"/>
              </w:rPr>
            </w:pPr>
            <w:r w:rsidRPr="00F71631">
              <w:rPr>
                <w:snapToGrid w:val="0"/>
              </w:rPr>
              <w:lastRenderedPageBreak/>
              <w:t>Regeringen noterar dock att förslagen i direktivet är omfattande och långtgående och berör många olika sektorer i samhället. Vad gäller de konkreta förslagen som anges, som exempelvis den omfattande utökningen av sektorer och indelningen i särskilt samhällsviktiga och samhällsviktiga enheter, ett system för inbördes utvärdering, mer stringenta tillsynsåtgärder, införandet av höga sanktionsavgifter och skärpta säkerhetskrav, måste dessa</w:t>
            </w:r>
            <w:r>
              <w:rPr>
                <w:snapToGrid w:val="0"/>
              </w:rPr>
              <w:t xml:space="preserve"> </w:t>
            </w:r>
            <w:r w:rsidRPr="00F71631">
              <w:rPr>
                <w:snapToGrid w:val="0"/>
              </w:rPr>
              <w:t>analyseras mer i detalj. Förslagen behöver bevakas och närmare analyseras inför de kommande förhandlingarna. I det aktuella förslaget tas det vidare alltför lite hänsyn till de olika förutsättningarna som finns i medlemsstater och organisationer i form av bl.a. affärs- och säkerhetsstrukturer och reglering. Regeringen anser att målsättningar kring cybersäkerhet bör vara</w:t>
            </w:r>
            <w:r>
              <w:rPr>
                <w:snapToGrid w:val="0"/>
              </w:rPr>
              <w:t xml:space="preserve"> </w:t>
            </w:r>
            <w:r w:rsidRPr="00F71631">
              <w:rPr>
                <w:snapToGrid w:val="0"/>
              </w:rPr>
              <w:t>högt ställda samt att en grundläggande inriktning bör vara att</w:t>
            </w:r>
            <w:r>
              <w:rPr>
                <w:snapToGrid w:val="0"/>
              </w:rPr>
              <w:t xml:space="preserve"> </w:t>
            </w:r>
            <w:r w:rsidRPr="00F71631">
              <w:rPr>
                <w:snapToGrid w:val="0"/>
              </w:rPr>
              <w:t>medlemsstaterna ska arbeta utifrån sina förutsättningar och ha möjligheter till inflytande.</w:t>
            </w:r>
          </w:p>
          <w:p w:rsidR="00F71631" w:rsidRPr="00F71631" w:rsidRDefault="00F71631" w:rsidP="00F71631">
            <w:pPr>
              <w:tabs>
                <w:tab w:val="left" w:pos="1701"/>
              </w:tabs>
              <w:rPr>
                <w:snapToGrid w:val="0"/>
              </w:rPr>
            </w:pPr>
          </w:p>
          <w:p w:rsidR="00F71631" w:rsidRPr="00F71631" w:rsidRDefault="00F71631" w:rsidP="00325885">
            <w:pPr>
              <w:tabs>
                <w:tab w:val="left" w:pos="1701"/>
              </w:tabs>
              <w:ind w:left="1304"/>
              <w:rPr>
                <w:snapToGrid w:val="0"/>
              </w:rPr>
            </w:pPr>
            <w:r w:rsidRPr="00F71631">
              <w:rPr>
                <w:snapToGrid w:val="0"/>
              </w:rPr>
              <w:t>Regeringen kommer i förhandlingarna verka för att harmonisering på området är ändamålsenlig och att direktivet beaktar nationella regelverk och nationella förutsättningar i form av bl.a. affärs- och säkerhetsstrukturer.</w:t>
            </w:r>
          </w:p>
          <w:p w:rsidR="00F71631" w:rsidRPr="00F71631" w:rsidRDefault="00F71631" w:rsidP="00F71631">
            <w:pPr>
              <w:tabs>
                <w:tab w:val="left" w:pos="1701"/>
              </w:tabs>
              <w:rPr>
                <w:snapToGrid w:val="0"/>
              </w:rPr>
            </w:pPr>
          </w:p>
          <w:p w:rsidR="00F71631" w:rsidRPr="00F71631" w:rsidRDefault="00F71631" w:rsidP="00325885">
            <w:pPr>
              <w:tabs>
                <w:tab w:val="left" w:pos="1701"/>
              </w:tabs>
              <w:ind w:left="1304"/>
              <w:rPr>
                <w:snapToGrid w:val="0"/>
              </w:rPr>
            </w:pPr>
            <w:r w:rsidRPr="00F71631">
              <w:rPr>
                <w:snapToGrid w:val="0"/>
              </w:rPr>
              <w:t>Regeringen anser vidare att det är viktigt att medlemsstaternas ansvar för att skydda nationell säkerhet säkerställs. Direktivet ska inte hindra att medlemsstaterna vidtar de åtgärder som de anser nödvändiga för att skydda den nationella säkerheten.</w:t>
            </w:r>
          </w:p>
          <w:p w:rsidR="00F71631" w:rsidRPr="00F71631" w:rsidRDefault="00F71631" w:rsidP="00F71631">
            <w:pPr>
              <w:tabs>
                <w:tab w:val="left" w:pos="1701"/>
              </w:tabs>
              <w:rPr>
                <w:snapToGrid w:val="0"/>
              </w:rPr>
            </w:pPr>
          </w:p>
          <w:p w:rsidR="00F71631" w:rsidRPr="00F71631" w:rsidRDefault="00F71631" w:rsidP="00325885">
            <w:pPr>
              <w:tabs>
                <w:tab w:val="left" w:pos="1701"/>
              </w:tabs>
              <w:ind w:left="1304"/>
              <w:rPr>
                <w:snapToGrid w:val="0"/>
              </w:rPr>
            </w:pPr>
            <w:r w:rsidRPr="00F71631">
              <w:rPr>
                <w:snapToGrid w:val="0"/>
              </w:rPr>
              <w:t xml:space="preserve">Det är också av vikt att kommissionen beaktar förslag, strategier och initiativ i syfte att skapa synergier och undvika dubbelarbete och överlappning. Det är av stor betydelse att det tydliggörs hur de olika nätverken som föreslås inom ramen för paketet, som detta förslag är en del av, ska förhålla sig till varandra och till </w:t>
            </w:r>
            <w:proofErr w:type="spellStart"/>
            <w:r w:rsidRPr="00F71631">
              <w:rPr>
                <w:snapToGrid w:val="0"/>
              </w:rPr>
              <w:t>Enisas</w:t>
            </w:r>
            <w:proofErr w:type="spellEnd"/>
            <w:r w:rsidRPr="00F71631">
              <w:rPr>
                <w:snapToGrid w:val="0"/>
              </w:rPr>
              <w:t xml:space="preserve"> arbete på området.</w:t>
            </w:r>
          </w:p>
          <w:p w:rsidR="00F71631" w:rsidRPr="00F71631" w:rsidRDefault="00F71631" w:rsidP="00F71631">
            <w:pPr>
              <w:tabs>
                <w:tab w:val="left" w:pos="1701"/>
              </w:tabs>
              <w:rPr>
                <w:snapToGrid w:val="0"/>
              </w:rPr>
            </w:pPr>
          </w:p>
          <w:p w:rsidR="00F71631" w:rsidRPr="00F71631" w:rsidRDefault="00F71631" w:rsidP="00325885">
            <w:pPr>
              <w:tabs>
                <w:tab w:val="left" w:pos="1701"/>
              </w:tabs>
              <w:ind w:left="1304"/>
              <w:rPr>
                <w:snapToGrid w:val="0"/>
              </w:rPr>
            </w:pPr>
            <w:r w:rsidRPr="00F71631">
              <w:rPr>
                <w:snapToGrid w:val="0"/>
              </w:rPr>
              <w:t>Enligt förslaget ska åtgärderna vara genomförda i nationell lagstiftning inom 18 månader från det att beslut om direktivet har fattats. Detta är för kort tid för att genomföra ett så omfattande direktiv. Ytterligare tid kommer att</w:t>
            </w:r>
            <w:r>
              <w:rPr>
                <w:snapToGrid w:val="0"/>
              </w:rPr>
              <w:t xml:space="preserve"> </w:t>
            </w:r>
            <w:r w:rsidRPr="00F71631">
              <w:rPr>
                <w:snapToGrid w:val="0"/>
              </w:rPr>
              <w:t>behövas.</w:t>
            </w:r>
          </w:p>
          <w:p w:rsidR="00F71631" w:rsidRPr="00F71631" w:rsidRDefault="00F71631" w:rsidP="00F71631">
            <w:pPr>
              <w:tabs>
                <w:tab w:val="left" w:pos="1701"/>
              </w:tabs>
              <w:rPr>
                <w:snapToGrid w:val="0"/>
              </w:rPr>
            </w:pPr>
          </w:p>
          <w:p w:rsidR="00F71631" w:rsidRDefault="00F71631" w:rsidP="00325885">
            <w:pPr>
              <w:tabs>
                <w:tab w:val="left" w:pos="1701"/>
              </w:tabs>
              <w:ind w:left="1304"/>
              <w:rPr>
                <w:snapToGrid w:val="0"/>
              </w:rPr>
            </w:pPr>
            <w:r w:rsidRPr="00F71631">
              <w:rPr>
                <w:snapToGrid w:val="0"/>
              </w:rPr>
              <w:t>Det är viktigt att Sverige verkar konstruktivt för att medel används så effektivt som möjligt på de utgifter som ingår i uppgörelsen om EU:s långtidsbudget 2021–2027. Tillkommande uppgifter ska som huvudregel finansieras genom omprioritering av medel inom området eller från andra områden. Riksdagen har vid Sveriges EU-inträde beslutat om principer om neutralitet för statens budget vilket innebär att när ett beslut på EU-</w:t>
            </w:r>
            <w:r w:rsidRPr="00F71631">
              <w:rPr>
                <w:snapToGrid w:val="0"/>
              </w:rPr>
              <w:lastRenderedPageBreak/>
              <w:t>nivå</w:t>
            </w:r>
            <w:r>
              <w:rPr>
                <w:snapToGrid w:val="0"/>
              </w:rPr>
              <w:t xml:space="preserve"> </w:t>
            </w:r>
            <w:r w:rsidRPr="00F71631">
              <w:rPr>
                <w:snapToGrid w:val="0"/>
              </w:rPr>
              <w:t>föranleder en ökning av den svenska EU-avgiften ska ökningen finansieras genom en utgiftsminskning på det utgiftsområde till vilket EU-åtgärden kan hänföras.</w:t>
            </w:r>
          </w:p>
          <w:p w:rsidR="00BB60CE" w:rsidRDefault="00BB60CE" w:rsidP="00F71631">
            <w:pPr>
              <w:tabs>
                <w:tab w:val="left" w:pos="1701"/>
              </w:tabs>
              <w:rPr>
                <w:snapToGrid w:val="0"/>
              </w:rPr>
            </w:pPr>
          </w:p>
          <w:p w:rsidR="00BB60CE" w:rsidRPr="00013F89" w:rsidRDefault="00BB60CE" w:rsidP="00BB60CE">
            <w:pPr>
              <w:autoSpaceDE w:val="0"/>
              <w:autoSpaceDN w:val="0"/>
              <w:textAlignment w:val="center"/>
              <w:rPr>
                <w:i/>
                <w:szCs w:val="24"/>
              </w:rPr>
            </w:pPr>
            <w:r w:rsidRPr="00013F89">
              <w:rPr>
                <w:szCs w:val="24"/>
              </w:rPr>
              <w:t>Ordföranden konstaterade att det fanns stöd för regeringen</w:t>
            </w:r>
            <w:r w:rsidR="00325885">
              <w:rPr>
                <w:szCs w:val="24"/>
              </w:rPr>
              <w:t xml:space="preserve"> </w:t>
            </w:r>
            <w:r w:rsidRPr="00013F89">
              <w:rPr>
                <w:szCs w:val="24"/>
              </w:rPr>
              <w:t>ståndpunkt</w:t>
            </w:r>
            <w:r w:rsidR="00013F89" w:rsidRPr="00013F89">
              <w:rPr>
                <w:szCs w:val="24"/>
              </w:rPr>
              <w:t>.</w:t>
            </w:r>
            <w:r w:rsidRPr="00013F89">
              <w:rPr>
                <w:szCs w:val="24"/>
              </w:rPr>
              <w:t xml:space="preserve"> </w:t>
            </w:r>
          </w:p>
          <w:p w:rsidR="006F7A5F" w:rsidRDefault="006F7A5F" w:rsidP="00BB60CE">
            <w:pPr>
              <w:autoSpaceDE w:val="0"/>
              <w:autoSpaceDN w:val="0"/>
              <w:textAlignment w:val="center"/>
              <w:rPr>
                <w:szCs w:val="24"/>
              </w:rPr>
            </w:pPr>
          </w:p>
          <w:p w:rsidR="00BB60CE" w:rsidRPr="00082AF4" w:rsidRDefault="00BB60CE" w:rsidP="00BB60CE">
            <w:pPr>
              <w:autoSpaceDE w:val="0"/>
              <w:autoSpaceDN w:val="0"/>
              <w:textAlignment w:val="center"/>
              <w:rPr>
                <w:szCs w:val="24"/>
              </w:rPr>
            </w:pPr>
            <w:r w:rsidRPr="00082AF4">
              <w:rPr>
                <w:szCs w:val="24"/>
              </w:rPr>
              <w:t>Denna paragraf förklarades omedelbart justerad.</w:t>
            </w:r>
          </w:p>
          <w:p w:rsidR="00F71631" w:rsidRPr="00F71631" w:rsidRDefault="00F71631" w:rsidP="00F71631">
            <w:pPr>
              <w:tabs>
                <w:tab w:val="left" w:pos="1701"/>
              </w:tabs>
              <w:rPr>
                <w:snapToGrid w:val="0"/>
              </w:rPr>
            </w:pPr>
          </w:p>
        </w:tc>
      </w:tr>
      <w:tr w:rsidR="00132FCE" w:rsidTr="00572A6C">
        <w:trPr>
          <w:gridBefore w:val="1"/>
          <w:wBefore w:w="1276" w:type="dxa"/>
        </w:trPr>
        <w:tc>
          <w:tcPr>
            <w:tcW w:w="567" w:type="dxa"/>
          </w:tcPr>
          <w:p w:rsidR="00132FCE" w:rsidRDefault="00082AF4">
            <w:pPr>
              <w:tabs>
                <w:tab w:val="left" w:pos="1701"/>
              </w:tabs>
              <w:rPr>
                <w:b/>
                <w:snapToGrid w:val="0"/>
              </w:rPr>
            </w:pPr>
            <w:r>
              <w:rPr>
                <w:b/>
                <w:snapToGrid w:val="0"/>
              </w:rPr>
              <w:lastRenderedPageBreak/>
              <w:t xml:space="preserve">§ </w:t>
            </w:r>
            <w:r w:rsidR="00994DA5">
              <w:rPr>
                <w:b/>
                <w:snapToGrid w:val="0"/>
              </w:rPr>
              <w:t>4</w:t>
            </w:r>
          </w:p>
        </w:tc>
        <w:tc>
          <w:tcPr>
            <w:tcW w:w="6946" w:type="dxa"/>
            <w:gridSpan w:val="19"/>
          </w:tcPr>
          <w:p w:rsidR="00082AF4" w:rsidRPr="00082AF4" w:rsidRDefault="00270887" w:rsidP="00B93E16">
            <w:pPr>
              <w:tabs>
                <w:tab w:val="left" w:pos="1701"/>
              </w:tabs>
              <w:rPr>
                <w:b/>
                <w:snapToGrid w:val="0"/>
                <w:color w:val="000000" w:themeColor="text1"/>
              </w:rPr>
            </w:pPr>
            <w:r w:rsidRPr="00270887">
              <w:rPr>
                <w:b/>
                <w:snapToGrid w:val="0"/>
                <w:color w:val="000000" w:themeColor="text1"/>
              </w:rPr>
              <w:t>Kommissionens förslag till Europaparlamentets och rådets direktiv om kritiska entiteters motståndskraft</w:t>
            </w:r>
          </w:p>
          <w:p w:rsidR="00082AF4" w:rsidRPr="00502DB6" w:rsidRDefault="00082AF4" w:rsidP="00B93E16">
            <w:pPr>
              <w:tabs>
                <w:tab w:val="left" w:pos="1701"/>
              </w:tabs>
              <w:rPr>
                <w:snapToGrid w:val="0"/>
                <w:color w:val="000000" w:themeColor="text1"/>
              </w:rPr>
            </w:pPr>
          </w:p>
          <w:p w:rsidR="00325885" w:rsidRPr="00502DB6" w:rsidRDefault="00325885" w:rsidP="00325885">
            <w:pPr>
              <w:tabs>
                <w:tab w:val="left" w:pos="1701"/>
              </w:tabs>
              <w:rPr>
                <w:bCs/>
                <w:color w:val="000000" w:themeColor="text1"/>
                <w:szCs w:val="24"/>
              </w:rPr>
            </w:pPr>
            <w:r w:rsidRPr="00502DB6">
              <w:rPr>
                <w:snapToGrid w:val="0"/>
                <w:color w:val="000000" w:themeColor="text1"/>
              </w:rPr>
              <w:t>Utskottet överlade på distans med inrikesminister Mikael Damberg med medarbetare från Justitiedepartementet.</w:t>
            </w:r>
          </w:p>
          <w:p w:rsidR="00325885" w:rsidRPr="00502DB6" w:rsidRDefault="00325885" w:rsidP="00325885">
            <w:pPr>
              <w:tabs>
                <w:tab w:val="left" w:pos="1701"/>
              </w:tabs>
              <w:rPr>
                <w:bCs/>
                <w:color w:val="000000" w:themeColor="text1"/>
                <w:szCs w:val="24"/>
              </w:rPr>
            </w:pPr>
          </w:p>
          <w:p w:rsidR="00325885" w:rsidRPr="00502DB6" w:rsidRDefault="00325885" w:rsidP="00325885">
            <w:pPr>
              <w:tabs>
                <w:tab w:val="left" w:pos="1701"/>
              </w:tabs>
              <w:rPr>
                <w:snapToGrid w:val="0"/>
                <w:color w:val="000000" w:themeColor="text1"/>
              </w:rPr>
            </w:pPr>
            <w:r w:rsidRPr="00502DB6">
              <w:rPr>
                <w:bCs/>
                <w:color w:val="000000" w:themeColor="text1"/>
                <w:szCs w:val="24"/>
              </w:rPr>
              <w:t>Underlaget utgjordes av kommissionens förslag (</w:t>
            </w:r>
            <w:proofErr w:type="gramStart"/>
            <w:r w:rsidRPr="00502DB6">
              <w:rPr>
                <w:bCs/>
                <w:color w:val="000000" w:themeColor="text1"/>
                <w:szCs w:val="24"/>
              </w:rPr>
              <w:t>COM(</w:t>
            </w:r>
            <w:proofErr w:type="gramEnd"/>
            <w:r w:rsidRPr="00502DB6">
              <w:rPr>
                <w:bCs/>
                <w:color w:val="000000" w:themeColor="text1"/>
                <w:szCs w:val="24"/>
              </w:rPr>
              <w:t>2020) 829) och Regeringskansliets faktapromemoria 2020/21:FPM72.</w:t>
            </w:r>
            <w:r w:rsidRPr="00502DB6">
              <w:rPr>
                <w:color w:val="000000" w:themeColor="text1"/>
                <w:szCs w:val="24"/>
              </w:rPr>
              <w:t xml:space="preserve"> </w:t>
            </w:r>
          </w:p>
          <w:p w:rsidR="00B93E16" w:rsidRPr="00502DB6" w:rsidRDefault="00B93E16" w:rsidP="00132FCE">
            <w:pPr>
              <w:tabs>
                <w:tab w:val="left" w:pos="1701"/>
              </w:tabs>
              <w:rPr>
                <w:snapToGrid w:val="0"/>
                <w:color w:val="000000" w:themeColor="text1"/>
              </w:rPr>
            </w:pPr>
          </w:p>
          <w:p w:rsidR="00325885" w:rsidRPr="00502DB6" w:rsidRDefault="00325885" w:rsidP="00325885">
            <w:pPr>
              <w:tabs>
                <w:tab w:val="left" w:pos="1701"/>
              </w:tabs>
              <w:rPr>
                <w:snapToGrid w:val="0"/>
                <w:color w:val="000000" w:themeColor="text1"/>
              </w:rPr>
            </w:pPr>
            <w:r w:rsidRPr="00502DB6">
              <w:rPr>
                <w:snapToGrid w:val="0"/>
                <w:color w:val="000000" w:themeColor="text1"/>
              </w:rPr>
              <w:t>Inrikesministern redogjorde för regeringens ståndpunkt i enlighet med faktapromemorian:</w:t>
            </w:r>
          </w:p>
          <w:p w:rsidR="00132FCE" w:rsidRPr="00132FCE" w:rsidRDefault="00132FCE" w:rsidP="00325885">
            <w:pPr>
              <w:tabs>
                <w:tab w:val="left" w:pos="1701"/>
              </w:tabs>
              <w:ind w:left="1304"/>
              <w:rPr>
                <w:snapToGrid w:val="0"/>
                <w:color w:val="000000" w:themeColor="text1"/>
              </w:rPr>
            </w:pPr>
            <w:r w:rsidRPr="00132FCE">
              <w:rPr>
                <w:snapToGrid w:val="0"/>
                <w:color w:val="000000" w:themeColor="text1"/>
              </w:rPr>
              <w:t>Regeringen välkomnar en revidering av den nuvarande EU-regleringen om</w:t>
            </w:r>
            <w:r w:rsidR="009A4C30">
              <w:rPr>
                <w:snapToGrid w:val="0"/>
                <w:color w:val="000000" w:themeColor="text1"/>
              </w:rPr>
              <w:t xml:space="preserve"> </w:t>
            </w:r>
            <w:r w:rsidRPr="00132FCE">
              <w:rPr>
                <w:snapToGrid w:val="0"/>
                <w:color w:val="000000" w:themeColor="text1"/>
              </w:rPr>
              <w:t>europeisk kritisk infrastruktur. Att organisationer och verksamheter som</w:t>
            </w:r>
            <w:r w:rsidR="009A4C30">
              <w:rPr>
                <w:snapToGrid w:val="0"/>
                <w:color w:val="000000" w:themeColor="text1"/>
              </w:rPr>
              <w:t xml:space="preserve"> </w:t>
            </w:r>
            <w:r w:rsidRPr="00132FCE">
              <w:rPr>
                <w:snapToGrid w:val="0"/>
                <w:color w:val="000000" w:themeColor="text1"/>
              </w:rPr>
              <w:t xml:space="preserve">inryms i begreppen kritiska </w:t>
            </w:r>
            <w:r w:rsidR="00503359">
              <w:rPr>
                <w:snapToGrid w:val="0"/>
                <w:color w:val="000000" w:themeColor="text1"/>
              </w:rPr>
              <w:t>entiteter</w:t>
            </w:r>
            <w:r w:rsidRPr="00132FCE">
              <w:rPr>
                <w:snapToGrid w:val="0"/>
                <w:color w:val="000000" w:themeColor="text1"/>
              </w:rPr>
              <w:t>, kritisk infrastruktur och samhällsviktiga</w:t>
            </w:r>
            <w:r w:rsidR="009A4C30">
              <w:rPr>
                <w:snapToGrid w:val="0"/>
                <w:color w:val="000000" w:themeColor="text1"/>
              </w:rPr>
              <w:t xml:space="preserve"> </w:t>
            </w:r>
            <w:r w:rsidRPr="00132FCE">
              <w:rPr>
                <w:snapToGrid w:val="0"/>
                <w:color w:val="000000" w:themeColor="text1"/>
              </w:rPr>
              <w:t>verksamhet är robusta och arbetar med att stärka sin motståndskraft är av</w:t>
            </w:r>
            <w:r w:rsidR="009A4C30">
              <w:rPr>
                <w:snapToGrid w:val="0"/>
                <w:color w:val="000000" w:themeColor="text1"/>
              </w:rPr>
              <w:t xml:space="preserve"> </w:t>
            </w:r>
            <w:r w:rsidRPr="00132FCE">
              <w:rPr>
                <w:snapToGrid w:val="0"/>
                <w:color w:val="000000" w:themeColor="text1"/>
              </w:rPr>
              <w:t>yttersta vikt</w:t>
            </w:r>
            <w:r w:rsidR="00503359">
              <w:rPr>
                <w:snapToGrid w:val="0"/>
                <w:color w:val="000000" w:themeColor="text1"/>
              </w:rPr>
              <w:t>.</w:t>
            </w:r>
            <w:r w:rsidRPr="00132FCE">
              <w:rPr>
                <w:snapToGrid w:val="0"/>
                <w:color w:val="000000" w:themeColor="text1"/>
              </w:rPr>
              <w:t xml:space="preserve"> Det gäller såväl för de enskilda medlemsstaterna som på EU</w:t>
            </w:r>
            <w:r w:rsidR="009A4C30">
              <w:rPr>
                <w:snapToGrid w:val="0"/>
                <w:color w:val="000000" w:themeColor="text1"/>
              </w:rPr>
              <w:t>-</w:t>
            </w:r>
            <w:r w:rsidRPr="00132FCE">
              <w:rPr>
                <w:snapToGrid w:val="0"/>
                <w:color w:val="000000" w:themeColor="text1"/>
              </w:rPr>
              <w:t>nivå.</w:t>
            </w:r>
            <w:r w:rsidR="009A4C30">
              <w:rPr>
                <w:snapToGrid w:val="0"/>
                <w:color w:val="000000" w:themeColor="text1"/>
              </w:rPr>
              <w:t xml:space="preserve"> </w:t>
            </w:r>
            <w:r w:rsidRPr="00132FCE">
              <w:rPr>
                <w:snapToGrid w:val="0"/>
                <w:color w:val="000000" w:themeColor="text1"/>
              </w:rPr>
              <w:t>En viktig utgångspunkt är dock att medlemsstaternas ansvar för att</w:t>
            </w:r>
            <w:r w:rsidR="009A4C30">
              <w:rPr>
                <w:snapToGrid w:val="0"/>
                <w:color w:val="000000" w:themeColor="text1"/>
              </w:rPr>
              <w:t xml:space="preserve"> </w:t>
            </w:r>
            <w:r w:rsidRPr="00132FCE">
              <w:rPr>
                <w:snapToGrid w:val="0"/>
                <w:color w:val="000000" w:themeColor="text1"/>
              </w:rPr>
              <w:t>skydda nationell säkerhet säkerställs. Direktivet ska inte hindra att</w:t>
            </w:r>
            <w:r w:rsidR="009A4C30">
              <w:rPr>
                <w:snapToGrid w:val="0"/>
                <w:color w:val="000000" w:themeColor="text1"/>
              </w:rPr>
              <w:t xml:space="preserve"> </w:t>
            </w:r>
            <w:r w:rsidRPr="00132FCE">
              <w:rPr>
                <w:snapToGrid w:val="0"/>
                <w:color w:val="000000" w:themeColor="text1"/>
              </w:rPr>
              <w:t>medlemsstaterna vidtar de åtgärder som de anser nödvändiga för att skydda</w:t>
            </w:r>
            <w:r w:rsidR="009A4C30">
              <w:rPr>
                <w:snapToGrid w:val="0"/>
                <w:color w:val="000000" w:themeColor="text1"/>
              </w:rPr>
              <w:t xml:space="preserve"> </w:t>
            </w:r>
            <w:r w:rsidRPr="00132FCE">
              <w:rPr>
                <w:snapToGrid w:val="0"/>
                <w:color w:val="000000" w:themeColor="text1"/>
              </w:rPr>
              <w:t>den nationella säkerheten. Regeringen anser att det vidare är viktigt att</w:t>
            </w:r>
            <w:r w:rsidR="009A4C30">
              <w:rPr>
                <w:snapToGrid w:val="0"/>
                <w:color w:val="000000" w:themeColor="text1"/>
              </w:rPr>
              <w:t xml:space="preserve"> </w:t>
            </w:r>
            <w:r w:rsidRPr="00132FCE">
              <w:rPr>
                <w:snapToGrid w:val="0"/>
                <w:color w:val="000000" w:themeColor="text1"/>
              </w:rPr>
              <w:t>tillvarata erfarenheter från andra processer inom EU som har bäring på</w:t>
            </w:r>
            <w:r w:rsidR="009A4C30">
              <w:rPr>
                <w:snapToGrid w:val="0"/>
                <w:color w:val="000000" w:themeColor="text1"/>
              </w:rPr>
              <w:t xml:space="preserve"> </w:t>
            </w:r>
            <w:r w:rsidRPr="00132FCE">
              <w:rPr>
                <w:snapToGrid w:val="0"/>
                <w:color w:val="000000" w:themeColor="text1"/>
              </w:rPr>
              <w:t>direktivet. Regeringen välkomnar därför det tvärsektoriella upplägget i</w:t>
            </w:r>
            <w:r w:rsidR="009A4C30">
              <w:rPr>
                <w:snapToGrid w:val="0"/>
                <w:color w:val="000000" w:themeColor="text1"/>
              </w:rPr>
              <w:t xml:space="preserve"> </w:t>
            </w:r>
            <w:r w:rsidRPr="00132FCE">
              <w:rPr>
                <w:snapToGrid w:val="0"/>
                <w:color w:val="000000" w:themeColor="text1"/>
              </w:rPr>
              <w:t>direktivet som kan ge värdefulla synergivinster inom fler områden.</w:t>
            </w:r>
            <w:r w:rsidR="009A4C30">
              <w:rPr>
                <w:snapToGrid w:val="0"/>
                <w:color w:val="000000" w:themeColor="text1"/>
              </w:rPr>
              <w:t xml:space="preserve"> </w:t>
            </w:r>
            <w:r w:rsidRPr="00132FCE">
              <w:rPr>
                <w:snapToGrid w:val="0"/>
                <w:color w:val="000000" w:themeColor="text1"/>
              </w:rPr>
              <w:t xml:space="preserve">Regeringen anser även att viktiga lärdomar kan dras av arbetet inom </w:t>
            </w:r>
            <w:proofErr w:type="spellStart"/>
            <w:r w:rsidRPr="00132FCE">
              <w:rPr>
                <w:snapToGrid w:val="0"/>
                <w:color w:val="000000" w:themeColor="text1"/>
              </w:rPr>
              <w:t>Nato:s</w:t>
            </w:r>
            <w:proofErr w:type="spellEnd"/>
            <w:r w:rsidR="009A4C30">
              <w:rPr>
                <w:snapToGrid w:val="0"/>
                <w:color w:val="000000" w:themeColor="text1"/>
              </w:rPr>
              <w:t xml:space="preserve"> </w:t>
            </w:r>
            <w:r w:rsidRPr="00132FCE">
              <w:rPr>
                <w:snapToGrid w:val="0"/>
                <w:color w:val="000000" w:themeColor="text1"/>
              </w:rPr>
              <w:t>partnerskap för fred som avser grundläggande förmågor inom civil</w:t>
            </w:r>
            <w:r w:rsidR="009A4C30">
              <w:rPr>
                <w:snapToGrid w:val="0"/>
                <w:color w:val="000000" w:themeColor="text1"/>
              </w:rPr>
              <w:t xml:space="preserve"> </w:t>
            </w:r>
            <w:r w:rsidRPr="00132FCE">
              <w:rPr>
                <w:snapToGrid w:val="0"/>
                <w:color w:val="000000" w:themeColor="text1"/>
              </w:rPr>
              <w:t>verksamhet (</w:t>
            </w:r>
            <w:proofErr w:type="spellStart"/>
            <w:r w:rsidRPr="00132FCE">
              <w:rPr>
                <w:snapToGrid w:val="0"/>
                <w:color w:val="000000" w:themeColor="text1"/>
              </w:rPr>
              <w:t>seven</w:t>
            </w:r>
            <w:proofErr w:type="spellEnd"/>
            <w:r w:rsidRPr="00132FCE">
              <w:rPr>
                <w:snapToGrid w:val="0"/>
                <w:color w:val="000000" w:themeColor="text1"/>
              </w:rPr>
              <w:t xml:space="preserve"> </w:t>
            </w:r>
            <w:proofErr w:type="spellStart"/>
            <w:r w:rsidRPr="00132FCE">
              <w:rPr>
                <w:snapToGrid w:val="0"/>
                <w:color w:val="000000" w:themeColor="text1"/>
              </w:rPr>
              <w:t>baseline</w:t>
            </w:r>
            <w:proofErr w:type="spellEnd"/>
            <w:r w:rsidRPr="00132FCE">
              <w:rPr>
                <w:snapToGrid w:val="0"/>
                <w:color w:val="000000" w:themeColor="text1"/>
              </w:rPr>
              <w:t xml:space="preserve"> </w:t>
            </w:r>
            <w:proofErr w:type="spellStart"/>
            <w:r w:rsidRPr="00132FCE">
              <w:rPr>
                <w:snapToGrid w:val="0"/>
                <w:color w:val="000000" w:themeColor="text1"/>
              </w:rPr>
              <w:t>requirements</w:t>
            </w:r>
            <w:proofErr w:type="spellEnd"/>
            <w:r w:rsidRPr="00132FCE">
              <w:rPr>
                <w:snapToGrid w:val="0"/>
                <w:color w:val="000000" w:themeColor="text1"/>
              </w:rPr>
              <w:t>).</w:t>
            </w:r>
          </w:p>
          <w:p w:rsidR="00132FCE" w:rsidRPr="00132FCE" w:rsidRDefault="00132FCE" w:rsidP="00132FCE">
            <w:pPr>
              <w:tabs>
                <w:tab w:val="left" w:pos="1701"/>
              </w:tabs>
              <w:rPr>
                <w:snapToGrid w:val="0"/>
                <w:color w:val="000000" w:themeColor="text1"/>
              </w:rPr>
            </w:pPr>
          </w:p>
          <w:p w:rsidR="00132FCE" w:rsidRDefault="00132FCE" w:rsidP="00325885">
            <w:pPr>
              <w:tabs>
                <w:tab w:val="left" w:pos="1701"/>
              </w:tabs>
              <w:ind w:left="1304"/>
              <w:rPr>
                <w:snapToGrid w:val="0"/>
                <w:color w:val="000000" w:themeColor="text1"/>
              </w:rPr>
            </w:pPr>
            <w:r w:rsidRPr="00132FCE">
              <w:rPr>
                <w:snapToGrid w:val="0"/>
                <w:color w:val="000000" w:themeColor="text1"/>
              </w:rPr>
              <w:t>Regeringen avser i kommande förhandlingar av detta förslag betona vikten</w:t>
            </w:r>
            <w:r w:rsidR="009A4C30">
              <w:rPr>
                <w:snapToGrid w:val="0"/>
                <w:color w:val="000000" w:themeColor="text1"/>
              </w:rPr>
              <w:t xml:space="preserve"> </w:t>
            </w:r>
            <w:r w:rsidRPr="00132FCE">
              <w:rPr>
                <w:snapToGrid w:val="0"/>
                <w:color w:val="000000" w:themeColor="text1"/>
              </w:rPr>
              <w:t>av att medlemsstaternas ansvar för att skydda nationell säkerhet säkerställs.</w:t>
            </w:r>
            <w:r w:rsidR="009A4C30">
              <w:rPr>
                <w:snapToGrid w:val="0"/>
                <w:color w:val="000000" w:themeColor="text1"/>
              </w:rPr>
              <w:t xml:space="preserve"> </w:t>
            </w:r>
            <w:r w:rsidRPr="00132FCE">
              <w:rPr>
                <w:snapToGrid w:val="0"/>
                <w:color w:val="000000" w:themeColor="text1"/>
              </w:rPr>
              <w:t>Direktivet ska inte hindra att medlemsstaterna vidtar de åtgärder som de</w:t>
            </w:r>
            <w:r w:rsidR="009A4C30">
              <w:rPr>
                <w:snapToGrid w:val="0"/>
                <w:color w:val="000000" w:themeColor="text1"/>
              </w:rPr>
              <w:t xml:space="preserve"> </w:t>
            </w:r>
            <w:r w:rsidRPr="00132FCE">
              <w:rPr>
                <w:snapToGrid w:val="0"/>
                <w:color w:val="000000" w:themeColor="text1"/>
              </w:rPr>
              <w:t>anser nödvändiga för att skydda den nationella säkerheten. Regeringen avser</w:t>
            </w:r>
            <w:r w:rsidR="009A4C30">
              <w:rPr>
                <w:snapToGrid w:val="0"/>
                <w:color w:val="000000" w:themeColor="text1"/>
              </w:rPr>
              <w:t xml:space="preserve"> </w:t>
            </w:r>
            <w:r w:rsidRPr="00132FCE">
              <w:rPr>
                <w:snapToGrid w:val="0"/>
                <w:color w:val="000000" w:themeColor="text1"/>
              </w:rPr>
              <w:t>att framhålla att det bör vara tydligt hur medlemsstaternas rapportering till</w:t>
            </w:r>
            <w:r w:rsidR="009A4C30">
              <w:rPr>
                <w:snapToGrid w:val="0"/>
                <w:color w:val="000000" w:themeColor="text1"/>
              </w:rPr>
              <w:t xml:space="preserve"> </w:t>
            </w:r>
            <w:r w:rsidRPr="00132FCE">
              <w:rPr>
                <w:snapToGrid w:val="0"/>
                <w:color w:val="000000" w:themeColor="text1"/>
              </w:rPr>
              <w:t>kommissionen ska användas samt att den ska ge ett mervärde till arbetet med</w:t>
            </w:r>
            <w:r w:rsidR="009A4C30">
              <w:rPr>
                <w:snapToGrid w:val="0"/>
                <w:color w:val="000000" w:themeColor="text1"/>
              </w:rPr>
              <w:t xml:space="preserve"> </w:t>
            </w:r>
            <w:r w:rsidRPr="00132FCE">
              <w:rPr>
                <w:snapToGrid w:val="0"/>
                <w:color w:val="000000" w:themeColor="text1"/>
              </w:rPr>
              <w:t xml:space="preserve">att stärka </w:t>
            </w:r>
            <w:r w:rsidR="00503359">
              <w:rPr>
                <w:snapToGrid w:val="0"/>
                <w:color w:val="000000" w:themeColor="text1"/>
              </w:rPr>
              <w:t>motståndskraften</w:t>
            </w:r>
            <w:r w:rsidRPr="00132FCE">
              <w:rPr>
                <w:snapToGrid w:val="0"/>
                <w:color w:val="000000" w:themeColor="text1"/>
              </w:rPr>
              <w:t xml:space="preserve"> inom EU. Regeringen anser att rapporteringen ska vara</w:t>
            </w:r>
            <w:r w:rsidR="009A4C30">
              <w:rPr>
                <w:snapToGrid w:val="0"/>
                <w:color w:val="000000" w:themeColor="text1"/>
              </w:rPr>
              <w:t xml:space="preserve"> </w:t>
            </w:r>
            <w:r w:rsidRPr="00132FCE">
              <w:rPr>
                <w:snapToGrid w:val="0"/>
                <w:color w:val="000000" w:themeColor="text1"/>
              </w:rPr>
              <w:t>ändamålsenlig och ligga på en aggregerad nivå. Förslagen behöver bevakas</w:t>
            </w:r>
            <w:r w:rsidR="009A4C30">
              <w:rPr>
                <w:snapToGrid w:val="0"/>
                <w:color w:val="000000" w:themeColor="text1"/>
              </w:rPr>
              <w:t xml:space="preserve"> </w:t>
            </w:r>
            <w:r w:rsidRPr="00132FCE">
              <w:rPr>
                <w:snapToGrid w:val="0"/>
                <w:color w:val="000000" w:themeColor="text1"/>
              </w:rPr>
              <w:t xml:space="preserve">och närmare analyseras inför </w:t>
            </w:r>
            <w:r w:rsidRPr="00132FCE">
              <w:rPr>
                <w:snapToGrid w:val="0"/>
                <w:color w:val="000000" w:themeColor="text1"/>
              </w:rPr>
              <w:lastRenderedPageBreak/>
              <w:t>de kommande förhandlingarna.</w:t>
            </w:r>
          </w:p>
          <w:p w:rsidR="009A4C30" w:rsidRPr="00132FCE" w:rsidRDefault="009A4C30" w:rsidP="00132FCE">
            <w:pPr>
              <w:tabs>
                <w:tab w:val="left" w:pos="1701"/>
              </w:tabs>
              <w:rPr>
                <w:snapToGrid w:val="0"/>
                <w:color w:val="000000" w:themeColor="text1"/>
              </w:rPr>
            </w:pPr>
          </w:p>
          <w:p w:rsidR="009A4C30" w:rsidRDefault="00132FCE" w:rsidP="00325885">
            <w:pPr>
              <w:tabs>
                <w:tab w:val="left" w:pos="1701"/>
              </w:tabs>
              <w:ind w:left="1304"/>
              <w:rPr>
                <w:snapToGrid w:val="0"/>
                <w:color w:val="000000" w:themeColor="text1"/>
              </w:rPr>
            </w:pPr>
            <w:r w:rsidRPr="00132FCE">
              <w:rPr>
                <w:snapToGrid w:val="0"/>
                <w:color w:val="000000" w:themeColor="text1"/>
              </w:rPr>
              <w:t>Vidare är det viktigt att i kommande förhandlingar framhålla vikten av</w:t>
            </w:r>
            <w:r w:rsidR="009A4C30">
              <w:rPr>
                <w:snapToGrid w:val="0"/>
                <w:color w:val="000000" w:themeColor="text1"/>
              </w:rPr>
              <w:t xml:space="preserve"> </w:t>
            </w:r>
            <w:r w:rsidRPr="00132FCE">
              <w:rPr>
                <w:snapToGrid w:val="0"/>
                <w:color w:val="000000" w:themeColor="text1"/>
              </w:rPr>
              <w:t>enhetliga begrepp och definitioner inom detta område, i syfte att öka</w:t>
            </w:r>
            <w:r w:rsidR="009A4C30">
              <w:rPr>
                <w:snapToGrid w:val="0"/>
                <w:color w:val="000000" w:themeColor="text1"/>
              </w:rPr>
              <w:t xml:space="preserve"> </w:t>
            </w:r>
            <w:r w:rsidRPr="00132FCE">
              <w:rPr>
                <w:snapToGrid w:val="0"/>
                <w:color w:val="000000" w:themeColor="text1"/>
              </w:rPr>
              <w:t>tydligheten i kommande arbete på såväl EU-nivå som nationell nivå.</w:t>
            </w:r>
            <w:r w:rsidR="009A4C30">
              <w:rPr>
                <w:snapToGrid w:val="0"/>
                <w:color w:val="000000" w:themeColor="text1"/>
              </w:rPr>
              <w:t xml:space="preserve"> </w:t>
            </w:r>
          </w:p>
          <w:p w:rsidR="009A4C30" w:rsidRDefault="009A4C30" w:rsidP="00132FCE">
            <w:pPr>
              <w:tabs>
                <w:tab w:val="left" w:pos="1701"/>
              </w:tabs>
              <w:rPr>
                <w:snapToGrid w:val="0"/>
                <w:color w:val="000000" w:themeColor="text1"/>
              </w:rPr>
            </w:pPr>
          </w:p>
          <w:p w:rsidR="00132FCE" w:rsidRDefault="00132FCE" w:rsidP="00325885">
            <w:pPr>
              <w:tabs>
                <w:tab w:val="left" w:pos="1701"/>
              </w:tabs>
              <w:ind w:left="1304"/>
              <w:rPr>
                <w:snapToGrid w:val="0"/>
                <w:color w:val="000000" w:themeColor="text1"/>
              </w:rPr>
            </w:pPr>
            <w:r w:rsidRPr="00132FCE">
              <w:rPr>
                <w:snapToGrid w:val="0"/>
                <w:color w:val="000000" w:themeColor="text1"/>
              </w:rPr>
              <w:t>Det är viktigt att Sverige verkar konstruktivt för att medel används så</w:t>
            </w:r>
            <w:r w:rsidR="009A4C30">
              <w:rPr>
                <w:snapToGrid w:val="0"/>
                <w:color w:val="000000" w:themeColor="text1"/>
              </w:rPr>
              <w:t xml:space="preserve"> </w:t>
            </w:r>
            <w:r w:rsidRPr="00132FCE">
              <w:rPr>
                <w:snapToGrid w:val="0"/>
                <w:color w:val="000000" w:themeColor="text1"/>
              </w:rPr>
              <w:t>effektivt som möjligt på de utgifter som ingår i uppgörelsen om EU:s</w:t>
            </w:r>
            <w:r w:rsidR="009A4C30">
              <w:rPr>
                <w:snapToGrid w:val="0"/>
                <w:color w:val="000000" w:themeColor="text1"/>
              </w:rPr>
              <w:t xml:space="preserve"> </w:t>
            </w:r>
            <w:r w:rsidRPr="00132FCE">
              <w:rPr>
                <w:snapToGrid w:val="0"/>
                <w:color w:val="000000" w:themeColor="text1"/>
              </w:rPr>
              <w:t>långtidsbudget 2021–2027. Tillkommande uppgifter ska som huvudregel</w:t>
            </w:r>
            <w:r w:rsidR="009A4C30">
              <w:rPr>
                <w:snapToGrid w:val="0"/>
                <w:color w:val="000000" w:themeColor="text1"/>
              </w:rPr>
              <w:t xml:space="preserve"> </w:t>
            </w:r>
            <w:r w:rsidRPr="00132FCE">
              <w:rPr>
                <w:snapToGrid w:val="0"/>
                <w:color w:val="000000" w:themeColor="text1"/>
              </w:rPr>
              <w:t>finansieras genom omprioritering av medel inom området eller från andra</w:t>
            </w:r>
            <w:r w:rsidR="009A4C30">
              <w:rPr>
                <w:snapToGrid w:val="0"/>
                <w:color w:val="000000" w:themeColor="text1"/>
              </w:rPr>
              <w:t xml:space="preserve"> </w:t>
            </w:r>
            <w:r w:rsidRPr="00132FCE">
              <w:rPr>
                <w:snapToGrid w:val="0"/>
                <w:color w:val="000000" w:themeColor="text1"/>
              </w:rPr>
              <w:t>områden. Riksdagen har vid Sveriges EU-inträde beslutat om principer om</w:t>
            </w:r>
            <w:r w:rsidR="009A4C30">
              <w:rPr>
                <w:snapToGrid w:val="0"/>
                <w:color w:val="000000" w:themeColor="text1"/>
              </w:rPr>
              <w:t xml:space="preserve"> </w:t>
            </w:r>
            <w:r w:rsidRPr="00132FCE">
              <w:rPr>
                <w:snapToGrid w:val="0"/>
                <w:color w:val="000000" w:themeColor="text1"/>
              </w:rPr>
              <w:t>neutralitet för statens budget vilket innebär att när ett beslut på EU-nivå</w:t>
            </w:r>
            <w:r w:rsidR="009A4C30">
              <w:rPr>
                <w:snapToGrid w:val="0"/>
                <w:color w:val="000000" w:themeColor="text1"/>
              </w:rPr>
              <w:t xml:space="preserve"> </w:t>
            </w:r>
            <w:r w:rsidRPr="00132FCE">
              <w:rPr>
                <w:snapToGrid w:val="0"/>
                <w:color w:val="000000" w:themeColor="text1"/>
              </w:rPr>
              <w:t>föranleder en ökning av den svenska EU-avgiften ska ökningen finansieras</w:t>
            </w:r>
            <w:r w:rsidR="009A4C30">
              <w:rPr>
                <w:snapToGrid w:val="0"/>
                <w:color w:val="000000" w:themeColor="text1"/>
              </w:rPr>
              <w:t xml:space="preserve"> </w:t>
            </w:r>
            <w:r w:rsidRPr="00132FCE">
              <w:rPr>
                <w:snapToGrid w:val="0"/>
                <w:color w:val="000000" w:themeColor="text1"/>
              </w:rPr>
              <w:t>genom en utgiftsminskning på det utgiftsområde till vilket EU-åtgärden ka</w:t>
            </w:r>
            <w:r w:rsidR="009A4C30">
              <w:rPr>
                <w:snapToGrid w:val="0"/>
                <w:color w:val="000000" w:themeColor="text1"/>
              </w:rPr>
              <w:t>n hänföras.</w:t>
            </w:r>
          </w:p>
          <w:p w:rsidR="00BB60CE" w:rsidRDefault="00BB60CE" w:rsidP="009A4C30">
            <w:pPr>
              <w:tabs>
                <w:tab w:val="left" w:pos="1701"/>
              </w:tabs>
              <w:rPr>
                <w:snapToGrid w:val="0"/>
                <w:color w:val="000000" w:themeColor="text1"/>
              </w:rPr>
            </w:pPr>
          </w:p>
          <w:p w:rsidR="00325885" w:rsidRPr="00013F89" w:rsidRDefault="00325885" w:rsidP="00325885">
            <w:pPr>
              <w:autoSpaceDE w:val="0"/>
              <w:autoSpaceDN w:val="0"/>
              <w:textAlignment w:val="center"/>
              <w:rPr>
                <w:i/>
                <w:szCs w:val="24"/>
              </w:rPr>
            </w:pPr>
            <w:r w:rsidRPr="00013F89">
              <w:rPr>
                <w:szCs w:val="24"/>
              </w:rPr>
              <w:t>Ordföranden konstaterade att det fanns stöd för regeringen</w:t>
            </w:r>
            <w:r>
              <w:rPr>
                <w:szCs w:val="24"/>
              </w:rPr>
              <w:t xml:space="preserve"> </w:t>
            </w:r>
            <w:r w:rsidRPr="00013F89">
              <w:rPr>
                <w:szCs w:val="24"/>
              </w:rPr>
              <w:t xml:space="preserve">ståndpunkt. </w:t>
            </w:r>
          </w:p>
          <w:p w:rsidR="00325885" w:rsidRDefault="00325885" w:rsidP="00325885">
            <w:pPr>
              <w:autoSpaceDE w:val="0"/>
              <w:autoSpaceDN w:val="0"/>
              <w:textAlignment w:val="center"/>
              <w:rPr>
                <w:szCs w:val="24"/>
              </w:rPr>
            </w:pPr>
          </w:p>
          <w:p w:rsidR="00325885" w:rsidRPr="00082AF4" w:rsidRDefault="00325885" w:rsidP="00325885">
            <w:pPr>
              <w:autoSpaceDE w:val="0"/>
              <w:autoSpaceDN w:val="0"/>
              <w:textAlignment w:val="center"/>
              <w:rPr>
                <w:szCs w:val="24"/>
              </w:rPr>
            </w:pPr>
            <w:r w:rsidRPr="00082AF4">
              <w:rPr>
                <w:szCs w:val="24"/>
              </w:rPr>
              <w:t>Denna paragraf förklarades omedelbart justerad.</w:t>
            </w:r>
          </w:p>
          <w:p w:rsidR="009A4C30" w:rsidRPr="00132FCE" w:rsidRDefault="009A4C30" w:rsidP="009A4C30">
            <w:pPr>
              <w:tabs>
                <w:tab w:val="left" w:pos="1701"/>
              </w:tabs>
              <w:rPr>
                <w:snapToGrid w:val="0"/>
                <w:color w:val="000000" w:themeColor="text1"/>
              </w:rPr>
            </w:pPr>
          </w:p>
        </w:tc>
      </w:tr>
      <w:tr w:rsidR="00195472" w:rsidTr="00572A6C">
        <w:trPr>
          <w:gridBefore w:val="1"/>
          <w:wBefore w:w="1276" w:type="dxa"/>
        </w:trPr>
        <w:tc>
          <w:tcPr>
            <w:tcW w:w="567" w:type="dxa"/>
          </w:tcPr>
          <w:p w:rsidR="00195472" w:rsidRDefault="00195472">
            <w:pPr>
              <w:tabs>
                <w:tab w:val="left" w:pos="1701"/>
              </w:tabs>
              <w:rPr>
                <w:b/>
                <w:snapToGrid w:val="0"/>
              </w:rPr>
            </w:pPr>
            <w:r>
              <w:rPr>
                <w:b/>
                <w:snapToGrid w:val="0"/>
              </w:rPr>
              <w:lastRenderedPageBreak/>
              <w:t xml:space="preserve">§ </w:t>
            </w:r>
            <w:r w:rsidR="00994DA5">
              <w:rPr>
                <w:b/>
                <w:snapToGrid w:val="0"/>
              </w:rPr>
              <w:t>5</w:t>
            </w:r>
          </w:p>
        </w:tc>
        <w:tc>
          <w:tcPr>
            <w:tcW w:w="6946" w:type="dxa"/>
            <w:gridSpan w:val="19"/>
          </w:tcPr>
          <w:p w:rsidR="00195472" w:rsidRDefault="00195472" w:rsidP="00195472">
            <w:pPr>
              <w:tabs>
                <w:tab w:val="left" w:pos="1701"/>
              </w:tabs>
              <w:rPr>
                <w:b/>
                <w:snapToGrid w:val="0"/>
              </w:rPr>
            </w:pPr>
            <w:r>
              <w:rPr>
                <w:b/>
                <w:snapToGrid w:val="0"/>
              </w:rPr>
              <w:t>Justering av protokoll</w:t>
            </w:r>
          </w:p>
          <w:p w:rsidR="00195472" w:rsidRDefault="00195472" w:rsidP="00195472">
            <w:pPr>
              <w:tabs>
                <w:tab w:val="left" w:pos="1701"/>
              </w:tabs>
              <w:rPr>
                <w:snapToGrid w:val="0"/>
              </w:rPr>
            </w:pPr>
          </w:p>
          <w:p w:rsidR="00195472" w:rsidRDefault="00195472" w:rsidP="00195472">
            <w:pPr>
              <w:tabs>
                <w:tab w:val="left" w:pos="1701"/>
              </w:tabs>
              <w:rPr>
                <w:snapToGrid w:val="0"/>
              </w:rPr>
            </w:pPr>
            <w:r>
              <w:rPr>
                <w:snapToGrid w:val="0"/>
              </w:rPr>
              <w:t xml:space="preserve">Utskottet justerade protokoll </w:t>
            </w:r>
            <w:r w:rsidRPr="00CD53C6">
              <w:rPr>
                <w:snapToGrid w:val="0"/>
              </w:rPr>
              <w:t>20</w:t>
            </w:r>
            <w:r>
              <w:rPr>
                <w:snapToGrid w:val="0"/>
              </w:rPr>
              <w:t>20/21:21.</w:t>
            </w:r>
          </w:p>
          <w:p w:rsidR="00195472" w:rsidRPr="001F4701" w:rsidRDefault="00195472" w:rsidP="001F4701">
            <w:pPr>
              <w:tabs>
                <w:tab w:val="left" w:pos="1701"/>
              </w:tabs>
              <w:rPr>
                <w:b/>
                <w:snapToGrid w:val="0"/>
              </w:rPr>
            </w:pPr>
          </w:p>
        </w:tc>
      </w:tr>
      <w:tr w:rsidR="00367515" w:rsidTr="00572A6C">
        <w:trPr>
          <w:gridBefore w:val="1"/>
          <w:wBefore w:w="1276" w:type="dxa"/>
        </w:trPr>
        <w:tc>
          <w:tcPr>
            <w:tcW w:w="567" w:type="dxa"/>
          </w:tcPr>
          <w:p w:rsidR="00367515" w:rsidRDefault="001F4701">
            <w:pPr>
              <w:tabs>
                <w:tab w:val="left" w:pos="1701"/>
              </w:tabs>
              <w:rPr>
                <w:b/>
                <w:snapToGrid w:val="0"/>
              </w:rPr>
            </w:pPr>
            <w:r>
              <w:rPr>
                <w:b/>
                <w:snapToGrid w:val="0"/>
              </w:rPr>
              <w:t xml:space="preserve">§ </w:t>
            </w:r>
            <w:r w:rsidR="00994DA5">
              <w:rPr>
                <w:b/>
                <w:snapToGrid w:val="0"/>
              </w:rPr>
              <w:t>6</w:t>
            </w:r>
          </w:p>
        </w:tc>
        <w:tc>
          <w:tcPr>
            <w:tcW w:w="6946" w:type="dxa"/>
            <w:gridSpan w:val="19"/>
          </w:tcPr>
          <w:p w:rsidR="001F4701" w:rsidRPr="001F4701" w:rsidRDefault="001F4701" w:rsidP="001F4701">
            <w:pPr>
              <w:tabs>
                <w:tab w:val="left" w:pos="1701"/>
              </w:tabs>
              <w:rPr>
                <w:b/>
                <w:snapToGrid w:val="0"/>
              </w:rPr>
            </w:pPr>
            <w:r w:rsidRPr="001F4701">
              <w:rPr>
                <w:b/>
                <w:snapToGrid w:val="0"/>
              </w:rPr>
              <w:t>Kommissionens förslag till direktiv om åtgärder för en hög gemensam cybersäkerhetsnivå i hela unionen, och om upphävande av direktiv (EU) 2016/1148</w:t>
            </w:r>
          </w:p>
          <w:p w:rsidR="001F4701" w:rsidRPr="001F4701" w:rsidRDefault="001F4701" w:rsidP="001F4701">
            <w:pPr>
              <w:tabs>
                <w:tab w:val="left" w:pos="1701"/>
              </w:tabs>
              <w:rPr>
                <w:b/>
                <w:snapToGrid w:val="0"/>
              </w:rPr>
            </w:pPr>
          </w:p>
          <w:p w:rsidR="001F4701" w:rsidRPr="00A15CEC" w:rsidRDefault="001F4701" w:rsidP="001F4701">
            <w:pPr>
              <w:tabs>
                <w:tab w:val="left" w:pos="1701"/>
              </w:tabs>
              <w:rPr>
                <w:snapToGrid w:val="0"/>
              </w:rPr>
            </w:pPr>
            <w:r w:rsidRPr="00A15CEC">
              <w:rPr>
                <w:snapToGrid w:val="0"/>
              </w:rPr>
              <w:t xml:space="preserve">Utskottet </w:t>
            </w:r>
            <w:r w:rsidR="00A15CEC">
              <w:rPr>
                <w:snapToGrid w:val="0"/>
              </w:rPr>
              <w:t>fortsatte</w:t>
            </w:r>
            <w:r w:rsidRPr="00A15CEC">
              <w:rPr>
                <w:snapToGrid w:val="0"/>
              </w:rPr>
              <w:t xml:space="preserve"> subsidiaritetsprövningen av </w:t>
            </w:r>
            <w:proofErr w:type="gramStart"/>
            <w:r w:rsidRPr="00A15CEC">
              <w:rPr>
                <w:snapToGrid w:val="0"/>
              </w:rPr>
              <w:t>COM(</w:t>
            </w:r>
            <w:proofErr w:type="gramEnd"/>
            <w:r w:rsidRPr="00A15CEC">
              <w:rPr>
                <w:snapToGrid w:val="0"/>
              </w:rPr>
              <w:t>2020)</w:t>
            </w:r>
            <w:r w:rsidR="00772999">
              <w:rPr>
                <w:snapToGrid w:val="0"/>
              </w:rPr>
              <w:t xml:space="preserve"> </w:t>
            </w:r>
            <w:r w:rsidRPr="00A15CEC">
              <w:rPr>
                <w:snapToGrid w:val="0"/>
              </w:rPr>
              <w:t>823.</w:t>
            </w:r>
          </w:p>
          <w:p w:rsidR="001F4701" w:rsidRPr="00A15CEC" w:rsidRDefault="001F4701" w:rsidP="001F4701">
            <w:pPr>
              <w:tabs>
                <w:tab w:val="left" w:pos="1701"/>
              </w:tabs>
              <w:rPr>
                <w:snapToGrid w:val="0"/>
              </w:rPr>
            </w:pPr>
          </w:p>
          <w:p w:rsidR="00A15CEC" w:rsidRDefault="00A15CEC" w:rsidP="001F4701">
            <w:pPr>
              <w:tabs>
                <w:tab w:val="left" w:pos="1701"/>
              </w:tabs>
              <w:rPr>
                <w:snapToGrid w:val="0"/>
              </w:rPr>
            </w:pPr>
            <w:r>
              <w:rPr>
                <w:snapToGrid w:val="0"/>
              </w:rPr>
              <w:t>Utskottet ansåg att förslaget inte strider mot subsidiaritetsprincipen.</w:t>
            </w:r>
          </w:p>
          <w:p w:rsidR="00B17AC0" w:rsidRDefault="00B17AC0" w:rsidP="00B17AC0">
            <w:pPr>
              <w:tabs>
                <w:tab w:val="left" w:pos="1701"/>
              </w:tabs>
              <w:rPr>
                <w:snapToGrid w:val="0"/>
              </w:rPr>
            </w:pPr>
          </w:p>
          <w:p w:rsidR="00B17AC0" w:rsidRPr="00772999" w:rsidRDefault="00B17AC0" w:rsidP="00B17AC0">
            <w:pPr>
              <w:tabs>
                <w:tab w:val="left" w:pos="1701"/>
              </w:tabs>
              <w:rPr>
                <w:snapToGrid w:val="0"/>
              </w:rPr>
            </w:pPr>
            <w:r w:rsidRPr="00772999">
              <w:rPr>
                <w:snapToGrid w:val="0"/>
              </w:rPr>
              <w:t xml:space="preserve">SD-ledamöterna reserverade sig </w:t>
            </w:r>
            <w:r w:rsidR="00CF6E27">
              <w:rPr>
                <w:snapToGrid w:val="0"/>
              </w:rPr>
              <w:t>mot beslutet.</w:t>
            </w:r>
          </w:p>
          <w:p w:rsidR="00A15CEC" w:rsidRDefault="00A15CEC" w:rsidP="001F4701">
            <w:pPr>
              <w:tabs>
                <w:tab w:val="left" w:pos="1701"/>
              </w:tabs>
              <w:rPr>
                <w:snapToGrid w:val="0"/>
              </w:rPr>
            </w:pPr>
          </w:p>
          <w:p w:rsidR="001F4701" w:rsidRPr="00A15CEC" w:rsidRDefault="00A15CEC" w:rsidP="001F4701">
            <w:pPr>
              <w:tabs>
                <w:tab w:val="left" w:pos="1701"/>
              </w:tabs>
              <w:rPr>
                <w:snapToGrid w:val="0"/>
              </w:rPr>
            </w:pPr>
            <w:r>
              <w:rPr>
                <w:snapToGrid w:val="0"/>
              </w:rPr>
              <w:t>Denna paragraf förklarades omedelbart justerad.</w:t>
            </w:r>
          </w:p>
          <w:p w:rsidR="00367515" w:rsidRDefault="00367515" w:rsidP="001F4701">
            <w:pPr>
              <w:tabs>
                <w:tab w:val="left" w:pos="1701"/>
              </w:tabs>
              <w:rPr>
                <w:b/>
                <w:snapToGrid w:val="0"/>
              </w:rPr>
            </w:pPr>
          </w:p>
        </w:tc>
      </w:tr>
      <w:tr w:rsidR="00447E69" w:rsidTr="00572A6C">
        <w:trPr>
          <w:gridBefore w:val="1"/>
          <w:wBefore w:w="1276" w:type="dxa"/>
        </w:trPr>
        <w:tc>
          <w:tcPr>
            <w:tcW w:w="567" w:type="dxa"/>
          </w:tcPr>
          <w:p w:rsidR="00447E69" w:rsidRDefault="003D5E50">
            <w:pPr>
              <w:tabs>
                <w:tab w:val="left" w:pos="1701"/>
              </w:tabs>
              <w:rPr>
                <w:b/>
                <w:snapToGrid w:val="0"/>
              </w:rPr>
            </w:pPr>
            <w:r>
              <w:rPr>
                <w:b/>
                <w:snapToGrid w:val="0"/>
              </w:rPr>
              <w:t xml:space="preserve">§ </w:t>
            </w:r>
            <w:r w:rsidR="00592EEC">
              <w:rPr>
                <w:b/>
                <w:snapToGrid w:val="0"/>
              </w:rPr>
              <w:t>7</w:t>
            </w:r>
          </w:p>
        </w:tc>
        <w:tc>
          <w:tcPr>
            <w:tcW w:w="6946" w:type="dxa"/>
            <w:gridSpan w:val="19"/>
          </w:tcPr>
          <w:p w:rsidR="00022A7C" w:rsidRDefault="00022A7C" w:rsidP="00022A7C">
            <w:pPr>
              <w:widowControl/>
              <w:autoSpaceDE w:val="0"/>
              <w:autoSpaceDN w:val="0"/>
              <w:adjustRightInd w:val="0"/>
              <w:rPr>
                <w:b/>
                <w:bCs/>
                <w:szCs w:val="24"/>
              </w:rPr>
            </w:pPr>
            <w:r>
              <w:rPr>
                <w:b/>
                <w:bCs/>
                <w:szCs w:val="24"/>
              </w:rPr>
              <w:t>Nästa sammanträde</w:t>
            </w:r>
          </w:p>
          <w:p w:rsidR="007D23C1" w:rsidRDefault="007D23C1" w:rsidP="00022A7C">
            <w:pPr>
              <w:tabs>
                <w:tab w:val="left" w:pos="1701"/>
              </w:tabs>
              <w:rPr>
                <w:szCs w:val="24"/>
              </w:rPr>
            </w:pPr>
          </w:p>
          <w:p w:rsidR="00447E69" w:rsidRPr="000A2204" w:rsidRDefault="007D23C1" w:rsidP="00C75984">
            <w:pPr>
              <w:tabs>
                <w:tab w:val="left" w:pos="1701"/>
              </w:tabs>
              <w:rPr>
                <w:snapToGrid w:val="0"/>
              </w:rPr>
            </w:pPr>
            <w:r>
              <w:rPr>
                <w:szCs w:val="24"/>
              </w:rPr>
              <w:t>N</w:t>
            </w:r>
            <w:r w:rsidR="009A5109">
              <w:rPr>
                <w:szCs w:val="24"/>
              </w:rPr>
              <w:t>ästa sammanträde äger</w:t>
            </w:r>
            <w:r w:rsidR="002C17EC">
              <w:rPr>
                <w:szCs w:val="24"/>
              </w:rPr>
              <w:t xml:space="preserve"> rum </w:t>
            </w:r>
            <w:r w:rsidR="004019CF">
              <w:rPr>
                <w:szCs w:val="24"/>
              </w:rPr>
              <w:t>tors</w:t>
            </w:r>
            <w:r w:rsidR="002C17EC">
              <w:rPr>
                <w:szCs w:val="24"/>
              </w:rPr>
              <w:t xml:space="preserve">dagen den </w:t>
            </w:r>
            <w:r w:rsidR="00E05F9E">
              <w:rPr>
                <w:szCs w:val="24"/>
              </w:rPr>
              <w:t>11</w:t>
            </w:r>
            <w:r w:rsidR="006F6EF3">
              <w:rPr>
                <w:szCs w:val="24"/>
              </w:rPr>
              <w:t xml:space="preserve"> februari </w:t>
            </w:r>
            <w:r w:rsidR="002C17EC">
              <w:rPr>
                <w:szCs w:val="24"/>
              </w:rPr>
              <w:t>20</w:t>
            </w:r>
            <w:r w:rsidR="0039711B">
              <w:rPr>
                <w:szCs w:val="24"/>
              </w:rPr>
              <w:t>2</w:t>
            </w:r>
            <w:r w:rsidR="00A32DF4">
              <w:rPr>
                <w:szCs w:val="24"/>
              </w:rPr>
              <w:t>1</w:t>
            </w:r>
            <w:r w:rsidR="00022A7C">
              <w:rPr>
                <w:szCs w:val="24"/>
              </w:rPr>
              <w:t xml:space="preserve"> </w:t>
            </w:r>
            <w:r w:rsidR="00592EEC">
              <w:rPr>
                <w:szCs w:val="24"/>
              </w:rPr>
              <w:br/>
            </w:r>
            <w:r w:rsidR="00022A7C">
              <w:rPr>
                <w:szCs w:val="24"/>
              </w:rPr>
              <w:t xml:space="preserve">kl. </w:t>
            </w:r>
            <w:r w:rsidR="00B81DF7">
              <w:rPr>
                <w:szCs w:val="24"/>
              </w:rPr>
              <w:t>10</w:t>
            </w:r>
            <w:r w:rsidR="00022A7C">
              <w:rPr>
                <w:szCs w:val="24"/>
              </w:rPr>
              <w:t>.00.</w:t>
            </w:r>
          </w:p>
        </w:tc>
      </w:tr>
      <w:tr w:rsidR="005331E3" w:rsidTr="00572A6C">
        <w:trPr>
          <w:gridBefore w:val="1"/>
          <w:wBefore w:w="1276" w:type="dxa"/>
        </w:trPr>
        <w:tc>
          <w:tcPr>
            <w:tcW w:w="567" w:type="dxa"/>
          </w:tcPr>
          <w:p w:rsidR="005331E3" w:rsidRDefault="005331E3">
            <w:pPr>
              <w:tabs>
                <w:tab w:val="left" w:pos="1701"/>
              </w:tabs>
              <w:rPr>
                <w:b/>
                <w:snapToGrid w:val="0"/>
              </w:rPr>
            </w:pPr>
          </w:p>
        </w:tc>
        <w:tc>
          <w:tcPr>
            <w:tcW w:w="6946" w:type="dxa"/>
            <w:gridSpan w:val="19"/>
          </w:tcPr>
          <w:p w:rsidR="005331E3" w:rsidRDefault="005331E3" w:rsidP="00543B72">
            <w:pPr>
              <w:tabs>
                <w:tab w:val="left" w:pos="1701"/>
              </w:tabs>
              <w:rPr>
                <w:snapToGrid w:val="0"/>
              </w:rPr>
            </w:pPr>
          </w:p>
        </w:tc>
      </w:tr>
      <w:tr w:rsidR="00447E69" w:rsidTr="00572A6C">
        <w:trPr>
          <w:gridBefore w:val="1"/>
          <w:gridAfter w:val="1"/>
          <w:wBefore w:w="1276" w:type="dxa"/>
          <w:wAfter w:w="357" w:type="dxa"/>
        </w:trPr>
        <w:tc>
          <w:tcPr>
            <w:tcW w:w="7156" w:type="dxa"/>
            <w:gridSpan w:val="19"/>
          </w:tcPr>
          <w:p w:rsidR="00447E69" w:rsidRDefault="00447E69">
            <w:pPr>
              <w:tabs>
                <w:tab w:val="left" w:pos="1701"/>
              </w:tabs>
            </w:pPr>
            <w:r>
              <w:t>Vid protokollet</w:t>
            </w:r>
          </w:p>
          <w:p w:rsidR="00447E69" w:rsidRDefault="00447E69">
            <w:pPr>
              <w:tabs>
                <w:tab w:val="left" w:pos="1701"/>
              </w:tabs>
            </w:pPr>
          </w:p>
          <w:p w:rsidR="00447E69" w:rsidRDefault="00447E69">
            <w:pPr>
              <w:tabs>
                <w:tab w:val="left" w:pos="1701"/>
              </w:tabs>
            </w:pPr>
          </w:p>
          <w:p w:rsidR="00447E69" w:rsidRDefault="009A5109">
            <w:pPr>
              <w:tabs>
                <w:tab w:val="left" w:pos="1701"/>
              </w:tabs>
            </w:pPr>
            <w:r>
              <w:t>Annika Tuvelid</w:t>
            </w:r>
          </w:p>
          <w:p w:rsidR="00447E69" w:rsidRDefault="00447E69">
            <w:pPr>
              <w:tabs>
                <w:tab w:val="left" w:pos="1701"/>
              </w:tabs>
            </w:pPr>
          </w:p>
          <w:p w:rsidR="00447E69" w:rsidRDefault="007D3639">
            <w:pPr>
              <w:tabs>
                <w:tab w:val="left" w:pos="1701"/>
              </w:tabs>
            </w:pPr>
            <w:r>
              <w:t>Juster</w:t>
            </w:r>
            <w:r w:rsidR="0001177E">
              <w:t xml:space="preserve">as </w:t>
            </w:r>
            <w:r w:rsidR="004019CF">
              <w:t>t</w:t>
            </w:r>
            <w:r w:rsidR="00592EEC">
              <w:t>isdagen den 23</w:t>
            </w:r>
            <w:r w:rsidR="006F6EF3">
              <w:t xml:space="preserve"> februari </w:t>
            </w:r>
            <w:r w:rsidR="002C17EC">
              <w:t>20</w:t>
            </w:r>
            <w:r w:rsidR="0039711B">
              <w:t>2</w:t>
            </w:r>
            <w:r w:rsidR="00A32DF4">
              <w:t>1</w:t>
            </w:r>
          </w:p>
          <w:p w:rsidR="00447E69" w:rsidRDefault="00447E69">
            <w:pPr>
              <w:tabs>
                <w:tab w:val="left" w:pos="1701"/>
              </w:tabs>
            </w:pPr>
          </w:p>
          <w:p w:rsidR="00447E69" w:rsidRDefault="00447E69">
            <w:pPr>
              <w:tabs>
                <w:tab w:val="left" w:pos="1701"/>
              </w:tabs>
            </w:pPr>
          </w:p>
          <w:p w:rsidR="00447E69" w:rsidRDefault="0039711B" w:rsidP="0060305B">
            <w:pPr>
              <w:tabs>
                <w:tab w:val="left" w:pos="1701"/>
              </w:tabs>
              <w:rPr>
                <w:b/>
              </w:rPr>
            </w:pPr>
            <w:r>
              <w:t>Pål Jonson</w:t>
            </w: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259" w:type="dxa"/>
            <w:gridSpan w:val="3"/>
            <w:tcBorders>
              <w:top w:val="nil"/>
              <w:left w:val="nil"/>
              <w:bottom w:val="nil"/>
              <w:right w:val="nil"/>
            </w:tcBorders>
            <w:hideMark/>
          </w:tcPr>
          <w:p w:rsidR="008D6158" w:rsidRDefault="008D6158" w:rsidP="00A146D2">
            <w:pPr>
              <w:tabs>
                <w:tab w:val="left" w:pos="1701"/>
              </w:tabs>
            </w:pPr>
            <w:r>
              <w:lastRenderedPageBreak/>
              <w:br w:type="page"/>
              <w:t>FÖRSVARSUTSKOTTET</w:t>
            </w:r>
          </w:p>
        </w:tc>
        <w:tc>
          <w:tcPr>
            <w:tcW w:w="3686" w:type="dxa"/>
            <w:gridSpan w:val="12"/>
            <w:tcBorders>
              <w:top w:val="nil"/>
              <w:left w:val="nil"/>
              <w:bottom w:val="nil"/>
              <w:right w:val="nil"/>
            </w:tcBorders>
            <w:hideMark/>
          </w:tcPr>
          <w:p w:rsidR="008D6158" w:rsidRDefault="008D6158" w:rsidP="00A146D2">
            <w:pPr>
              <w:tabs>
                <w:tab w:val="left" w:pos="1701"/>
              </w:tabs>
              <w:rPr>
                <w:b/>
              </w:rPr>
            </w:pPr>
            <w:r>
              <w:rPr>
                <w:b/>
              </w:rPr>
              <w:t>FÖRTECKNING ÖVER LEDAMÖTER</w:t>
            </w:r>
          </w:p>
        </w:tc>
        <w:tc>
          <w:tcPr>
            <w:tcW w:w="1485" w:type="dxa"/>
            <w:gridSpan w:val="5"/>
            <w:tcBorders>
              <w:top w:val="nil"/>
              <w:left w:val="nil"/>
              <w:bottom w:val="nil"/>
              <w:right w:val="nil"/>
            </w:tcBorders>
            <w:hideMark/>
          </w:tcPr>
          <w:p w:rsidR="008D6158" w:rsidRDefault="008D6158" w:rsidP="00A146D2">
            <w:pPr>
              <w:tabs>
                <w:tab w:val="left" w:pos="1701"/>
              </w:tabs>
              <w:rPr>
                <w:b/>
              </w:rPr>
            </w:pPr>
            <w:r>
              <w:rPr>
                <w:b/>
              </w:rPr>
              <w:t xml:space="preserve">Bilaga </w:t>
            </w:r>
          </w:p>
          <w:p w:rsidR="008D6158" w:rsidRDefault="008D6158" w:rsidP="00A146D2">
            <w:pPr>
              <w:tabs>
                <w:tab w:val="left" w:pos="1701"/>
              </w:tabs>
            </w:pPr>
            <w:r>
              <w:t>till protokoll</w:t>
            </w:r>
          </w:p>
          <w:p w:rsidR="008D6158" w:rsidRDefault="008D6158" w:rsidP="00A146D2">
            <w:pPr>
              <w:tabs>
                <w:tab w:val="left" w:pos="1701"/>
              </w:tabs>
            </w:pPr>
            <w:r>
              <w:t>2020/21:</w:t>
            </w:r>
            <w:r w:rsidR="006F6EF3">
              <w:t>2</w:t>
            </w:r>
            <w:r w:rsidR="00E05F9E">
              <w:t>2</w:t>
            </w: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cantSplit/>
        </w:trPr>
        <w:tc>
          <w:tcPr>
            <w:tcW w:w="3446" w:type="dxa"/>
            <w:gridSpan w:val="5"/>
            <w:tcBorders>
              <w:top w:val="single" w:sz="6" w:space="0" w:color="auto"/>
              <w:left w:val="single" w:sz="6" w:space="0" w:color="auto"/>
              <w:bottom w:val="single" w:sz="6" w:space="0" w:color="auto"/>
              <w:right w:val="single" w:sz="6" w:space="0" w:color="auto"/>
            </w:tcBorders>
          </w:tcPr>
          <w:p w:rsidR="008D6158" w:rsidRDefault="008D6158" w:rsidP="00A146D2">
            <w:pPr>
              <w:rPr>
                <w:sz w:val="22"/>
              </w:rPr>
            </w:pPr>
          </w:p>
        </w:tc>
        <w:tc>
          <w:tcPr>
            <w:tcW w:w="712" w:type="dxa"/>
            <w:gridSpan w:val="2"/>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AF54D1">
              <w:rPr>
                <w:sz w:val="22"/>
              </w:rPr>
              <w:t xml:space="preserve"> 1</w:t>
            </w:r>
          </w:p>
        </w:tc>
        <w:tc>
          <w:tcPr>
            <w:tcW w:w="712" w:type="dxa"/>
            <w:gridSpan w:val="2"/>
            <w:tcBorders>
              <w:top w:val="single" w:sz="6" w:space="0" w:color="auto"/>
              <w:left w:val="single" w:sz="6" w:space="0" w:color="auto"/>
              <w:bottom w:val="single" w:sz="6" w:space="0" w:color="auto"/>
              <w:right w:val="single" w:sz="6" w:space="0" w:color="auto"/>
            </w:tcBorders>
          </w:tcPr>
          <w:p w:rsidR="008D6158" w:rsidRDefault="00592EEC"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2-3</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8D6158" w:rsidRDefault="00592EEC"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4-7</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Pål Jonson (M), ordförande</w:t>
            </w:r>
          </w:p>
        </w:tc>
        <w:tc>
          <w:tcPr>
            <w:tcW w:w="356" w:type="dxa"/>
            <w:tcBorders>
              <w:top w:val="single" w:sz="6" w:space="0" w:color="auto"/>
              <w:left w:val="single" w:sz="6" w:space="0" w:color="auto"/>
              <w:bottom w:val="single" w:sz="6" w:space="0" w:color="auto"/>
              <w:right w:val="single" w:sz="6" w:space="0" w:color="auto"/>
            </w:tcBorders>
          </w:tcPr>
          <w:p w:rsidR="008D6158" w:rsidRDefault="005413C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Niklas Karlsson (S), vice ordförande</w:t>
            </w: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Paula Holmqvist (S)</w:t>
            </w:r>
          </w:p>
        </w:tc>
        <w:tc>
          <w:tcPr>
            <w:tcW w:w="356" w:type="dxa"/>
            <w:tcBorders>
              <w:top w:val="single" w:sz="6" w:space="0" w:color="auto"/>
              <w:left w:val="single" w:sz="6" w:space="0" w:color="auto"/>
              <w:bottom w:val="single" w:sz="6" w:space="0" w:color="auto"/>
              <w:right w:val="single" w:sz="6" w:space="0" w:color="auto"/>
            </w:tcBorders>
          </w:tcPr>
          <w:p w:rsidR="008D6158" w:rsidRDefault="00AF33F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Jan R Andersson (M)</w:t>
            </w:r>
          </w:p>
        </w:tc>
        <w:tc>
          <w:tcPr>
            <w:tcW w:w="356" w:type="dxa"/>
            <w:tcBorders>
              <w:top w:val="single" w:sz="6" w:space="0" w:color="auto"/>
              <w:left w:val="single" w:sz="6" w:space="0" w:color="auto"/>
              <w:bottom w:val="single" w:sz="6" w:space="0" w:color="auto"/>
              <w:right w:val="single" w:sz="6" w:space="0" w:color="auto"/>
            </w:tcBorders>
          </w:tcPr>
          <w:p w:rsidR="008D6158" w:rsidRDefault="001B28B6"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Roger Richthoff (SD)</w:t>
            </w: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Mattias Ottosson (S)</w:t>
            </w:r>
          </w:p>
        </w:tc>
        <w:tc>
          <w:tcPr>
            <w:tcW w:w="356" w:type="dxa"/>
            <w:tcBorders>
              <w:top w:val="single" w:sz="6" w:space="0" w:color="auto"/>
              <w:left w:val="single" w:sz="6" w:space="0" w:color="auto"/>
              <w:bottom w:val="single" w:sz="6" w:space="0" w:color="auto"/>
              <w:right w:val="single" w:sz="6" w:space="0" w:color="auto"/>
            </w:tcBorders>
          </w:tcPr>
          <w:p w:rsidR="008D6158" w:rsidRDefault="00795D3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Bäckström (C)</w:t>
            </w: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Hanna Gunnarsson (V)</w:t>
            </w: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Jörgen Berglund (M)</w:t>
            </w:r>
          </w:p>
        </w:tc>
        <w:tc>
          <w:tcPr>
            <w:tcW w:w="356" w:type="dxa"/>
            <w:tcBorders>
              <w:top w:val="single" w:sz="6" w:space="0" w:color="auto"/>
              <w:left w:val="single" w:sz="6" w:space="0" w:color="auto"/>
              <w:bottom w:val="single" w:sz="6" w:space="0" w:color="auto"/>
              <w:right w:val="single" w:sz="6" w:space="0" w:color="auto"/>
            </w:tcBorders>
          </w:tcPr>
          <w:p w:rsidR="008D6158" w:rsidRDefault="000C004D"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Sven-Olof Sällström (SD)</w:t>
            </w: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Kalle Olsson (S)</w:t>
            </w: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Mikael Oscarsson (KD)</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Allan Widman (L)</w:t>
            </w: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Nordengrip (SD)</w:t>
            </w:r>
          </w:p>
        </w:tc>
        <w:tc>
          <w:tcPr>
            <w:tcW w:w="356" w:type="dxa"/>
            <w:tcBorders>
              <w:top w:val="single" w:sz="6" w:space="0" w:color="auto"/>
              <w:left w:val="single" w:sz="6" w:space="0" w:color="auto"/>
              <w:bottom w:val="single" w:sz="6" w:space="0" w:color="auto"/>
              <w:right w:val="single" w:sz="6" w:space="0" w:color="auto"/>
            </w:tcBorders>
          </w:tcPr>
          <w:p w:rsidR="008D6158" w:rsidRDefault="00C55B8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Elisabeth Falkhaven (MP)</w:t>
            </w:r>
          </w:p>
        </w:tc>
        <w:tc>
          <w:tcPr>
            <w:tcW w:w="356" w:type="dxa"/>
            <w:tcBorders>
              <w:top w:val="single" w:sz="6" w:space="0" w:color="auto"/>
              <w:left w:val="single" w:sz="6" w:space="0" w:color="auto"/>
              <w:bottom w:val="single" w:sz="6" w:space="0" w:color="auto"/>
              <w:right w:val="single" w:sz="6" w:space="0" w:color="auto"/>
            </w:tcBorders>
          </w:tcPr>
          <w:p w:rsidR="008D6158" w:rsidRDefault="00AF33F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Alexandra Anstrell (M)</w:t>
            </w:r>
          </w:p>
        </w:tc>
        <w:tc>
          <w:tcPr>
            <w:tcW w:w="356" w:type="dxa"/>
            <w:tcBorders>
              <w:top w:val="single" w:sz="6" w:space="0" w:color="auto"/>
              <w:left w:val="single" w:sz="6" w:space="0" w:color="auto"/>
              <w:bottom w:val="single" w:sz="6" w:space="0" w:color="auto"/>
              <w:right w:val="single" w:sz="6" w:space="0" w:color="auto"/>
            </w:tcBorders>
          </w:tcPr>
          <w:p w:rsidR="008D6158" w:rsidRDefault="00AF33F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ClasGöran Carlsson (S)</w:t>
            </w:r>
          </w:p>
        </w:tc>
        <w:tc>
          <w:tcPr>
            <w:tcW w:w="356" w:type="dxa"/>
            <w:tcBorders>
              <w:top w:val="single" w:sz="6" w:space="0" w:color="auto"/>
              <w:left w:val="single" w:sz="6" w:space="0" w:color="auto"/>
              <w:bottom w:val="single" w:sz="6" w:space="0" w:color="auto"/>
              <w:right w:val="single" w:sz="6" w:space="0" w:color="auto"/>
            </w:tcBorders>
          </w:tcPr>
          <w:p w:rsidR="008D6158" w:rsidRDefault="00AF33F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Jessika Roswall (M)</w:t>
            </w:r>
          </w:p>
        </w:tc>
        <w:tc>
          <w:tcPr>
            <w:tcW w:w="356" w:type="dxa"/>
            <w:tcBorders>
              <w:top w:val="single" w:sz="6" w:space="0" w:color="auto"/>
              <w:left w:val="single" w:sz="6" w:space="0" w:color="auto"/>
              <w:bottom w:val="single" w:sz="6" w:space="0" w:color="auto"/>
              <w:right w:val="single" w:sz="6" w:space="0" w:color="auto"/>
            </w:tcBorders>
          </w:tcPr>
          <w:p w:rsidR="008D6158" w:rsidRDefault="003C0AC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Heléne Björklund (S)</w:t>
            </w:r>
          </w:p>
        </w:tc>
        <w:tc>
          <w:tcPr>
            <w:tcW w:w="356" w:type="dxa"/>
            <w:tcBorders>
              <w:top w:val="single" w:sz="6" w:space="0" w:color="auto"/>
              <w:left w:val="single" w:sz="6" w:space="0" w:color="auto"/>
              <w:bottom w:val="single" w:sz="6" w:space="0" w:color="auto"/>
              <w:right w:val="single" w:sz="6" w:space="0" w:color="auto"/>
            </w:tcBorders>
          </w:tcPr>
          <w:p w:rsidR="008D6158" w:rsidRDefault="00AF33F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szCs w:val="22"/>
              </w:rPr>
            </w:pPr>
            <w:r>
              <w:rPr>
                <w:sz w:val="22"/>
                <w:szCs w:val="22"/>
              </w:rPr>
              <w:t>Magdalena Schröder (M)</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Lars Andersson</w:t>
            </w:r>
            <w:r>
              <w:rPr>
                <w:sz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8D6158" w:rsidRDefault="00AF33F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Mattias Jonsson (S)</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Thomsson (C)</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Yasmine Posio (V)</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szCs w:val="22"/>
              </w:rPr>
            </w:pPr>
            <w:r>
              <w:rPr>
                <w:sz w:val="22"/>
                <w:szCs w:val="22"/>
              </w:rPr>
              <w:t>Hans Rothenberg (M)</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Björn Söder (SD)</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Marlene Burwick (S)</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Halef (KD)</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Björn Petersson (S)</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szCs w:val="22"/>
              </w:rPr>
            </w:pPr>
            <w:r>
              <w:rPr>
                <w:sz w:val="22"/>
                <w:szCs w:val="22"/>
              </w:rPr>
              <w:t>Maria Nilsson (L)</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rPr>
            </w:pPr>
            <w:r>
              <w:rPr>
                <w:sz w:val="22"/>
              </w:rPr>
              <w:t>Anne Oskarsson (SD)</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Pr="00241262" w:rsidRDefault="00241262" w:rsidP="00A146D2">
            <w:pPr>
              <w:rPr>
                <w:sz w:val="22"/>
                <w:szCs w:val="22"/>
              </w:rPr>
            </w:pPr>
            <w:r w:rsidRPr="00241262">
              <w:rPr>
                <w:sz w:val="22"/>
                <w:szCs w:val="22"/>
              </w:rPr>
              <w:t xml:space="preserve">Janine Alm Ericson </w:t>
            </w:r>
            <w:r w:rsidR="00815A9E" w:rsidRPr="00241262">
              <w:rPr>
                <w:sz w:val="22"/>
                <w:szCs w:val="22"/>
              </w:rPr>
              <w:t>(MP)</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szCs w:val="22"/>
              </w:rPr>
            </w:pPr>
            <w:r>
              <w:rPr>
                <w:color w:val="000000" w:themeColor="text1"/>
                <w:sz w:val="22"/>
                <w:szCs w:val="22"/>
              </w:rPr>
              <w:t>Hans Wallmark (M)</w:t>
            </w: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FA6B7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szCs w:val="22"/>
              </w:rPr>
            </w:pPr>
            <w:r>
              <w:rPr>
                <w:sz w:val="22"/>
                <w:szCs w:val="22"/>
              </w:rPr>
              <w:t>Jörgen Grubb (SD)</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rPr>
            </w:pPr>
            <w:r>
              <w:rPr>
                <w:sz w:val="22"/>
                <w:szCs w:val="22"/>
              </w:rPr>
              <w:t>Per Söderlund (SD)</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szCs w:val="22"/>
              </w:rPr>
            </w:pPr>
            <w:r>
              <w:rPr>
                <w:sz w:val="22"/>
                <w:szCs w:val="22"/>
              </w:rPr>
              <w:t>Fredrik Malm (L)</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szCs w:val="22"/>
              </w:rPr>
            </w:pPr>
            <w:r>
              <w:rPr>
                <w:sz w:val="22"/>
                <w:szCs w:val="22"/>
              </w:rPr>
              <w:t>Mikael Larsson (C)</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szCs w:val="22"/>
              </w:rPr>
            </w:pPr>
            <w:r>
              <w:rPr>
                <w:sz w:val="22"/>
                <w:szCs w:val="22"/>
              </w:rPr>
              <w:t>Lotta Johnsson Fornarve (V)</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szCs w:val="22"/>
              </w:rPr>
            </w:pPr>
            <w:r>
              <w:rPr>
                <w:sz w:val="22"/>
                <w:szCs w:val="22"/>
              </w:rPr>
              <w:t>Lars Adaktusson (KD)</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szCs w:val="22"/>
              </w:rPr>
            </w:pPr>
            <w:r>
              <w:rPr>
                <w:sz w:val="22"/>
                <w:szCs w:val="22"/>
              </w:rPr>
              <w:t>Rasmus Ling (MP)</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szCs w:val="22"/>
              </w:rPr>
            </w:pPr>
            <w:r>
              <w:rPr>
                <w:sz w:val="22"/>
                <w:szCs w:val="22"/>
              </w:rPr>
              <w:t>Anders Österberg (S)</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szCs w:val="22"/>
              </w:rPr>
            </w:pPr>
            <w:r>
              <w:rPr>
                <w:sz w:val="22"/>
                <w:szCs w:val="22"/>
              </w:rPr>
              <w:t>Linda Modig (C)</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szCs w:val="22"/>
              </w:rPr>
            </w:pPr>
            <w:r>
              <w:rPr>
                <w:sz w:val="22"/>
                <w:szCs w:val="22"/>
              </w:rPr>
              <w:t>Håkan Svenneling (V)</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szCs w:val="22"/>
              </w:rPr>
            </w:pPr>
            <w:r>
              <w:rPr>
                <w:sz w:val="22"/>
                <w:szCs w:val="22"/>
              </w:rPr>
              <w:t>Maria Gardfjell (MP)</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Height w:val="263"/>
        </w:trPr>
        <w:tc>
          <w:tcPr>
            <w:tcW w:w="3401" w:type="dxa"/>
            <w:gridSpan w:val="4"/>
            <w:tcBorders>
              <w:top w:val="nil"/>
              <w:left w:val="nil"/>
              <w:bottom w:val="nil"/>
              <w:right w:val="nil"/>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 = Närvarande</w:t>
            </w:r>
          </w:p>
        </w:tc>
        <w:tc>
          <w:tcPr>
            <w:tcW w:w="5029" w:type="dxa"/>
            <w:gridSpan w:val="16"/>
            <w:tcBorders>
              <w:top w:val="nil"/>
              <w:left w:val="nil"/>
              <w:bottom w:val="nil"/>
              <w:right w:val="nil"/>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8D6158" w:rsidTr="00572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Height w:val="262"/>
        </w:trPr>
        <w:tc>
          <w:tcPr>
            <w:tcW w:w="3401" w:type="dxa"/>
            <w:gridSpan w:val="4"/>
            <w:tcBorders>
              <w:top w:val="nil"/>
              <w:left w:val="nil"/>
              <w:bottom w:val="nil"/>
              <w:right w:val="nil"/>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lastRenderedPageBreak/>
              <w:t>V = Votering</w:t>
            </w:r>
          </w:p>
        </w:tc>
        <w:tc>
          <w:tcPr>
            <w:tcW w:w="5029" w:type="dxa"/>
            <w:gridSpan w:val="16"/>
            <w:tcBorders>
              <w:top w:val="nil"/>
              <w:left w:val="nil"/>
              <w:bottom w:val="nil"/>
              <w:right w:val="nil"/>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AB2E46" w:rsidRDefault="00AB2E46" w:rsidP="00391AC0">
      <w:pPr>
        <w:widowControl/>
      </w:pPr>
    </w:p>
    <w:sectPr w:rsidR="00AB2E46" w:rsidSect="00DF6B05">
      <w:pgSz w:w="11906" w:h="16838" w:code="9"/>
      <w:pgMar w:top="85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3A451F94"/>
    <w:multiLevelType w:val="hybridMultilevel"/>
    <w:tmpl w:val="2A30F5CE"/>
    <w:lvl w:ilvl="0" w:tplc="CA92F374">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D400416"/>
    <w:multiLevelType w:val="hybridMultilevel"/>
    <w:tmpl w:val="2C340B44"/>
    <w:lvl w:ilvl="0" w:tplc="8862B7F2">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69"/>
    <w:rsid w:val="00001172"/>
    <w:rsid w:val="00001FD2"/>
    <w:rsid w:val="0001177E"/>
    <w:rsid w:val="00013F89"/>
    <w:rsid w:val="0001407C"/>
    <w:rsid w:val="000163EC"/>
    <w:rsid w:val="00022A7C"/>
    <w:rsid w:val="00023F85"/>
    <w:rsid w:val="00026856"/>
    <w:rsid w:val="00026E2C"/>
    <w:rsid w:val="0003292B"/>
    <w:rsid w:val="0003548C"/>
    <w:rsid w:val="00035911"/>
    <w:rsid w:val="000608A9"/>
    <w:rsid w:val="00067079"/>
    <w:rsid w:val="00071C7D"/>
    <w:rsid w:val="00072240"/>
    <w:rsid w:val="00073768"/>
    <w:rsid w:val="00076989"/>
    <w:rsid w:val="00082AF4"/>
    <w:rsid w:val="00091E24"/>
    <w:rsid w:val="0009467D"/>
    <w:rsid w:val="00097DF0"/>
    <w:rsid w:val="000A2204"/>
    <w:rsid w:val="000A7F72"/>
    <w:rsid w:val="000A7F76"/>
    <w:rsid w:val="000B5D40"/>
    <w:rsid w:val="000C004D"/>
    <w:rsid w:val="000C0C72"/>
    <w:rsid w:val="000C5953"/>
    <w:rsid w:val="000D534A"/>
    <w:rsid w:val="000E5FA0"/>
    <w:rsid w:val="000F3EEE"/>
    <w:rsid w:val="00104219"/>
    <w:rsid w:val="00104F47"/>
    <w:rsid w:val="0012456A"/>
    <w:rsid w:val="00126727"/>
    <w:rsid w:val="00127778"/>
    <w:rsid w:val="001311E6"/>
    <w:rsid w:val="00132FCE"/>
    <w:rsid w:val="00133A5E"/>
    <w:rsid w:val="00135412"/>
    <w:rsid w:val="00143656"/>
    <w:rsid w:val="00143989"/>
    <w:rsid w:val="001556B4"/>
    <w:rsid w:val="00161845"/>
    <w:rsid w:val="00164597"/>
    <w:rsid w:val="001671DE"/>
    <w:rsid w:val="00167C9B"/>
    <w:rsid w:val="00172490"/>
    <w:rsid w:val="0018329C"/>
    <w:rsid w:val="00185D74"/>
    <w:rsid w:val="00186651"/>
    <w:rsid w:val="0019035F"/>
    <w:rsid w:val="00193A27"/>
    <w:rsid w:val="00195472"/>
    <w:rsid w:val="001A287E"/>
    <w:rsid w:val="001B28B6"/>
    <w:rsid w:val="001B3100"/>
    <w:rsid w:val="001C217B"/>
    <w:rsid w:val="001D292D"/>
    <w:rsid w:val="001D2F41"/>
    <w:rsid w:val="001D3979"/>
    <w:rsid w:val="001D5522"/>
    <w:rsid w:val="001F4701"/>
    <w:rsid w:val="002059AD"/>
    <w:rsid w:val="00207D45"/>
    <w:rsid w:val="00225ABD"/>
    <w:rsid w:val="00230CED"/>
    <w:rsid w:val="002319DD"/>
    <w:rsid w:val="0023529D"/>
    <w:rsid w:val="002358B7"/>
    <w:rsid w:val="00241262"/>
    <w:rsid w:val="002462FF"/>
    <w:rsid w:val="00252785"/>
    <w:rsid w:val="002541D6"/>
    <w:rsid w:val="00256A0A"/>
    <w:rsid w:val="002608E3"/>
    <w:rsid w:val="002629D1"/>
    <w:rsid w:val="00267FC1"/>
    <w:rsid w:val="00270887"/>
    <w:rsid w:val="00280FE1"/>
    <w:rsid w:val="00283DA6"/>
    <w:rsid w:val="002871AD"/>
    <w:rsid w:val="00292BD1"/>
    <w:rsid w:val="00292CCC"/>
    <w:rsid w:val="00292EE7"/>
    <w:rsid w:val="00293CEC"/>
    <w:rsid w:val="002A225E"/>
    <w:rsid w:val="002A5739"/>
    <w:rsid w:val="002B0E8A"/>
    <w:rsid w:val="002B184C"/>
    <w:rsid w:val="002B7675"/>
    <w:rsid w:val="002B7C8D"/>
    <w:rsid w:val="002C17EC"/>
    <w:rsid w:val="002C2210"/>
    <w:rsid w:val="002C41B2"/>
    <w:rsid w:val="002C7F55"/>
    <w:rsid w:val="002D5CD8"/>
    <w:rsid w:val="002E1D64"/>
    <w:rsid w:val="002E6890"/>
    <w:rsid w:val="002E7751"/>
    <w:rsid w:val="002F31F6"/>
    <w:rsid w:val="003000FC"/>
    <w:rsid w:val="00303A88"/>
    <w:rsid w:val="00303AD3"/>
    <w:rsid w:val="00303E1D"/>
    <w:rsid w:val="00306C08"/>
    <w:rsid w:val="00324B17"/>
    <w:rsid w:val="00325885"/>
    <w:rsid w:val="0032650A"/>
    <w:rsid w:val="00330C61"/>
    <w:rsid w:val="00335FB0"/>
    <w:rsid w:val="003372A6"/>
    <w:rsid w:val="00346A87"/>
    <w:rsid w:val="003517E1"/>
    <w:rsid w:val="00351B1B"/>
    <w:rsid w:val="00356603"/>
    <w:rsid w:val="00360AE7"/>
    <w:rsid w:val="00361E18"/>
    <w:rsid w:val="00367515"/>
    <w:rsid w:val="0037046A"/>
    <w:rsid w:val="0038157D"/>
    <w:rsid w:val="00387EC2"/>
    <w:rsid w:val="00391AC0"/>
    <w:rsid w:val="0039711B"/>
    <w:rsid w:val="003A0CB8"/>
    <w:rsid w:val="003A5FC9"/>
    <w:rsid w:val="003B08CC"/>
    <w:rsid w:val="003B43AC"/>
    <w:rsid w:val="003B5B21"/>
    <w:rsid w:val="003C0AC4"/>
    <w:rsid w:val="003C5791"/>
    <w:rsid w:val="003D2D47"/>
    <w:rsid w:val="003D41A2"/>
    <w:rsid w:val="003D5E50"/>
    <w:rsid w:val="00400BBC"/>
    <w:rsid w:val="004019CF"/>
    <w:rsid w:val="00402D5D"/>
    <w:rsid w:val="00406B99"/>
    <w:rsid w:val="004135A4"/>
    <w:rsid w:val="004170BB"/>
    <w:rsid w:val="004214D1"/>
    <w:rsid w:val="00424C64"/>
    <w:rsid w:val="0043481D"/>
    <w:rsid w:val="00447E69"/>
    <w:rsid w:val="004514FD"/>
    <w:rsid w:val="00453542"/>
    <w:rsid w:val="00457FA6"/>
    <w:rsid w:val="004619DA"/>
    <w:rsid w:val="004674B5"/>
    <w:rsid w:val="00477247"/>
    <w:rsid w:val="004817C8"/>
    <w:rsid w:val="004875DF"/>
    <w:rsid w:val="00490FAA"/>
    <w:rsid w:val="00491942"/>
    <w:rsid w:val="00496C6E"/>
    <w:rsid w:val="004A3DC9"/>
    <w:rsid w:val="004A6D41"/>
    <w:rsid w:val="004C4C01"/>
    <w:rsid w:val="004D0D13"/>
    <w:rsid w:val="004E024A"/>
    <w:rsid w:val="004E4521"/>
    <w:rsid w:val="00500589"/>
    <w:rsid w:val="00501D18"/>
    <w:rsid w:val="00502DB6"/>
    <w:rsid w:val="00503359"/>
    <w:rsid w:val="00512CFD"/>
    <w:rsid w:val="00520D71"/>
    <w:rsid w:val="005331E3"/>
    <w:rsid w:val="005349AA"/>
    <w:rsid w:val="005413C0"/>
    <w:rsid w:val="00542A7F"/>
    <w:rsid w:val="00543B72"/>
    <w:rsid w:val="00544AF8"/>
    <w:rsid w:val="00555AE2"/>
    <w:rsid w:val="00562F40"/>
    <w:rsid w:val="005714EF"/>
    <w:rsid w:val="00572A6C"/>
    <w:rsid w:val="00576AFA"/>
    <w:rsid w:val="005922A2"/>
    <w:rsid w:val="00592D95"/>
    <w:rsid w:val="00592EEC"/>
    <w:rsid w:val="005A0AE5"/>
    <w:rsid w:val="005A1581"/>
    <w:rsid w:val="005A2B16"/>
    <w:rsid w:val="005A4EAC"/>
    <w:rsid w:val="005A63E8"/>
    <w:rsid w:val="005B1B54"/>
    <w:rsid w:val="005B5989"/>
    <w:rsid w:val="005C1312"/>
    <w:rsid w:val="005C5BD1"/>
    <w:rsid w:val="005D0198"/>
    <w:rsid w:val="005D2BFB"/>
    <w:rsid w:val="005E36F0"/>
    <w:rsid w:val="005E4AF1"/>
    <w:rsid w:val="005E5848"/>
    <w:rsid w:val="00601C28"/>
    <w:rsid w:val="00602725"/>
    <w:rsid w:val="0060305B"/>
    <w:rsid w:val="0060517D"/>
    <w:rsid w:val="00620A2B"/>
    <w:rsid w:val="00622525"/>
    <w:rsid w:val="0063443A"/>
    <w:rsid w:val="00637376"/>
    <w:rsid w:val="00643722"/>
    <w:rsid w:val="0064776F"/>
    <w:rsid w:val="00650ADB"/>
    <w:rsid w:val="006550C9"/>
    <w:rsid w:val="00656ECC"/>
    <w:rsid w:val="0066405B"/>
    <w:rsid w:val="0066730F"/>
    <w:rsid w:val="00667E8B"/>
    <w:rsid w:val="00670208"/>
    <w:rsid w:val="00673994"/>
    <w:rsid w:val="00680665"/>
    <w:rsid w:val="00680863"/>
    <w:rsid w:val="006871AE"/>
    <w:rsid w:val="00690989"/>
    <w:rsid w:val="00695B61"/>
    <w:rsid w:val="006965E4"/>
    <w:rsid w:val="006A16C9"/>
    <w:rsid w:val="006A2991"/>
    <w:rsid w:val="006A37A3"/>
    <w:rsid w:val="006B1BCF"/>
    <w:rsid w:val="006B1D76"/>
    <w:rsid w:val="006B4C5A"/>
    <w:rsid w:val="006B5523"/>
    <w:rsid w:val="006B65A5"/>
    <w:rsid w:val="006B7A08"/>
    <w:rsid w:val="006C19F9"/>
    <w:rsid w:val="006C2C11"/>
    <w:rsid w:val="006E0945"/>
    <w:rsid w:val="006E6B54"/>
    <w:rsid w:val="006E7CE1"/>
    <w:rsid w:val="006F6EF3"/>
    <w:rsid w:val="006F7A5F"/>
    <w:rsid w:val="00701A95"/>
    <w:rsid w:val="00707F79"/>
    <w:rsid w:val="00711344"/>
    <w:rsid w:val="00712C23"/>
    <w:rsid w:val="007137FE"/>
    <w:rsid w:val="007164AD"/>
    <w:rsid w:val="007310C8"/>
    <w:rsid w:val="007321A1"/>
    <w:rsid w:val="00740F7D"/>
    <w:rsid w:val="007432E4"/>
    <w:rsid w:val="00766B40"/>
    <w:rsid w:val="0076736F"/>
    <w:rsid w:val="00772999"/>
    <w:rsid w:val="00774720"/>
    <w:rsid w:val="00775DBD"/>
    <w:rsid w:val="00776CA2"/>
    <w:rsid w:val="00777649"/>
    <w:rsid w:val="00777E55"/>
    <w:rsid w:val="007801D9"/>
    <w:rsid w:val="00784ADD"/>
    <w:rsid w:val="00786FC6"/>
    <w:rsid w:val="00790151"/>
    <w:rsid w:val="00795D35"/>
    <w:rsid w:val="00795F80"/>
    <w:rsid w:val="00797EA0"/>
    <w:rsid w:val="007A2471"/>
    <w:rsid w:val="007B32E2"/>
    <w:rsid w:val="007B370C"/>
    <w:rsid w:val="007B6F35"/>
    <w:rsid w:val="007D0777"/>
    <w:rsid w:val="007D185E"/>
    <w:rsid w:val="007D23C1"/>
    <w:rsid w:val="007D3639"/>
    <w:rsid w:val="007D47AC"/>
    <w:rsid w:val="007E1F19"/>
    <w:rsid w:val="007E2B3B"/>
    <w:rsid w:val="007E5066"/>
    <w:rsid w:val="007E738E"/>
    <w:rsid w:val="007F73E1"/>
    <w:rsid w:val="007F79EB"/>
    <w:rsid w:val="00800695"/>
    <w:rsid w:val="008156B0"/>
    <w:rsid w:val="00815A9E"/>
    <w:rsid w:val="00817004"/>
    <w:rsid w:val="0081707C"/>
    <w:rsid w:val="0082145D"/>
    <w:rsid w:val="00823C8C"/>
    <w:rsid w:val="00827383"/>
    <w:rsid w:val="00830DD3"/>
    <w:rsid w:val="00832BA8"/>
    <w:rsid w:val="00834BDA"/>
    <w:rsid w:val="008370D3"/>
    <w:rsid w:val="00837359"/>
    <w:rsid w:val="00841B9D"/>
    <w:rsid w:val="00850186"/>
    <w:rsid w:val="00867A39"/>
    <w:rsid w:val="00870B72"/>
    <w:rsid w:val="00872753"/>
    <w:rsid w:val="00875313"/>
    <w:rsid w:val="00876EF7"/>
    <w:rsid w:val="00886458"/>
    <w:rsid w:val="00886BA6"/>
    <w:rsid w:val="008920D2"/>
    <w:rsid w:val="008A3BDF"/>
    <w:rsid w:val="008A5779"/>
    <w:rsid w:val="008B4A0D"/>
    <w:rsid w:val="008B7243"/>
    <w:rsid w:val="008C0DF1"/>
    <w:rsid w:val="008C35C4"/>
    <w:rsid w:val="008C5923"/>
    <w:rsid w:val="008D6158"/>
    <w:rsid w:val="008E3B0B"/>
    <w:rsid w:val="008E4AD6"/>
    <w:rsid w:val="008F1325"/>
    <w:rsid w:val="008F230D"/>
    <w:rsid w:val="008F6C98"/>
    <w:rsid w:val="008F7983"/>
    <w:rsid w:val="00914B68"/>
    <w:rsid w:val="009171C9"/>
    <w:rsid w:val="00923EFE"/>
    <w:rsid w:val="0093146E"/>
    <w:rsid w:val="00941160"/>
    <w:rsid w:val="0094358D"/>
    <w:rsid w:val="0094546D"/>
    <w:rsid w:val="00947CA6"/>
    <w:rsid w:val="00952235"/>
    <w:rsid w:val="00956401"/>
    <w:rsid w:val="00960E59"/>
    <w:rsid w:val="00967F02"/>
    <w:rsid w:val="00971573"/>
    <w:rsid w:val="00972777"/>
    <w:rsid w:val="00982EFA"/>
    <w:rsid w:val="00985715"/>
    <w:rsid w:val="00994DA5"/>
    <w:rsid w:val="00997F94"/>
    <w:rsid w:val="009A1313"/>
    <w:rsid w:val="009A4235"/>
    <w:rsid w:val="009A4C30"/>
    <w:rsid w:val="009A5109"/>
    <w:rsid w:val="009A766D"/>
    <w:rsid w:val="009B290E"/>
    <w:rsid w:val="009D5E29"/>
    <w:rsid w:val="009E1FCA"/>
    <w:rsid w:val="009F24C9"/>
    <w:rsid w:val="009F4392"/>
    <w:rsid w:val="00A010C5"/>
    <w:rsid w:val="00A03D80"/>
    <w:rsid w:val="00A15CEC"/>
    <w:rsid w:val="00A2367D"/>
    <w:rsid w:val="00A32DF4"/>
    <w:rsid w:val="00A360D0"/>
    <w:rsid w:val="00A370F4"/>
    <w:rsid w:val="00A379B3"/>
    <w:rsid w:val="00A47654"/>
    <w:rsid w:val="00A51827"/>
    <w:rsid w:val="00A605A3"/>
    <w:rsid w:val="00A65178"/>
    <w:rsid w:val="00A6679C"/>
    <w:rsid w:val="00A66B33"/>
    <w:rsid w:val="00A75968"/>
    <w:rsid w:val="00A84772"/>
    <w:rsid w:val="00A956F9"/>
    <w:rsid w:val="00AA48EF"/>
    <w:rsid w:val="00AB2E46"/>
    <w:rsid w:val="00AB3B80"/>
    <w:rsid w:val="00AB5776"/>
    <w:rsid w:val="00AD44A0"/>
    <w:rsid w:val="00AD5392"/>
    <w:rsid w:val="00AF33F4"/>
    <w:rsid w:val="00AF4D2B"/>
    <w:rsid w:val="00AF54D1"/>
    <w:rsid w:val="00AF62C3"/>
    <w:rsid w:val="00B1180C"/>
    <w:rsid w:val="00B1265F"/>
    <w:rsid w:val="00B14451"/>
    <w:rsid w:val="00B17AC0"/>
    <w:rsid w:val="00B2693D"/>
    <w:rsid w:val="00B26E04"/>
    <w:rsid w:val="00B35954"/>
    <w:rsid w:val="00B363BE"/>
    <w:rsid w:val="00B37F84"/>
    <w:rsid w:val="00B40576"/>
    <w:rsid w:val="00B46080"/>
    <w:rsid w:val="00B529AF"/>
    <w:rsid w:val="00B53C4B"/>
    <w:rsid w:val="00B6136A"/>
    <w:rsid w:val="00B65A7B"/>
    <w:rsid w:val="00B734EF"/>
    <w:rsid w:val="00B81DF7"/>
    <w:rsid w:val="00B91280"/>
    <w:rsid w:val="00B925A7"/>
    <w:rsid w:val="00B93E16"/>
    <w:rsid w:val="00B978C4"/>
    <w:rsid w:val="00BA0953"/>
    <w:rsid w:val="00BA1DB7"/>
    <w:rsid w:val="00BA404C"/>
    <w:rsid w:val="00BB0C28"/>
    <w:rsid w:val="00BB3664"/>
    <w:rsid w:val="00BB463C"/>
    <w:rsid w:val="00BB4FC6"/>
    <w:rsid w:val="00BB60CE"/>
    <w:rsid w:val="00BF1E92"/>
    <w:rsid w:val="00BF67D4"/>
    <w:rsid w:val="00C04265"/>
    <w:rsid w:val="00C1169B"/>
    <w:rsid w:val="00C21DC4"/>
    <w:rsid w:val="00C318F6"/>
    <w:rsid w:val="00C47E7B"/>
    <w:rsid w:val="00C47F4E"/>
    <w:rsid w:val="00C50DBD"/>
    <w:rsid w:val="00C51A47"/>
    <w:rsid w:val="00C53684"/>
    <w:rsid w:val="00C55B83"/>
    <w:rsid w:val="00C616C4"/>
    <w:rsid w:val="00C617C6"/>
    <w:rsid w:val="00C6692B"/>
    <w:rsid w:val="00C66AC4"/>
    <w:rsid w:val="00C75984"/>
    <w:rsid w:val="00C76BCC"/>
    <w:rsid w:val="00C77DBB"/>
    <w:rsid w:val="00C866DE"/>
    <w:rsid w:val="00C87373"/>
    <w:rsid w:val="00C93715"/>
    <w:rsid w:val="00C95EC2"/>
    <w:rsid w:val="00C975F7"/>
    <w:rsid w:val="00CD4DBD"/>
    <w:rsid w:val="00CD53C6"/>
    <w:rsid w:val="00CD7A9C"/>
    <w:rsid w:val="00CD7FD1"/>
    <w:rsid w:val="00CE4C5C"/>
    <w:rsid w:val="00CE7A2F"/>
    <w:rsid w:val="00CF6815"/>
    <w:rsid w:val="00CF6E27"/>
    <w:rsid w:val="00D02964"/>
    <w:rsid w:val="00D06BCC"/>
    <w:rsid w:val="00D16550"/>
    <w:rsid w:val="00D1770A"/>
    <w:rsid w:val="00D20D0C"/>
    <w:rsid w:val="00D21331"/>
    <w:rsid w:val="00D4759F"/>
    <w:rsid w:val="00D5227B"/>
    <w:rsid w:val="00D536C1"/>
    <w:rsid w:val="00D63878"/>
    <w:rsid w:val="00D6626C"/>
    <w:rsid w:val="00D67D14"/>
    <w:rsid w:val="00D71B20"/>
    <w:rsid w:val="00D7234D"/>
    <w:rsid w:val="00D73858"/>
    <w:rsid w:val="00D74D98"/>
    <w:rsid w:val="00D81F84"/>
    <w:rsid w:val="00D823E0"/>
    <w:rsid w:val="00DA172B"/>
    <w:rsid w:val="00DA2684"/>
    <w:rsid w:val="00DA5315"/>
    <w:rsid w:val="00DB2564"/>
    <w:rsid w:val="00DB451F"/>
    <w:rsid w:val="00DC1F3F"/>
    <w:rsid w:val="00DC3401"/>
    <w:rsid w:val="00DE08F2"/>
    <w:rsid w:val="00DE6B07"/>
    <w:rsid w:val="00DF37F2"/>
    <w:rsid w:val="00DF6B05"/>
    <w:rsid w:val="00E04650"/>
    <w:rsid w:val="00E05F9E"/>
    <w:rsid w:val="00E102E0"/>
    <w:rsid w:val="00E12E8A"/>
    <w:rsid w:val="00E13501"/>
    <w:rsid w:val="00E14578"/>
    <w:rsid w:val="00E15FBD"/>
    <w:rsid w:val="00E16218"/>
    <w:rsid w:val="00E1627A"/>
    <w:rsid w:val="00E23AB7"/>
    <w:rsid w:val="00E23C74"/>
    <w:rsid w:val="00E273D1"/>
    <w:rsid w:val="00E3199B"/>
    <w:rsid w:val="00E45BEC"/>
    <w:rsid w:val="00E64C33"/>
    <w:rsid w:val="00E67834"/>
    <w:rsid w:val="00E71156"/>
    <w:rsid w:val="00E72970"/>
    <w:rsid w:val="00E810DC"/>
    <w:rsid w:val="00E82C72"/>
    <w:rsid w:val="00E91A95"/>
    <w:rsid w:val="00EC418A"/>
    <w:rsid w:val="00ED43D3"/>
    <w:rsid w:val="00ED5C10"/>
    <w:rsid w:val="00EE3FCB"/>
    <w:rsid w:val="00EF6E47"/>
    <w:rsid w:val="00F04C79"/>
    <w:rsid w:val="00F0658E"/>
    <w:rsid w:val="00F12574"/>
    <w:rsid w:val="00F23954"/>
    <w:rsid w:val="00F26556"/>
    <w:rsid w:val="00F33EF9"/>
    <w:rsid w:val="00F408B8"/>
    <w:rsid w:val="00F44F18"/>
    <w:rsid w:val="00F454CA"/>
    <w:rsid w:val="00F46184"/>
    <w:rsid w:val="00F54066"/>
    <w:rsid w:val="00F71631"/>
    <w:rsid w:val="00F72877"/>
    <w:rsid w:val="00F8533C"/>
    <w:rsid w:val="00F93B39"/>
    <w:rsid w:val="00F968AD"/>
    <w:rsid w:val="00FA12EF"/>
    <w:rsid w:val="00FA543D"/>
    <w:rsid w:val="00FA6B73"/>
    <w:rsid w:val="00FB01C0"/>
    <w:rsid w:val="00FC04E6"/>
    <w:rsid w:val="00FC2CE6"/>
    <w:rsid w:val="00FC5DAD"/>
    <w:rsid w:val="00FE09E2"/>
    <w:rsid w:val="00FE4E01"/>
    <w:rsid w:val="00FE5172"/>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F6D4F6-F3DA-4CC0-A5E5-ED0EA6F5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1581"/>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03292B"/>
    <w:rPr>
      <w:rFonts w:ascii="Segoe UI" w:hAnsi="Segoe UI" w:cs="Segoe UI"/>
      <w:sz w:val="18"/>
      <w:szCs w:val="18"/>
    </w:rPr>
  </w:style>
  <w:style w:type="character" w:customStyle="1" w:styleId="BallongtextChar">
    <w:name w:val="Ballongtext Char"/>
    <w:basedOn w:val="Standardstycketeckensnitt"/>
    <w:link w:val="Ballongtext"/>
    <w:rsid w:val="0003292B"/>
    <w:rPr>
      <w:rFonts w:ascii="Segoe UI" w:hAnsi="Segoe UI" w:cs="Segoe UI"/>
      <w:sz w:val="18"/>
      <w:szCs w:val="18"/>
    </w:rPr>
  </w:style>
  <w:style w:type="paragraph" w:styleId="Liststycke">
    <w:name w:val="List Paragraph"/>
    <w:basedOn w:val="Normal"/>
    <w:uiPriority w:val="34"/>
    <w:qFormat/>
    <w:rsid w:val="003704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90797">
      <w:bodyDiv w:val="1"/>
      <w:marLeft w:val="0"/>
      <w:marRight w:val="0"/>
      <w:marTop w:val="0"/>
      <w:marBottom w:val="0"/>
      <w:divBdr>
        <w:top w:val="none" w:sz="0" w:space="0" w:color="auto"/>
        <w:left w:val="none" w:sz="0" w:space="0" w:color="auto"/>
        <w:bottom w:val="none" w:sz="0" w:space="0" w:color="auto"/>
        <w:right w:val="none" w:sz="0" w:space="0" w:color="auto"/>
      </w:divBdr>
    </w:div>
    <w:div w:id="197934034">
      <w:bodyDiv w:val="1"/>
      <w:marLeft w:val="0"/>
      <w:marRight w:val="0"/>
      <w:marTop w:val="0"/>
      <w:marBottom w:val="0"/>
      <w:divBdr>
        <w:top w:val="none" w:sz="0" w:space="0" w:color="auto"/>
        <w:left w:val="none" w:sz="0" w:space="0" w:color="auto"/>
        <w:bottom w:val="none" w:sz="0" w:space="0" w:color="auto"/>
        <w:right w:val="none" w:sz="0" w:space="0" w:color="auto"/>
      </w:divBdr>
    </w:div>
    <w:div w:id="268049357">
      <w:bodyDiv w:val="1"/>
      <w:marLeft w:val="0"/>
      <w:marRight w:val="0"/>
      <w:marTop w:val="0"/>
      <w:marBottom w:val="0"/>
      <w:divBdr>
        <w:top w:val="none" w:sz="0" w:space="0" w:color="auto"/>
        <w:left w:val="none" w:sz="0" w:space="0" w:color="auto"/>
        <w:bottom w:val="none" w:sz="0" w:space="0" w:color="auto"/>
        <w:right w:val="none" w:sz="0" w:space="0" w:color="auto"/>
      </w:divBdr>
    </w:div>
    <w:div w:id="288052026">
      <w:bodyDiv w:val="1"/>
      <w:marLeft w:val="0"/>
      <w:marRight w:val="0"/>
      <w:marTop w:val="0"/>
      <w:marBottom w:val="0"/>
      <w:divBdr>
        <w:top w:val="none" w:sz="0" w:space="0" w:color="auto"/>
        <w:left w:val="none" w:sz="0" w:space="0" w:color="auto"/>
        <w:bottom w:val="none" w:sz="0" w:space="0" w:color="auto"/>
        <w:right w:val="none" w:sz="0" w:space="0" w:color="auto"/>
      </w:divBdr>
    </w:div>
    <w:div w:id="393090561">
      <w:bodyDiv w:val="1"/>
      <w:marLeft w:val="0"/>
      <w:marRight w:val="0"/>
      <w:marTop w:val="0"/>
      <w:marBottom w:val="0"/>
      <w:divBdr>
        <w:top w:val="none" w:sz="0" w:space="0" w:color="auto"/>
        <w:left w:val="none" w:sz="0" w:space="0" w:color="auto"/>
        <w:bottom w:val="none" w:sz="0" w:space="0" w:color="auto"/>
        <w:right w:val="none" w:sz="0" w:space="0" w:color="auto"/>
      </w:divBdr>
    </w:div>
    <w:div w:id="489058996">
      <w:bodyDiv w:val="1"/>
      <w:marLeft w:val="0"/>
      <w:marRight w:val="0"/>
      <w:marTop w:val="0"/>
      <w:marBottom w:val="0"/>
      <w:divBdr>
        <w:top w:val="none" w:sz="0" w:space="0" w:color="auto"/>
        <w:left w:val="none" w:sz="0" w:space="0" w:color="auto"/>
        <w:bottom w:val="none" w:sz="0" w:space="0" w:color="auto"/>
        <w:right w:val="none" w:sz="0" w:space="0" w:color="auto"/>
      </w:divBdr>
    </w:div>
    <w:div w:id="635570149">
      <w:bodyDiv w:val="1"/>
      <w:marLeft w:val="0"/>
      <w:marRight w:val="0"/>
      <w:marTop w:val="0"/>
      <w:marBottom w:val="0"/>
      <w:divBdr>
        <w:top w:val="none" w:sz="0" w:space="0" w:color="auto"/>
        <w:left w:val="none" w:sz="0" w:space="0" w:color="auto"/>
        <w:bottom w:val="none" w:sz="0" w:space="0" w:color="auto"/>
        <w:right w:val="none" w:sz="0" w:space="0" w:color="auto"/>
      </w:divBdr>
    </w:div>
    <w:div w:id="649528470">
      <w:bodyDiv w:val="1"/>
      <w:marLeft w:val="0"/>
      <w:marRight w:val="0"/>
      <w:marTop w:val="0"/>
      <w:marBottom w:val="0"/>
      <w:divBdr>
        <w:top w:val="none" w:sz="0" w:space="0" w:color="auto"/>
        <w:left w:val="none" w:sz="0" w:space="0" w:color="auto"/>
        <w:bottom w:val="none" w:sz="0" w:space="0" w:color="auto"/>
        <w:right w:val="none" w:sz="0" w:space="0" w:color="auto"/>
      </w:divBdr>
    </w:div>
    <w:div w:id="962269792">
      <w:bodyDiv w:val="1"/>
      <w:marLeft w:val="0"/>
      <w:marRight w:val="0"/>
      <w:marTop w:val="0"/>
      <w:marBottom w:val="0"/>
      <w:divBdr>
        <w:top w:val="none" w:sz="0" w:space="0" w:color="auto"/>
        <w:left w:val="none" w:sz="0" w:space="0" w:color="auto"/>
        <w:bottom w:val="none" w:sz="0" w:space="0" w:color="auto"/>
        <w:right w:val="none" w:sz="0" w:space="0" w:color="auto"/>
      </w:divBdr>
    </w:div>
    <w:div w:id="1095706203">
      <w:bodyDiv w:val="1"/>
      <w:marLeft w:val="0"/>
      <w:marRight w:val="0"/>
      <w:marTop w:val="0"/>
      <w:marBottom w:val="0"/>
      <w:divBdr>
        <w:top w:val="none" w:sz="0" w:space="0" w:color="auto"/>
        <w:left w:val="none" w:sz="0" w:space="0" w:color="auto"/>
        <w:bottom w:val="none" w:sz="0" w:space="0" w:color="auto"/>
        <w:right w:val="none" w:sz="0" w:space="0" w:color="auto"/>
      </w:divBdr>
    </w:div>
    <w:div w:id="1145706788">
      <w:bodyDiv w:val="1"/>
      <w:marLeft w:val="0"/>
      <w:marRight w:val="0"/>
      <w:marTop w:val="0"/>
      <w:marBottom w:val="0"/>
      <w:divBdr>
        <w:top w:val="none" w:sz="0" w:space="0" w:color="auto"/>
        <w:left w:val="none" w:sz="0" w:space="0" w:color="auto"/>
        <w:bottom w:val="none" w:sz="0" w:space="0" w:color="auto"/>
        <w:right w:val="none" w:sz="0" w:space="0" w:color="auto"/>
      </w:divBdr>
    </w:div>
    <w:div w:id="1150026760">
      <w:bodyDiv w:val="1"/>
      <w:marLeft w:val="0"/>
      <w:marRight w:val="0"/>
      <w:marTop w:val="0"/>
      <w:marBottom w:val="0"/>
      <w:divBdr>
        <w:top w:val="none" w:sz="0" w:space="0" w:color="auto"/>
        <w:left w:val="none" w:sz="0" w:space="0" w:color="auto"/>
        <w:bottom w:val="none" w:sz="0" w:space="0" w:color="auto"/>
        <w:right w:val="none" w:sz="0" w:space="0" w:color="auto"/>
      </w:divBdr>
    </w:div>
    <w:div w:id="1271356002">
      <w:bodyDiv w:val="1"/>
      <w:marLeft w:val="0"/>
      <w:marRight w:val="0"/>
      <w:marTop w:val="0"/>
      <w:marBottom w:val="0"/>
      <w:divBdr>
        <w:top w:val="none" w:sz="0" w:space="0" w:color="auto"/>
        <w:left w:val="none" w:sz="0" w:space="0" w:color="auto"/>
        <w:bottom w:val="none" w:sz="0" w:space="0" w:color="auto"/>
        <w:right w:val="none" w:sz="0" w:space="0" w:color="auto"/>
      </w:divBdr>
    </w:div>
    <w:div w:id="1288002582">
      <w:bodyDiv w:val="1"/>
      <w:marLeft w:val="0"/>
      <w:marRight w:val="0"/>
      <w:marTop w:val="0"/>
      <w:marBottom w:val="0"/>
      <w:divBdr>
        <w:top w:val="none" w:sz="0" w:space="0" w:color="auto"/>
        <w:left w:val="none" w:sz="0" w:space="0" w:color="auto"/>
        <w:bottom w:val="none" w:sz="0" w:space="0" w:color="auto"/>
        <w:right w:val="none" w:sz="0" w:space="0" w:color="auto"/>
      </w:divBdr>
    </w:div>
    <w:div w:id="1297761125">
      <w:bodyDiv w:val="1"/>
      <w:marLeft w:val="0"/>
      <w:marRight w:val="0"/>
      <w:marTop w:val="0"/>
      <w:marBottom w:val="0"/>
      <w:divBdr>
        <w:top w:val="none" w:sz="0" w:space="0" w:color="auto"/>
        <w:left w:val="none" w:sz="0" w:space="0" w:color="auto"/>
        <w:bottom w:val="none" w:sz="0" w:space="0" w:color="auto"/>
        <w:right w:val="none" w:sz="0" w:space="0" w:color="auto"/>
      </w:divBdr>
    </w:div>
    <w:div w:id="1374160387">
      <w:bodyDiv w:val="1"/>
      <w:marLeft w:val="0"/>
      <w:marRight w:val="0"/>
      <w:marTop w:val="0"/>
      <w:marBottom w:val="0"/>
      <w:divBdr>
        <w:top w:val="none" w:sz="0" w:space="0" w:color="auto"/>
        <w:left w:val="none" w:sz="0" w:space="0" w:color="auto"/>
        <w:bottom w:val="none" w:sz="0" w:space="0" w:color="auto"/>
        <w:right w:val="none" w:sz="0" w:space="0" w:color="auto"/>
      </w:divBdr>
    </w:div>
    <w:div w:id="1445269689">
      <w:bodyDiv w:val="1"/>
      <w:marLeft w:val="0"/>
      <w:marRight w:val="0"/>
      <w:marTop w:val="0"/>
      <w:marBottom w:val="0"/>
      <w:divBdr>
        <w:top w:val="none" w:sz="0" w:space="0" w:color="auto"/>
        <w:left w:val="none" w:sz="0" w:space="0" w:color="auto"/>
        <w:bottom w:val="none" w:sz="0" w:space="0" w:color="auto"/>
        <w:right w:val="none" w:sz="0" w:space="0" w:color="auto"/>
      </w:divBdr>
    </w:div>
    <w:div w:id="1456098102">
      <w:bodyDiv w:val="1"/>
      <w:marLeft w:val="0"/>
      <w:marRight w:val="0"/>
      <w:marTop w:val="0"/>
      <w:marBottom w:val="0"/>
      <w:divBdr>
        <w:top w:val="none" w:sz="0" w:space="0" w:color="auto"/>
        <w:left w:val="none" w:sz="0" w:space="0" w:color="auto"/>
        <w:bottom w:val="none" w:sz="0" w:space="0" w:color="auto"/>
        <w:right w:val="none" w:sz="0" w:space="0" w:color="auto"/>
      </w:divBdr>
    </w:div>
    <w:div w:id="1629048442">
      <w:bodyDiv w:val="1"/>
      <w:marLeft w:val="0"/>
      <w:marRight w:val="0"/>
      <w:marTop w:val="0"/>
      <w:marBottom w:val="0"/>
      <w:divBdr>
        <w:top w:val="none" w:sz="0" w:space="0" w:color="auto"/>
        <w:left w:val="none" w:sz="0" w:space="0" w:color="auto"/>
        <w:bottom w:val="none" w:sz="0" w:space="0" w:color="auto"/>
        <w:right w:val="none" w:sz="0" w:space="0" w:color="auto"/>
      </w:divBdr>
    </w:div>
    <w:div w:id="1848707929">
      <w:bodyDiv w:val="1"/>
      <w:marLeft w:val="0"/>
      <w:marRight w:val="0"/>
      <w:marTop w:val="0"/>
      <w:marBottom w:val="0"/>
      <w:divBdr>
        <w:top w:val="none" w:sz="0" w:space="0" w:color="auto"/>
        <w:left w:val="none" w:sz="0" w:space="0" w:color="auto"/>
        <w:bottom w:val="none" w:sz="0" w:space="0" w:color="auto"/>
        <w:right w:val="none" w:sz="0" w:space="0" w:color="auto"/>
      </w:divBdr>
    </w:div>
    <w:div w:id="1924143420">
      <w:bodyDiv w:val="1"/>
      <w:marLeft w:val="0"/>
      <w:marRight w:val="0"/>
      <w:marTop w:val="0"/>
      <w:marBottom w:val="0"/>
      <w:divBdr>
        <w:top w:val="none" w:sz="0" w:space="0" w:color="auto"/>
        <w:left w:val="none" w:sz="0" w:space="0" w:color="auto"/>
        <w:bottom w:val="none" w:sz="0" w:space="0" w:color="auto"/>
        <w:right w:val="none" w:sz="0" w:space="0" w:color="auto"/>
      </w:divBdr>
    </w:div>
    <w:div w:id="2055538740">
      <w:bodyDiv w:val="1"/>
      <w:marLeft w:val="0"/>
      <w:marRight w:val="0"/>
      <w:marTop w:val="0"/>
      <w:marBottom w:val="0"/>
      <w:divBdr>
        <w:top w:val="none" w:sz="0" w:space="0" w:color="auto"/>
        <w:left w:val="none" w:sz="0" w:space="0" w:color="auto"/>
        <w:bottom w:val="none" w:sz="0" w:space="0" w:color="auto"/>
        <w:right w:val="none" w:sz="0" w:space="0" w:color="auto"/>
      </w:divBdr>
    </w:div>
    <w:div w:id="207565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1371</Words>
  <Characters>9036</Characters>
  <Application>Microsoft Office Word</Application>
  <DocSecurity>4</DocSecurity>
  <Lines>1129</Lines>
  <Paragraphs>231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2021-02-10T12:30:00Z</cp:lastPrinted>
  <dcterms:created xsi:type="dcterms:W3CDTF">2021-02-23T12:24:00Z</dcterms:created>
  <dcterms:modified xsi:type="dcterms:W3CDTF">2021-02-23T12:24:00Z</dcterms:modified>
</cp:coreProperties>
</file>