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bookmarkStart w:id="0" w:name="_GoBack"/>
            <w:bookmarkEnd w:id="0"/>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14DB9639" w14:textId="77777777" w:rsidR="00E2069A" w:rsidRPr="00D10746" w:rsidRDefault="00E2069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23A28784" w:rsidR="00BF5B1A" w:rsidRPr="00D10746" w:rsidRDefault="00B96F91" w:rsidP="0096348C">
            <w:pPr>
              <w:rPr>
                <w:b/>
                <w:szCs w:val="24"/>
              </w:rPr>
            </w:pPr>
            <w:r w:rsidRPr="00D10746">
              <w:rPr>
                <w:b/>
                <w:szCs w:val="24"/>
              </w:rPr>
              <w:t>UTSKOTTSSAMMANTRÄDE 20</w:t>
            </w:r>
            <w:r w:rsidR="00A36F5C" w:rsidRPr="00D10746">
              <w:rPr>
                <w:b/>
                <w:szCs w:val="24"/>
              </w:rPr>
              <w:t>20</w:t>
            </w:r>
            <w:r w:rsidRPr="00D10746">
              <w:rPr>
                <w:b/>
                <w:szCs w:val="24"/>
              </w:rPr>
              <w:t>/</w:t>
            </w:r>
            <w:r w:rsidR="00A924F6" w:rsidRPr="00D10746">
              <w:rPr>
                <w:b/>
                <w:szCs w:val="24"/>
              </w:rPr>
              <w:t>2</w:t>
            </w:r>
            <w:r w:rsidR="00A36F5C" w:rsidRPr="00D10746">
              <w:rPr>
                <w:b/>
                <w:szCs w:val="24"/>
              </w:rPr>
              <w:t>1</w:t>
            </w:r>
            <w:r w:rsidR="000D522A" w:rsidRPr="00D10746">
              <w:rPr>
                <w:b/>
                <w:szCs w:val="24"/>
              </w:rPr>
              <w:t>:</w:t>
            </w:r>
            <w:r w:rsidR="00297960" w:rsidRPr="00D10746">
              <w:rPr>
                <w:b/>
                <w:szCs w:val="24"/>
              </w:rPr>
              <w:t>5</w:t>
            </w:r>
            <w:r w:rsidR="00CA037C">
              <w:rPr>
                <w:b/>
                <w:szCs w:val="24"/>
              </w:rPr>
              <w:t>9</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458106FA" w:rsidR="00BF5B1A" w:rsidRPr="00D10746" w:rsidRDefault="00B96F91" w:rsidP="0096348C">
            <w:pPr>
              <w:rPr>
                <w:szCs w:val="24"/>
              </w:rPr>
            </w:pPr>
            <w:r w:rsidRPr="00D10746">
              <w:rPr>
                <w:szCs w:val="24"/>
              </w:rPr>
              <w:t>20</w:t>
            </w:r>
            <w:r w:rsidR="00317CD0" w:rsidRPr="00D10746">
              <w:rPr>
                <w:szCs w:val="24"/>
              </w:rPr>
              <w:t>2</w:t>
            </w:r>
            <w:r w:rsidR="00C15DFC" w:rsidRPr="00D10746">
              <w:rPr>
                <w:szCs w:val="24"/>
              </w:rPr>
              <w:t>1</w:t>
            </w:r>
            <w:r w:rsidRPr="00D10746">
              <w:rPr>
                <w:szCs w:val="24"/>
              </w:rPr>
              <w:t>-</w:t>
            </w:r>
            <w:r w:rsidR="00C15DFC" w:rsidRPr="00D10746">
              <w:rPr>
                <w:szCs w:val="24"/>
              </w:rPr>
              <w:t>0</w:t>
            </w:r>
            <w:r w:rsidR="00955E92">
              <w:rPr>
                <w:szCs w:val="24"/>
              </w:rPr>
              <w:t>5-</w:t>
            </w:r>
            <w:r w:rsidR="00CA037C">
              <w:rPr>
                <w:szCs w:val="24"/>
              </w:rPr>
              <w:t>20</w:t>
            </w:r>
          </w:p>
        </w:tc>
      </w:tr>
      <w:tr w:rsidR="004D6484" w:rsidRPr="00D10746" w14:paraId="6D50F7FD" w14:textId="77777777" w:rsidTr="002C1322">
        <w:tc>
          <w:tcPr>
            <w:tcW w:w="2057" w:type="dxa"/>
          </w:tcPr>
          <w:p w14:paraId="0453B048" w14:textId="77777777" w:rsidR="00BF5B1A" w:rsidRPr="00D10746" w:rsidRDefault="00BF5B1A" w:rsidP="0096348C">
            <w:pPr>
              <w:rPr>
                <w:szCs w:val="24"/>
              </w:rPr>
            </w:pPr>
            <w:r w:rsidRPr="00D10746">
              <w:rPr>
                <w:szCs w:val="24"/>
              </w:rPr>
              <w:t>TID</w:t>
            </w:r>
          </w:p>
        </w:tc>
        <w:tc>
          <w:tcPr>
            <w:tcW w:w="6391" w:type="dxa"/>
          </w:tcPr>
          <w:p w14:paraId="0E575B45" w14:textId="77777777" w:rsidR="004A522F" w:rsidRPr="00804B3A" w:rsidRDefault="00297960" w:rsidP="00EE1733">
            <w:pPr>
              <w:rPr>
                <w:szCs w:val="24"/>
              </w:rPr>
            </w:pPr>
            <w:r w:rsidRPr="00804B3A">
              <w:rPr>
                <w:szCs w:val="24"/>
              </w:rPr>
              <w:t>1</w:t>
            </w:r>
            <w:r w:rsidR="00CA037C" w:rsidRPr="00804B3A">
              <w:rPr>
                <w:szCs w:val="24"/>
              </w:rPr>
              <w:t>0</w:t>
            </w:r>
            <w:r w:rsidR="0024734C" w:rsidRPr="00804B3A">
              <w:rPr>
                <w:szCs w:val="24"/>
              </w:rPr>
              <w:t>.</w:t>
            </w:r>
            <w:r w:rsidR="00406AB0" w:rsidRPr="00804B3A">
              <w:rPr>
                <w:szCs w:val="24"/>
              </w:rPr>
              <w:t>0</w:t>
            </w:r>
            <w:r w:rsidR="00DB0979" w:rsidRPr="00804B3A">
              <w:rPr>
                <w:szCs w:val="24"/>
              </w:rPr>
              <w:t>0</w:t>
            </w:r>
            <w:r w:rsidR="00953995" w:rsidRPr="00804B3A">
              <w:rPr>
                <w:szCs w:val="24"/>
              </w:rPr>
              <w:t>–</w:t>
            </w:r>
            <w:r w:rsidR="00804B3A" w:rsidRPr="00804B3A">
              <w:rPr>
                <w:szCs w:val="24"/>
              </w:rPr>
              <w:t>1</w:t>
            </w:r>
            <w:r w:rsidR="00955E92" w:rsidRPr="00804B3A">
              <w:rPr>
                <w:szCs w:val="24"/>
              </w:rPr>
              <w:t>0</w:t>
            </w:r>
            <w:r w:rsidR="00472FD0" w:rsidRPr="00804B3A">
              <w:rPr>
                <w:szCs w:val="24"/>
              </w:rPr>
              <w:t>.</w:t>
            </w:r>
            <w:r w:rsidR="00804B3A" w:rsidRPr="00804B3A">
              <w:rPr>
                <w:szCs w:val="24"/>
              </w:rPr>
              <w:t>15</w:t>
            </w:r>
          </w:p>
          <w:p w14:paraId="199E69E3" w14:textId="5A66E9BE" w:rsidR="00804B3A" w:rsidRPr="00D10746" w:rsidRDefault="00804B3A" w:rsidP="00EE1733">
            <w:pPr>
              <w:rPr>
                <w:szCs w:val="24"/>
              </w:rPr>
            </w:pPr>
            <w:r w:rsidRPr="00804B3A">
              <w:rPr>
                <w:szCs w:val="24"/>
              </w:rPr>
              <w:t>10.20–10.40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40D4C3B9" w14:textId="471EB85C" w:rsidR="0006455E" w:rsidRDefault="0006455E" w:rsidP="00D15874">
      <w:pPr>
        <w:tabs>
          <w:tab w:val="left" w:pos="1418"/>
        </w:tabs>
        <w:rPr>
          <w:snapToGrid w:val="0"/>
          <w:szCs w:val="24"/>
        </w:rPr>
      </w:pPr>
    </w:p>
    <w:p w14:paraId="00938F59" w14:textId="77777777" w:rsidR="00E2069A" w:rsidRPr="00D10746" w:rsidRDefault="00E2069A"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5F4AB0" w:rsidRPr="00D10746" w14:paraId="17EC3645" w14:textId="77777777" w:rsidTr="00804B3A">
        <w:tc>
          <w:tcPr>
            <w:tcW w:w="567" w:type="dxa"/>
          </w:tcPr>
          <w:p w14:paraId="54E20EB0" w14:textId="77777777" w:rsidR="0086408F" w:rsidRPr="00D10746" w:rsidRDefault="009137F0" w:rsidP="0096348C">
            <w:pPr>
              <w:tabs>
                <w:tab w:val="left" w:pos="1701"/>
              </w:tabs>
              <w:rPr>
                <w:b/>
                <w:snapToGrid w:val="0"/>
                <w:szCs w:val="24"/>
              </w:rPr>
            </w:pPr>
            <w:r w:rsidRPr="00D10746">
              <w:rPr>
                <w:b/>
                <w:snapToGrid w:val="0"/>
                <w:szCs w:val="24"/>
              </w:rPr>
              <w:t>§1</w:t>
            </w:r>
          </w:p>
        </w:tc>
        <w:tc>
          <w:tcPr>
            <w:tcW w:w="7159" w:type="dxa"/>
          </w:tcPr>
          <w:p w14:paraId="0AC9A80F" w14:textId="77777777" w:rsidR="00737F4C" w:rsidRPr="00D10746" w:rsidRDefault="00737F4C" w:rsidP="00737F4C">
            <w:pPr>
              <w:rPr>
                <w:b/>
                <w:bCs/>
                <w:szCs w:val="24"/>
              </w:rPr>
            </w:pPr>
            <w:r w:rsidRPr="00D10746">
              <w:rPr>
                <w:b/>
                <w:bCs/>
                <w:szCs w:val="24"/>
              </w:rPr>
              <w:t>Medgivande att delta på distans</w:t>
            </w:r>
          </w:p>
          <w:p w14:paraId="7540ED96" w14:textId="77777777" w:rsidR="00737F4C" w:rsidRPr="00D10746" w:rsidRDefault="00737F4C" w:rsidP="00737F4C">
            <w:pPr>
              <w:rPr>
                <w:bCs/>
                <w:szCs w:val="24"/>
              </w:rPr>
            </w:pPr>
          </w:p>
          <w:p w14:paraId="5D76990A" w14:textId="2377A1E1" w:rsidR="007B78E7" w:rsidRPr="00CA27BC" w:rsidRDefault="00737F4C" w:rsidP="00737F4C">
            <w:pPr>
              <w:ind w:right="69"/>
              <w:rPr>
                <w:szCs w:val="24"/>
              </w:rPr>
            </w:pPr>
            <w:r w:rsidRPr="00CC5FCD">
              <w:rPr>
                <w:bCs/>
                <w:szCs w:val="24"/>
              </w:rPr>
              <w:t>Utskottet medgav deltagande på distans för följande ordinarie ledamöter och suppleanter</w:t>
            </w:r>
            <w:r w:rsidRPr="00804B3A">
              <w:rPr>
                <w:szCs w:val="24"/>
              </w:rPr>
              <w:t>:</w:t>
            </w:r>
            <w:r w:rsidR="006D6CBA" w:rsidRPr="00804B3A">
              <w:rPr>
                <w:szCs w:val="24"/>
              </w:rPr>
              <w:t xml:space="preserve"> </w:t>
            </w:r>
            <w:r w:rsidR="00524134" w:rsidRPr="00804B3A">
              <w:rPr>
                <w:szCs w:val="24"/>
              </w:rPr>
              <w:t xml:space="preserve">Kristina Nilsson (S), </w:t>
            </w:r>
            <w:r w:rsidR="00CD2B8A" w:rsidRPr="00804B3A">
              <w:rPr>
                <w:szCs w:val="24"/>
              </w:rPr>
              <w:t xml:space="preserve">Camilla Waltersson Grönvall (M), </w:t>
            </w:r>
            <w:r w:rsidRPr="00804B3A">
              <w:rPr>
                <w:szCs w:val="24"/>
              </w:rPr>
              <w:t xml:space="preserve">Ann-Christin Ahlberg (S), Johan Hultberg (M), </w:t>
            </w:r>
            <w:r w:rsidR="00D66CD9" w:rsidRPr="00804B3A">
              <w:rPr>
                <w:szCs w:val="24"/>
              </w:rPr>
              <w:t>Per Ramhorn (SD), Mikael Dahlqvist (S)</w:t>
            </w:r>
            <w:r w:rsidRPr="00804B3A">
              <w:rPr>
                <w:szCs w:val="24"/>
              </w:rPr>
              <w:t xml:space="preserve">, </w:t>
            </w:r>
            <w:r w:rsidR="00DE3E9A" w:rsidRPr="00804B3A">
              <w:rPr>
                <w:szCs w:val="24"/>
              </w:rPr>
              <w:t>Sofia Nilsson (C)</w:t>
            </w:r>
            <w:r w:rsidR="006D6CBA" w:rsidRPr="00804B3A">
              <w:rPr>
                <w:szCs w:val="24"/>
              </w:rPr>
              <w:t xml:space="preserve">, </w:t>
            </w:r>
            <w:r w:rsidR="009D656C" w:rsidRPr="00804B3A">
              <w:rPr>
                <w:szCs w:val="24"/>
              </w:rPr>
              <w:t>Karin Rågsjö (V),</w:t>
            </w:r>
            <w:r w:rsidR="00955E92" w:rsidRPr="00804B3A">
              <w:rPr>
                <w:szCs w:val="24"/>
              </w:rPr>
              <w:t xml:space="preserve"> Ulrika </w:t>
            </w:r>
            <w:proofErr w:type="spellStart"/>
            <w:r w:rsidR="00955E92" w:rsidRPr="00804B3A">
              <w:rPr>
                <w:szCs w:val="24"/>
              </w:rPr>
              <w:t>Heindorff</w:t>
            </w:r>
            <w:proofErr w:type="spellEnd"/>
            <w:r w:rsidR="00955E92" w:rsidRPr="00804B3A">
              <w:rPr>
                <w:szCs w:val="24"/>
              </w:rPr>
              <w:t xml:space="preserve"> (M)</w:t>
            </w:r>
            <w:r w:rsidRPr="00804B3A">
              <w:rPr>
                <w:szCs w:val="24"/>
              </w:rPr>
              <w:t xml:space="preserve">, </w:t>
            </w:r>
            <w:proofErr w:type="spellStart"/>
            <w:r w:rsidR="00955E92" w:rsidRPr="00804B3A">
              <w:rPr>
                <w:szCs w:val="24"/>
              </w:rPr>
              <w:t>Yasmine</w:t>
            </w:r>
            <w:proofErr w:type="spellEnd"/>
            <w:r w:rsidR="00955E92" w:rsidRPr="00804B3A">
              <w:rPr>
                <w:szCs w:val="24"/>
              </w:rPr>
              <w:t xml:space="preserve"> </w:t>
            </w:r>
            <w:proofErr w:type="spellStart"/>
            <w:r w:rsidR="00955E92" w:rsidRPr="00804B3A">
              <w:rPr>
                <w:szCs w:val="24"/>
              </w:rPr>
              <w:t>Bladelius</w:t>
            </w:r>
            <w:proofErr w:type="spellEnd"/>
            <w:r w:rsidR="00955E92" w:rsidRPr="00804B3A">
              <w:rPr>
                <w:szCs w:val="24"/>
              </w:rPr>
              <w:t xml:space="preserve"> (S)</w:t>
            </w:r>
            <w:r w:rsidR="00E74387" w:rsidRPr="00804B3A">
              <w:rPr>
                <w:szCs w:val="24"/>
              </w:rPr>
              <w:t>,</w:t>
            </w:r>
            <w:r w:rsidR="00B739D5" w:rsidRPr="00804B3A">
              <w:rPr>
                <w:szCs w:val="24"/>
              </w:rPr>
              <w:t xml:space="preserve"> </w:t>
            </w:r>
            <w:r w:rsidR="0023672A" w:rsidRPr="00804B3A">
              <w:rPr>
                <w:szCs w:val="24"/>
              </w:rPr>
              <w:t xml:space="preserve">Dag Larsson (S), </w:t>
            </w:r>
            <w:r w:rsidR="00B739D5" w:rsidRPr="00804B3A">
              <w:rPr>
                <w:szCs w:val="24"/>
              </w:rPr>
              <w:t>Lina Nordquist (L),</w:t>
            </w:r>
            <w:r w:rsidR="00E74387" w:rsidRPr="00804B3A">
              <w:rPr>
                <w:szCs w:val="24"/>
              </w:rPr>
              <w:t xml:space="preserve"> </w:t>
            </w:r>
            <w:r w:rsidRPr="00804B3A">
              <w:rPr>
                <w:szCs w:val="24"/>
              </w:rPr>
              <w:t>Christina Östberg (SD)</w:t>
            </w:r>
            <w:r w:rsidR="009E79B2" w:rsidRPr="00804B3A">
              <w:rPr>
                <w:szCs w:val="24"/>
              </w:rPr>
              <w:t xml:space="preserve">, </w:t>
            </w:r>
            <w:r w:rsidR="0087324E" w:rsidRPr="00804B3A">
              <w:rPr>
                <w:szCs w:val="24"/>
              </w:rPr>
              <w:t>Nicklas Attefjord (MP)</w:t>
            </w:r>
            <w:r w:rsidR="00BB3A2A" w:rsidRPr="00804B3A">
              <w:rPr>
                <w:szCs w:val="24"/>
              </w:rPr>
              <w:t xml:space="preserve">, </w:t>
            </w:r>
            <w:r w:rsidR="0019500B" w:rsidRPr="00804B3A">
              <w:rPr>
                <w:szCs w:val="24"/>
              </w:rPr>
              <w:t xml:space="preserve">Pia Steensland (KD), </w:t>
            </w:r>
            <w:r w:rsidRPr="00804B3A">
              <w:rPr>
                <w:szCs w:val="24"/>
              </w:rPr>
              <w:t>Mats Wiking (S), Ulrika Jörgensen (M)</w:t>
            </w:r>
            <w:r w:rsidR="00614FE1" w:rsidRPr="00804B3A">
              <w:rPr>
                <w:szCs w:val="24"/>
              </w:rPr>
              <w:t xml:space="preserve">, </w:t>
            </w:r>
            <w:r w:rsidR="00610A81" w:rsidRPr="00804B3A">
              <w:rPr>
                <w:szCs w:val="24"/>
              </w:rPr>
              <w:t xml:space="preserve">Clara </w:t>
            </w:r>
            <w:proofErr w:type="spellStart"/>
            <w:r w:rsidR="00610A81" w:rsidRPr="00804B3A">
              <w:rPr>
                <w:szCs w:val="24"/>
              </w:rPr>
              <w:t>Aranda</w:t>
            </w:r>
            <w:proofErr w:type="spellEnd"/>
            <w:r w:rsidR="009D656C" w:rsidRPr="00804B3A">
              <w:rPr>
                <w:szCs w:val="24"/>
              </w:rPr>
              <w:t xml:space="preserve"> (</w:t>
            </w:r>
            <w:r w:rsidR="00610A81" w:rsidRPr="00804B3A">
              <w:rPr>
                <w:szCs w:val="24"/>
              </w:rPr>
              <w:t>SD</w:t>
            </w:r>
            <w:r w:rsidR="009D656C" w:rsidRPr="00804B3A">
              <w:rPr>
                <w:szCs w:val="24"/>
              </w:rPr>
              <w:t>)</w:t>
            </w:r>
            <w:r w:rsidR="00955E92" w:rsidRPr="00804B3A">
              <w:rPr>
                <w:szCs w:val="24"/>
              </w:rPr>
              <w:t xml:space="preserve">, </w:t>
            </w:r>
            <w:r w:rsidR="0023672A" w:rsidRPr="00804B3A">
              <w:rPr>
                <w:szCs w:val="24"/>
              </w:rPr>
              <w:t xml:space="preserve">Anders W Jonsson (C), </w:t>
            </w:r>
            <w:r w:rsidR="00727ED4" w:rsidRPr="00804B3A">
              <w:rPr>
                <w:szCs w:val="24"/>
              </w:rPr>
              <w:t>Maj Karlsson (V),</w:t>
            </w:r>
            <w:r w:rsidR="00CC5FCD" w:rsidRPr="00804B3A">
              <w:rPr>
                <w:szCs w:val="24"/>
              </w:rPr>
              <w:t xml:space="preserve"> </w:t>
            </w:r>
            <w:r w:rsidRPr="00804B3A">
              <w:rPr>
                <w:szCs w:val="24"/>
              </w:rPr>
              <w:t>Barbro Westerholm (L)</w:t>
            </w:r>
            <w:r w:rsidR="002E79D8" w:rsidRPr="00804B3A">
              <w:rPr>
                <w:szCs w:val="24"/>
              </w:rPr>
              <w:t xml:space="preserve">, </w:t>
            </w:r>
            <w:r w:rsidR="00BA2B5E" w:rsidRPr="00804B3A">
              <w:rPr>
                <w:szCs w:val="24"/>
              </w:rPr>
              <w:t>Linda Lindberg (SD</w:t>
            </w:r>
            <w:r w:rsidR="00955E92" w:rsidRPr="00804B3A">
              <w:rPr>
                <w:szCs w:val="24"/>
              </w:rPr>
              <w:t xml:space="preserve"> och </w:t>
            </w:r>
            <w:r w:rsidR="00953F54" w:rsidRPr="00804B3A">
              <w:rPr>
                <w:szCs w:val="24"/>
              </w:rPr>
              <w:t>Inge Ståhlgren (S)</w:t>
            </w:r>
            <w:r w:rsidR="00DB64D7" w:rsidRPr="00804B3A">
              <w:rPr>
                <w:szCs w:val="24"/>
              </w:rPr>
              <w:t>.</w:t>
            </w:r>
          </w:p>
          <w:p w14:paraId="70DB0C00" w14:textId="5D582C1C" w:rsidR="008846CB" w:rsidRPr="00CA27BC" w:rsidRDefault="008846CB" w:rsidP="00737F4C">
            <w:pPr>
              <w:ind w:right="69"/>
              <w:rPr>
                <w:szCs w:val="24"/>
              </w:rPr>
            </w:pPr>
          </w:p>
          <w:p w14:paraId="33159AB7" w14:textId="629EAAC1" w:rsidR="006B7AA8" w:rsidRPr="00CA27BC" w:rsidRDefault="00804B3A" w:rsidP="006B7AA8">
            <w:pPr>
              <w:ind w:right="69"/>
              <w:rPr>
                <w:szCs w:val="24"/>
              </w:rPr>
            </w:pPr>
            <w:r w:rsidRPr="00804B3A">
              <w:rPr>
                <w:szCs w:val="24"/>
              </w:rPr>
              <w:t>Två</w:t>
            </w:r>
            <w:r w:rsidR="006B7AA8" w:rsidRPr="00804B3A">
              <w:rPr>
                <w:szCs w:val="24"/>
              </w:rPr>
              <w:t xml:space="preserve"> t</w:t>
            </w:r>
            <w:r w:rsidR="006B7AA8" w:rsidRPr="00CA27BC">
              <w:rPr>
                <w:szCs w:val="24"/>
              </w:rPr>
              <w:t>jänstemän från utskottets kansli var uppkopplade på distans.</w:t>
            </w:r>
          </w:p>
          <w:p w14:paraId="4C3B3EFC" w14:textId="77777777" w:rsidR="0086408F" w:rsidRPr="00D10746" w:rsidRDefault="0086408F" w:rsidP="00ED5C8E">
            <w:pPr>
              <w:ind w:right="69"/>
              <w:rPr>
                <w:bCs/>
                <w:szCs w:val="24"/>
              </w:rPr>
            </w:pPr>
          </w:p>
        </w:tc>
      </w:tr>
      <w:tr w:rsidR="00537811" w:rsidRPr="00D10746" w14:paraId="3F8F3A44" w14:textId="77777777" w:rsidTr="00804B3A">
        <w:tc>
          <w:tcPr>
            <w:tcW w:w="567" w:type="dxa"/>
          </w:tcPr>
          <w:p w14:paraId="502E2C02" w14:textId="3A357467" w:rsidR="00537811" w:rsidRPr="00D10746" w:rsidRDefault="00537811" w:rsidP="00537811">
            <w:pPr>
              <w:tabs>
                <w:tab w:val="left" w:pos="1701"/>
              </w:tabs>
              <w:rPr>
                <w:b/>
                <w:snapToGrid w:val="0"/>
                <w:szCs w:val="24"/>
              </w:rPr>
            </w:pPr>
            <w:r>
              <w:rPr>
                <w:b/>
                <w:snapToGrid w:val="0"/>
                <w:szCs w:val="24"/>
              </w:rPr>
              <w:t>§ 2</w:t>
            </w:r>
          </w:p>
        </w:tc>
        <w:tc>
          <w:tcPr>
            <w:tcW w:w="7159" w:type="dxa"/>
          </w:tcPr>
          <w:p w14:paraId="5C065286" w14:textId="77777777" w:rsidR="00537811" w:rsidRDefault="00537811" w:rsidP="00537811">
            <w:pPr>
              <w:rPr>
                <w:b/>
                <w:bCs/>
                <w:szCs w:val="24"/>
              </w:rPr>
            </w:pPr>
            <w:r w:rsidRPr="001B48AF">
              <w:rPr>
                <w:b/>
                <w:bCs/>
                <w:szCs w:val="24"/>
              </w:rPr>
              <w:t>Överläggning - under förutsättning av utskottets beslut - med företrädare för regeringen</w:t>
            </w:r>
          </w:p>
          <w:p w14:paraId="7998B512" w14:textId="77777777" w:rsidR="00537811" w:rsidRDefault="00537811" w:rsidP="00537811">
            <w:pPr>
              <w:rPr>
                <w:b/>
                <w:bCs/>
                <w:szCs w:val="24"/>
              </w:rPr>
            </w:pPr>
          </w:p>
          <w:p w14:paraId="726774F0" w14:textId="20EBE58C" w:rsidR="00537811" w:rsidRPr="00797E0E" w:rsidRDefault="00537811" w:rsidP="00537811">
            <w:pPr>
              <w:rPr>
                <w:rStyle w:val="bold"/>
                <w:rFonts w:eastAsia="Calibri"/>
                <w:bCs/>
                <w:szCs w:val="24"/>
                <w:lang w:eastAsia="en-US"/>
              </w:rPr>
            </w:pPr>
            <w:r w:rsidRPr="00797E0E">
              <w:rPr>
                <w:rStyle w:val="bold"/>
                <w:rFonts w:eastAsia="Calibri"/>
                <w:bCs/>
                <w:szCs w:val="24"/>
                <w:lang w:eastAsia="en-US"/>
              </w:rPr>
              <w:t>Utskottet beslutade med stöd av 7 kap. 12 § riksdagsordningen att överlägga med regeringen och överlade därefter med st</w:t>
            </w:r>
            <w:r w:rsidR="007867E2" w:rsidRPr="00797E0E">
              <w:rPr>
                <w:rStyle w:val="bold"/>
                <w:rFonts w:eastAsia="Calibri"/>
                <w:bCs/>
                <w:szCs w:val="24"/>
                <w:lang w:eastAsia="en-US"/>
              </w:rPr>
              <w:t xml:space="preserve">atsrådet </w:t>
            </w:r>
            <w:r w:rsidR="007867E2" w:rsidRPr="00797E0E">
              <w:t>Märta Stenevi</w:t>
            </w:r>
            <w:r w:rsidRPr="00797E0E">
              <w:rPr>
                <w:rStyle w:val="bold"/>
                <w:rFonts w:eastAsia="Calibri"/>
                <w:bCs/>
                <w:szCs w:val="24"/>
                <w:lang w:eastAsia="en-US"/>
              </w:rPr>
              <w:t xml:space="preserve">, </w:t>
            </w:r>
            <w:r w:rsidR="007867E2" w:rsidRPr="00797E0E">
              <w:rPr>
                <w:rStyle w:val="bold"/>
                <w:rFonts w:eastAsia="Calibri"/>
                <w:bCs/>
                <w:szCs w:val="24"/>
                <w:lang w:eastAsia="en-US"/>
              </w:rPr>
              <w:t>Arbetsmarknads</w:t>
            </w:r>
            <w:r w:rsidRPr="00797E0E">
              <w:rPr>
                <w:rStyle w:val="bold"/>
                <w:rFonts w:eastAsia="Calibri"/>
                <w:bCs/>
                <w:szCs w:val="24"/>
                <w:lang w:eastAsia="en-US"/>
              </w:rPr>
              <w:t>departementet, med medarbetare på distans.</w:t>
            </w:r>
          </w:p>
          <w:p w14:paraId="05FE0FB4" w14:textId="14D1DE24" w:rsidR="00537811" w:rsidRDefault="007867E2" w:rsidP="00537811">
            <w:pPr>
              <w:rPr>
                <w:rStyle w:val="bold"/>
                <w:rFonts w:eastAsia="Calibri"/>
                <w:bCs/>
                <w:szCs w:val="24"/>
                <w:lang w:eastAsia="en-US"/>
              </w:rPr>
            </w:pPr>
            <w:r>
              <w:rPr>
                <w:rStyle w:val="bold"/>
                <w:rFonts w:eastAsia="Calibri"/>
                <w:bCs/>
                <w:szCs w:val="24"/>
                <w:lang w:eastAsia="en-US"/>
              </w:rPr>
              <w:t xml:space="preserve"> </w:t>
            </w:r>
          </w:p>
          <w:p w14:paraId="7EAD313F" w14:textId="593D695B" w:rsidR="00537811" w:rsidRPr="00001AD2" w:rsidRDefault="00537811" w:rsidP="00537811">
            <w:pPr>
              <w:tabs>
                <w:tab w:val="left" w:pos="1701"/>
              </w:tabs>
              <w:rPr>
                <w:rStyle w:val="bold"/>
                <w:rFonts w:eastAsia="Calibri"/>
                <w:bCs/>
                <w:szCs w:val="24"/>
                <w:lang w:eastAsia="en-US"/>
              </w:rPr>
            </w:pPr>
            <w:r w:rsidRPr="00B5761E">
              <w:rPr>
                <w:rStyle w:val="bold"/>
                <w:rFonts w:eastAsia="Calibri"/>
                <w:bCs/>
                <w:szCs w:val="24"/>
                <w:lang w:eastAsia="en-US"/>
              </w:rPr>
              <w:t xml:space="preserve">Underlaget utgjordes av </w:t>
            </w:r>
            <w:r w:rsidRPr="00B5761E">
              <w:t xml:space="preserve">kommissionens </w:t>
            </w:r>
            <w:r w:rsidR="0045148A">
              <w:t>meddelande om</w:t>
            </w:r>
            <w:r w:rsidRPr="00B5761E">
              <w:t xml:space="preserve"> EU:s strategi för barn</w:t>
            </w:r>
            <w:r w:rsidR="0045148A">
              <w:t>et</w:t>
            </w:r>
            <w:r w:rsidRPr="00B5761E">
              <w:t xml:space="preserve">s rättigheter, </w:t>
            </w:r>
            <w:proofErr w:type="gramStart"/>
            <w:r w:rsidRPr="00B5761E">
              <w:t>COM(</w:t>
            </w:r>
            <w:proofErr w:type="gramEnd"/>
            <w:r w:rsidRPr="00B5761E">
              <w:t>2021) 1</w:t>
            </w:r>
            <w:r w:rsidR="00B5761E" w:rsidRPr="00B5761E">
              <w:t>42</w:t>
            </w:r>
            <w:r w:rsidRPr="00B5761E">
              <w:t xml:space="preserve">, och </w:t>
            </w:r>
            <w:r w:rsidRPr="00B5761E">
              <w:rPr>
                <w:rStyle w:val="bold"/>
                <w:rFonts w:eastAsia="Calibri"/>
                <w:bCs/>
                <w:szCs w:val="24"/>
                <w:lang w:eastAsia="en-US"/>
              </w:rPr>
              <w:t xml:space="preserve">en överläggningspromemoria från </w:t>
            </w:r>
            <w:r w:rsidR="0045148A">
              <w:rPr>
                <w:rStyle w:val="bold"/>
                <w:rFonts w:eastAsia="Calibri"/>
                <w:bCs/>
                <w:szCs w:val="24"/>
                <w:lang w:eastAsia="en-US"/>
              </w:rPr>
              <w:t>Arbetsmarknads</w:t>
            </w:r>
            <w:r w:rsidRPr="00B5761E">
              <w:rPr>
                <w:rStyle w:val="bold"/>
                <w:rFonts w:eastAsia="Calibri"/>
                <w:bCs/>
                <w:szCs w:val="24"/>
                <w:lang w:eastAsia="en-US"/>
              </w:rPr>
              <w:t xml:space="preserve">departementet (dnr. </w:t>
            </w:r>
            <w:r w:rsidR="00B5761E" w:rsidRPr="00B5761E">
              <w:rPr>
                <w:rStyle w:val="bold"/>
                <w:rFonts w:eastAsia="Calibri"/>
                <w:bCs/>
                <w:szCs w:val="24"/>
                <w:lang w:eastAsia="en-US"/>
              </w:rPr>
              <w:t>2022</w:t>
            </w:r>
            <w:r w:rsidRPr="00B5761E">
              <w:rPr>
                <w:rStyle w:val="bold"/>
                <w:rFonts w:eastAsia="Calibri"/>
                <w:bCs/>
                <w:szCs w:val="24"/>
                <w:lang w:eastAsia="en-US"/>
              </w:rPr>
              <w:t>–2020/21).</w:t>
            </w:r>
          </w:p>
          <w:p w14:paraId="55473B51" w14:textId="77777777" w:rsidR="00537811" w:rsidRPr="00B3519D" w:rsidRDefault="00537811" w:rsidP="00537811">
            <w:pPr>
              <w:tabs>
                <w:tab w:val="left" w:pos="1701"/>
              </w:tabs>
              <w:rPr>
                <w:rStyle w:val="bold"/>
                <w:rFonts w:eastAsia="Calibri"/>
                <w:bCs/>
                <w:szCs w:val="24"/>
                <w:lang w:eastAsia="en-US"/>
              </w:rPr>
            </w:pPr>
          </w:p>
          <w:p w14:paraId="28BB6EF7" w14:textId="59551B51" w:rsidR="00537811" w:rsidRPr="00B3519D" w:rsidRDefault="00537811" w:rsidP="00537811">
            <w:pPr>
              <w:tabs>
                <w:tab w:val="left" w:pos="1701"/>
              </w:tabs>
              <w:rPr>
                <w:rStyle w:val="bold"/>
                <w:rFonts w:eastAsia="Calibri"/>
                <w:bCs/>
                <w:szCs w:val="24"/>
                <w:lang w:eastAsia="en-US"/>
              </w:rPr>
            </w:pPr>
            <w:r w:rsidRPr="00797E0E">
              <w:rPr>
                <w:rStyle w:val="bold"/>
                <w:rFonts w:eastAsia="Calibri"/>
                <w:bCs/>
                <w:szCs w:val="24"/>
                <w:lang w:eastAsia="en-US"/>
              </w:rPr>
              <w:t>Stats</w:t>
            </w:r>
            <w:r w:rsidR="007867E2" w:rsidRPr="00797E0E">
              <w:rPr>
                <w:rStyle w:val="bold"/>
                <w:rFonts w:eastAsia="Calibri"/>
                <w:bCs/>
                <w:szCs w:val="24"/>
                <w:lang w:eastAsia="en-US"/>
              </w:rPr>
              <w:t>rådet</w:t>
            </w:r>
            <w:r w:rsidRPr="00797E0E">
              <w:rPr>
                <w:rStyle w:val="bold"/>
                <w:rFonts w:eastAsia="Calibri"/>
                <w:bCs/>
                <w:szCs w:val="24"/>
                <w:lang w:eastAsia="en-US"/>
              </w:rPr>
              <w:t xml:space="preserve"> r</w:t>
            </w:r>
            <w:r w:rsidRPr="00B3519D">
              <w:rPr>
                <w:rStyle w:val="bold"/>
                <w:rFonts w:eastAsia="Calibri"/>
                <w:bCs/>
                <w:szCs w:val="24"/>
                <w:lang w:eastAsia="en-US"/>
              </w:rPr>
              <w:t>edogjorde för regeringens ståndpunkt i enlighet med överläggningspromemoria</w:t>
            </w:r>
            <w:r>
              <w:rPr>
                <w:rStyle w:val="bold"/>
                <w:rFonts w:eastAsia="Calibri"/>
                <w:bCs/>
                <w:szCs w:val="24"/>
                <w:lang w:eastAsia="en-US"/>
              </w:rPr>
              <w:t>n</w:t>
            </w:r>
            <w:r w:rsidRPr="00B3519D">
              <w:rPr>
                <w:rStyle w:val="bold"/>
                <w:rFonts w:eastAsia="Calibri"/>
                <w:bCs/>
                <w:szCs w:val="24"/>
                <w:lang w:eastAsia="en-US"/>
              </w:rPr>
              <w:t>:</w:t>
            </w:r>
          </w:p>
          <w:p w14:paraId="399CB9B8" w14:textId="77777777" w:rsidR="00537811" w:rsidRPr="00B3519D" w:rsidRDefault="00537811" w:rsidP="00537811">
            <w:pPr>
              <w:tabs>
                <w:tab w:val="left" w:pos="1701"/>
              </w:tabs>
              <w:rPr>
                <w:rStyle w:val="bold"/>
                <w:rFonts w:eastAsia="Calibri"/>
                <w:bCs/>
                <w:szCs w:val="24"/>
                <w:lang w:eastAsia="en-US"/>
              </w:rPr>
            </w:pPr>
          </w:p>
          <w:p w14:paraId="590D5F17" w14:textId="7499F00A" w:rsidR="00D62D1C" w:rsidRPr="00D62D1C" w:rsidRDefault="00D62D1C" w:rsidP="00D62D1C">
            <w:pPr>
              <w:tabs>
                <w:tab w:val="left" w:pos="1701"/>
              </w:tabs>
              <w:ind w:left="280" w:right="495"/>
              <w:rPr>
                <w:rStyle w:val="bold"/>
                <w:rFonts w:eastAsia="Calibri"/>
                <w:bCs/>
                <w:sz w:val="22"/>
                <w:szCs w:val="22"/>
                <w:lang w:eastAsia="en-US"/>
              </w:rPr>
            </w:pPr>
            <w:r w:rsidRPr="00D62D1C">
              <w:rPr>
                <w:rStyle w:val="bold"/>
                <w:rFonts w:eastAsia="Calibri"/>
                <w:bCs/>
                <w:sz w:val="22"/>
                <w:szCs w:val="22"/>
                <w:lang w:eastAsia="en-US"/>
              </w:rPr>
              <w:t xml:space="preserve">Regeringen välkomnar kommissionens meddelande om en strategi för barnets rättigheter och anser att ett strategiskt och unionsgemensamt arbete kan bidra till att stärka barnets rättigheter i EU. Att sätta barnets bästa i centrum för EU:s politik i såväl interna som externa åtgärder bidrar till mer likvärdiga möjligheter för barn. Regeringen anser att det är av vikt att strategin genomförs och följs upp på ett samlat och långsiktigt sätt, och ser positivt på att kommissionen rekommenderar medlemsstaterna att anta nationella strategier för barnets rättigheter. </w:t>
            </w:r>
          </w:p>
          <w:p w14:paraId="7105E585" w14:textId="77777777" w:rsidR="00D62D1C" w:rsidRPr="00D62D1C" w:rsidRDefault="00D62D1C" w:rsidP="00D62D1C">
            <w:pPr>
              <w:tabs>
                <w:tab w:val="left" w:pos="1701"/>
              </w:tabs>
              <w:ind w:left="280" w:right="495"/>
              <w:rPr>
                <w:rStyle w:val="bold"/>
                <w:rFonts w:eastAsia="Calibri"/>
                <w:bCs/>
                <w:sz w:val="22"/>
                <w:szCs w:val="22"/>
                <w:lang w:eastAsia="en-US"/>
              </w:rPr>
            </w:pPr>
          </w:p>
          <w:p w14:paraId="0A431C4D" w14:textId="77777777" w:rsidR="00D62D1C" w:rsidRPr="00D62D1C" w:rsidRDefault="00D62D1C" w:rsidP="00D62D1C">
            <w:pPr>
              <w:tabs>
                <w:tab w:val="left" w:pos="1701"/>
              </w:tabs>
              <w:ind w:left="280" w:right="495"/>
              <w:rPr>
                <w:rStyle w:val="bold"/>
                <w:rFonts w:eastAsia="Calibri"/>
                <w:bCs/>
                <w:sz w:val="22"/>
                <w:szCs w:val="22"/>
                <w:lang w:eastAsia="en-US"/>
              </w:rPr>
            </w:pPr>
            <w:r w:rsidRPr="00D62D1C">
              <w:rPr>
                <w:rStyle w:val="bold"/>
                <w:rFonts w:eastAsia="Calibri"/>
                <w:bCs/>
                <w:sz w:val="22"/>
                <w:szCs w:val="22"/>
                <w:lang w:eastAsia="en-US"/>
              </w:rPr>
              <w:t xml:space="preserve">Regeringen delar kommissionens utgångspunkt och ambition i att alla barn ska kunna åtnjuta sina mänskliga rättigheter och få växa upp fritt från diskriminering och våld samt att skapa bästa möjliga liv för barn i </w:t>
            </w:r>
            <w:r w:rsidRPr="00D62D1C">
              <w:rPr>
                <w:rStyle w:val="bold"/>
                <w:rFonts w:eastAsia="Calibri"/>
                <w:bCs/>
                <w:sz w:val="22"/>
                <w:szCs w:val="22"/>
                <w:lang w:eastAsia="en-US"/>
              </w:rPr>
              <w:lastRenderedPageBreak/>
              <w:t>EU och globalt. Strategin ligger i linje med FN:s konvention om barnets rättigheter (barnkonventionen) och EU:s stadga om de grundläggande rättigheterna (stadgan). Regeringen anser att barnkonventionen och stadgan även ska vara integrerade delar i genomförandet av strategin.</w:t>
            </w:r>
          </w:p>
          <w:p w14:paraId="4BA1688D" w14:textId="77777777" w:rsidR="00D62D1C" w:rsidRPr="00D62D1C" w:rsidRDefault="00D62D1C" w:rsidP="00D62D1C">
            <w:pPr>
              <w:tabs>
                <w:tab w:val="left" w:pos="1701"/>
              </w:tabs>
              <w:ind w:left="280" w:right="495"/>
              <w:rPr>
                <w:rStyle w:val="bold"/>
                <w:rFonts w:eastAsia="Calibri"/>
                <w:bCs/>
                <w:sz w:val="22"/>
                <w:szCs w:val="22"/>
                <w:lang w:eastAsia="en-US"/>
              </w:rPr>
            </w:pPr>
          </w:p>
          <w:p w14:paraId="0A34B401" w14:textId="23FFAD83" w:rsidR="00D62D1C" w:rsidRPr="00D62D1C" w:rsidRDefault="00D62D1C" w:rsidP="00D62D1C">
            <w:pPr>
              <w:tabs>
                <w:tab w:val="left" w:pos="1701"/>
              </w:tabs>
              <w:ind w:left="280" w:right="495"/>
              <w:rPr>
                <w:rStyle w:val="bold"/>
                <w:rFonts w:eastAsia="Calibri"/>
                <w:bCs/>
                <w:sz w:val="22"/>
                <w:szCs w:val="22"/>
                <w:lang w:eastAsia="en-US"/>
              </w:rPr>
            </w:pPr>
            <w:r w:rsidRPr="00D62D1C">
              <w:rPr>
                <w:rStyle w:val="bold"/>
                <w:rFonts w:eastAsia="Calibri"/>
                <w:bCs/>
                <w:sz w:val="22"/>
                <w:szCs w:val="22"/>
                <w:lang w:eastAsia="en-US"/>
              </w:rPr>
              <w:t>Regeringen anser att strategins sex tematiska områden är väl avvägda och möter de utmaningar som EU står inför när det gäller förverkligandet av barnets rättigheter. Att dessa områden ska understödjas av en stärkt integrering av barnets rättigheter i all relevant EU-politik är välkommet. Den tyngdpunkt som strategin lägger på barnets rätt till inflytande och delaktighet är särskilt positiv då detta är en av barnkonventionens grundprinciper och en viktig förutsättning för förverkligandet av barnets rättigheter i stort. Vidare är det särskilt positivt att strategin lyfter behovet av att bekämpa alla former av våld mot barn, inkluderat alla former av skadliga sedvänjor. Regeringen anser däremot att det ur ett jämställdhetsperspektiv hade varit önskvärt att strategin på ett tydligare sätt hade belyst flickors och pojkars respektive situation. I genomförandet av strategin anser regeringen att det är av stor vikt att upprätthålla medlemsstaternas utrymme att agera utifrån den nationella situationen samt de förutsättningar och behov som råder i staten.</w:t>
            </w:r>
          </w:p>
          <w:p w14:paraId="22EA487B" w14:textId="77777777" w:rsidR="00D62D1C" w:rsidRPr="00D62D1C" w:rsidRDefault="00D62D1C" w:rsidP="00D62D1C">
            <w:pPr>
              <w:tabs>
                <w:tab w:val="left" w:pos="1701"/>
              </w:tabs>
              <w:ind w:left="280" w:right="495"/>
              <w:rPr>
                <w:rStyle w:val="bold"/>
                <w:rFonts w:eastAsia="Calibri"/>
                <w:bCs/>
                <w:sz w:val="22"/>
                <w:szCs w:val="22"/>
                <w:lang w:eastAsia="en-US"/>
              </w:rPr>
            </w:pPr>
          </w:p>
          <w:p w14:paraId="03E15DD0" w14:textId="10EB606B" w:rsidR="00537811" w:rsidRPr="00D62D1C" w:rsidRDefault="00D62D1C" w:rsidP="00D62D1C">
            <w:pPr>
              <w:tabs>
                <w:tab w:val="left" w:pos="1701"/>
              </w:tabs>
              <w:ind w:left="280" w:right="495"/>
              <w:rPr>
                <w:rStyle w:val="bold"/>
                <w:rFonts w:eastAsia="Calibri"/>
                <w:bCs/>
                <w:sz w:val="22"/>
                <w:szCs w:val="22"/>
                <w:lang w:eastAsia="en-US"/>
              </w:rPr>
            </w:pPr>
            <w:r w:rsidRPr="00D62D1C">
              <w:rPr>
                <w:rStyle w:val="bold"/>
                <w:rFonts w:eastAsia="Calibri"/>
                <w:bCs/>
                <w:sz w:val="22"/>
                <w:szCs w:val="22"/>
                <w:lang w:eastAsia="en-US"/>
              </w:rPr>
              <w:t>Regeringen återkommer till riksdagen avseende enskilda initiativ när de har presenterats och analyserats.</w:t>
            </w:r>
          </w:p>
          <w:p w14:paraId="77D8A663" w14:textId="77777777" w:rsidR="00537811" w:rsidRPr="00B66F90" w:rsidRDefault="00537811" w:rsidP="00537811">
            <w:pPr>
              <w:tabs>
                <w:tab w:val="left" w:pos="1701"/>
              </w:tabs>
              <w:ind w:right="495"/>
              <w:rPr>
                <w:rStyle w:val="bold"/>
                <w:rFonts w:eastAsia="Calibri"/>
                <w:bCs/>
                <w:sz w:val="22"/>
                <w:szCs w:val="22"/>
                <w:lang w:eastAsia="en-US"/>
              </w:rPr>
            </w:pPr>
          </w:p>
          <w:p w14:paraId="4D741C26" w14:textId="3B3AAE2E" w:rsidR="00537811" w:rsidRPr="00804B3A" w:rsidRDefault="00537811" w:rsidP="00537811">
            <w:pPr>
              <w:tabs>
                <w:tab w:val="left" w:pos="1701"/>
              </w:tabs>
              <w:ind w:right="495"/>
              <w:rPr>
                <w:rStyle w:val="bold"/>
                <w:rFonts w:eastAsia="Calibri"/>
                <w:bCs/>
                <w:szCs w:val="24"/>
                <w:lang w:eastAsia="en-US"/>
              </w:rPr>
            </w:pPr>
            <w:r w:rsidRPr="00804B3A">
              <w:rPr>
                <w:rStyle w:val="bold"/>
                <w:rFonts w:eastAsia="Calibri"/>
                <w:bCs/>
                <w:szCs w:val="24"/>
                <w:lang w:eastAsia="en-US"/>
              </w:rPr>
              <w:t>Överläggningen motiverade stats</w:t>
            </w:r>
            <w:r w:rsidR="007867E2" w:rsidRPr="00804B3A">
              <w:rPr>
                <w:rStyle w:val="bold"/>
                <w:rFonts w:eastAsia="Calibri"/>
                <w:bCs/>
                <w:szCs w:val="24"/>
                <w:lang w:eastAsia="en-US"/>
              </w:rPr>
              <w:t>rådet</w:t>
            </w:r>
            <w:r w:rsidRPr="00804B3A">
              <w:rPr>
                <w:rStyle w:val="bold"/>
                <w:rFonts w:eastAsia="Calibri"/>
                <w:bCs/>
                <w:szCs w:val="24"/>
                <w:lang w:eastAsia="en-US"/>
              </w:rPr>
              <w:t xml:space="preserve"> att göra följande tillägg till ståndpunkten:</w:t>
            </w:r>
          </w:p>
          <w:p w14:paraId="7A68C521" w14:textId="77777777" w:rsidR="00537811" w:rsidRPr="00804B3A" w:rsidRDefault="00537811" w:rsidP="00537811">
            <w:pPr>
              <w:tabs>
                <w:tab w:val="left" w:pos="1701"/>
              </w:tabs>
              <w:ind w:right="495"/>
              <w:rPr>
                <w:rStyle w:val="bold"/>
                <w:rFonts w:eastAsia="Calibri"/>
                <w:bCs/>
                <w:szCs w:val="24"/>
                <w:lang w:eastAsia="en-US"/>
              </w:rPr>
            </w:pPr>
          </w:p>
          <w:p w14:paraId="205F6F56" w14:textId="04E20706" w:rsidR="00537811" w:rsidRDefault="00537811" w:rsidP="00537811">
            <w:pPr>
              <w:tabs>
                <w:tab w:val="left" w:pos="1701"/>
              </w:tabs>
              <w:ind w:right="495"/>
              <w:rPr>
                <w:rStyle w:val="bold"/>
                <w:rFonts w:eastAsia="Calibri"/>
                <w:bCs/>
                <w:szCs w:val="24"/>
                <w:lang w:eastAsia="en-US"/>
              </w:rPr>
            </w:pPr>
            <w:r w:rsidRPr="00804B3A">
              <w:rPr>
                <w:rStyle w:val="bold"/>
                <w:rFonts w:eastAsia="Calibri"/>
                <w:bCs/>
                <w:szCs w:val="24"/>
                <w:lang w:eastAsia="en-US"/>
              </w:rPr>
              <w:t xml:space="preserve">I </w:t>
            </w:r>
            <w:r w:rsidR="00804B3A">
              <w:rPr>
                <w:rStyle w:val="bold"/>
                <w:rFonts w:eastAsia="Calibri"/>
                <w:bCs/>
                <w:szCs w:val="24"/>
                <w:lang w:eastAsia="en-US"/>
              </w:rPr>
              <w:t>första stycket</w:t>
            </w:r>
            <w:r w:rsidRPr="00804B3A">
              <w:rPr>
                <w:rStyle w:val="bold"/>
                <w:rFonts w:eastAsia="Calibri"/>
                <w:bCs/>
                <w:szCs w:val="24"/>
                <w:lang w:eastAsia="en-US"/>
              </w:rPr>
              <w:t xml:space="preserve"> </w:t>
            </w:r>
            <w:r w:rsidR="00804B3A" w:rsidRPr="00804B3A">
              <w:rPr>
                <w:rStyle w:val="bold"/>
                <w:rFonts w:eastAsia="Calibri"/>
                <w:bCs/>
                <w:szCs w:val="24"/>
                <w:lang w:eastAsia="en-US"/>
              </w:rPr>
              <w:t xml:space="preserve">efter första meningen </w:t>
            </w:r>
            <w:r w:rsidRPr="00804B3A">
              <w:rPr>
                <w:rStyle w:val="bold"/>
                <w:rFonts w:eastAsia="Calibri"/>
                <w:bCs/>
                <w:szCs w:val="24"/>
                <w:lang w:eastAsia="en-US"/>
              </w:rPr>
              <w:t xml:space="preserve">ska följande införas: </w:t>
            </w:r>
          </w:p>
          <w:p w14:paraId="46BC8B22" w14:textId="4A326CD8" w:rsidR="00804B3A" w:rsidRDefault="00804B3A" w:rsidP="00537811">
            <w:pPr>
              <w:tabs>
                <w:tab w:val="left" w:pos="1701"/>
              </w:tabs>
              <w:ind w:right="495"/>
              <w:rPr>
                <w:rStyle w:val="bold"/>
                <w:rFonts w:eastAsia="Calibri"/>
                <w:bCs/>
                <w:szCs w:val="24"/>
                <w:lang w:eastAsia="en-US"/>
              </w:rPr>
            </w:pPr>
          </w:p>
          <w:p w14:paraId="419B9BB0" w14:textId="41A5D254" w:rsidR="00804B3A" w:rsidRPr="00D62D1C" w:rsidRDefault="00804B3A" w:rsidP="00804B3A">
            <w:pPr>
              <w:tabs>
                <w:tab w:val="left" w:pos="1701"/>
              </w:tabs>
              <w:ind w:left="280" w:right="495"/>
              <w:rPr>
                <w:rStyle w:val="bold"/>
                <w:rFonts w:eastAsia="Calibri"/>
                <w:bCs/>
                <w:sz w:val="22"/>
                <w:szCs w:val="22"/>
                <w:lang w:eastAsia="en-US"/>
              </w:rPr>
            </w:pPr>
            <w:r w:rsidRPr="00804B3A">
              <w:rPr>
                <w:rStyle w:val="bold"/>
                <w:rFonts w:eastAsia="Calibri"/>
                <w:bCs/>
                <w:sz w:val="22"/>
                <w:szCs w:val="22"/>
                <w:lang w:eastAsia="en-US"/>
              </w:rPr>
              <w:t>Det är avgörande i det fortsatta arbetet att fördelningen av befogenheter mellan EU och medlemsstaterna respekteras. Alla åtgärder som vidtas på EU-nivå ska medföra ett tydligt mervärde.</w:t>
            </w:r>
          </w:p>
          <w:p w14:paraId="7679E19A" w14:textId="77777777" w:rsidR="00537811" w:rsidRPr="00804B3A" w:rsidRDefault="00537811" w:rsidP="00804B3A">
            <w:pPr>
              <w:tabs>
                <w:tab w:val="left" w:pos="1701"/>
              </w:tabs>
              <w:ind w:right="495"/>
              <w:rPr>
                <w:rStyle w:val="bold"/>
                <w:rFonts w:eastAsia="Calibri"/>
                <w:bCs/>
                <w:sz w:val="22"/>
                <w:szCs w:val="22"/>
                <w:lang w:eastAsia="en-US"/>
              </w:rPr>
            </w:pPr>
          </w:p>
          <w:p w14:paraId="3CD0D066" w14:textId="181BA212" w:rsidR="00537811" w:rsidRPr="00804B3A" w:rsidRDefault="00537811" w:rsidP="00537811">
            <w:pPr>
              <w:tabs>
                <w:tab w:val="left" w:pos="1701"/>
              </w:tabs>
              <w:ind w:right="495"/>
              <w:rPr>
                <w:rStyle w:val="bold"/>
                <w:rFonts w:eastAsia="Calibri"/>
                <w:bCs/>
                <w:szCs w:val="22"/>
                <w:lang w:eastAsia="en-US"/>
              </w:rPr>
            </w:pPr>
            <w:r w:rsidRPr="00804B3A">
              <w:rPr>
                <w:rStyle w:val="bold"/>
                <w:rFonts w:eastAsia="Calibri"/>
                <w:bCs/>
                <w:szCs w:val="22"/>
                <w:lang w:eastAsia="en-US"/>
              </w:rPr>
              <w:t xml:space="preserve">I </w:t>
            </w:r>
            <w:r w:rsidR="00804B3A" w:rsidRPr="00804B3A">
              <w:rPr>
                <w:rStyle w:val="bold"/>
                <w:rFonts w:eastAsia="Calibri"/>
                <w:bCs/>
                <w:szCs w:val="22"/>
                <w:lang w:eastAsia="en-US"/>
              </w:rPr>
              <w:t>sista</w:t>
            </w:r>
            <w:r w:rsidRPr="00804B3A">
              <w:rPr>
                <w:rStyle w:val="bold"/>
                <w:rFonts w:eastAsia="Calibri"/>
                <w:bCs/>
                <w:szCs w:val="22"/>
                <w:lang w:eastAsia="en-US"/>
              </w:rPr>
              <w:t xml:space="preserve"> stycket ska ord</w:t>
            </w:r>
            <w:r w:rsidR="00804B3A" w:rsidRPr="00804B3A">
              <w:rPr>
                <w:rStyle w:val="bold"/>
                <w:rFonts w:eastAsia="Calibri"/>
                <w:bCs/>
                <w:szCs w:val="22"/>
                <w:lang w:eastAsia="en-US"/>
              </w:rPr>
              <w:t>e</w:t>
            </w:r>
            <w:r w:rsidR="0045148A">
              <w:rPr>
                <w:rStyle w:val="bold"/>
                <w:rFonts w:eastAsia="Calibri"/>
                <w:bCs/>
                <w:szCs w:val="22"/>
                <w:lang w:eastAsia="en-US"/>
              </w:rPr>
              <w:t>t</w:t>
            </w:r>
            <w:r w:rsidRPr="00804B3A">
              <w:rPr>
                <w:rStyle w:val="bold"/>
                <w:rFonts w:eastAsia="Calibri"/>
                <w:bCs/>
                <w:szCs w:val="22"/>
                <w:lang w:eastAsia="en-US"/>
              </w:rPr>
              <w:t xml:space="preserve"> ”</w:t>
            </w:r>
            <w:r w:rsidR="00804B3A" w:rsidRPr="00804B3A">
              <w:rPr>
                <w:rStyle w:val="bold"/>
                <w:rFonts w:eastAsia="Calibri"/>
                <w:bCs/>
                <w:szCs w:val="22"/>
                <w:lang w:eastAsia="en-US"/>
              </w:rPr>
              <w:t>riksdagen</w:t>
            </w:r>
            <w:r w:rsidR="0045148A">
              <w:rPr>
                <w:rStyle w:val="bold"/>
                <w:rFonts w:eastAsia="Calibri"/>
                <w:bCs/>
                <w:szCs w:val="22"/>
                <w:lang w:eastAsia="en-US"/>
              </w:rPr>
              <w:t>” ersättas med orden ”riksdagens olika utskott”</w:t>
            </w:r>
            <w:r w:rsidRPr="00804B3A">
              <w:rPr>
                <w:rStyle w:val="bold"/>
                <w:rFonts w:eastAsia="Calibri"/>
                <w:bCs/>
                <w:szCs w:val="22"/>
                <w:lang w:eastAsia="en-US"/>
              </w:rPr>
              <w:t xml:space="preserve">. </w:t>
            </w:r>
          </w:p>
          <w:p w14:paraId="21444935" w14:textId="77777777" w:rsidR="00537811" w:rsidRDefault="00537811" w:rsidP="00537811">
            <w:pPr>
              <w:tabs>
                <w:tab w:val="left" w:pos="1701"/>
              </w:tabs>
              <w:rPr>
                <w:rStyle w:val="bold"/>
                <w:rFonts w:eastAsia="Calibri"/>
                <w:bCs/>
                <w:szCs w:val="24"/>
                <w:lang w:eastAsia="en-US"/>
              </w:rPr>
            </w:pPr>
          </w:p>
          <w:p w14:paraId="53B93F3C" w14:textId="77777777" w:rsidR="00537811" w:rsidRDefault="00537811" w:rsidP="00537811">
            <w:pPr>
              <w:tabs>
                <w:tab w:val="left" w:pos="1701"/>
              </w:tabs>
              <w:rPr>
                <w:rStyle w:val="bold"/>
                <w:rFonts w:eastAsia="Calibri"/>
                <w:bCs/>
                <w:szCs w:val="24"/>
                <w:lang w:eastAsia="en-US"/>
              </w:rPr>
            </w:pPr>
            <w:r w:rsidRPr="00B3519D">
              <w:rPr>
                <w:rStyle w:val="bold"/>
                <w:rFonts w:eastAsia="Calibri"/>
                <w:bCs/>
                <w:szCs w:val="24"/>
                <w:lang w:eastAsia="en-US"/>
              </w:rPr>
              <w:t>Ordföranden konstaterade att det fanns stöd för regeringens ståndpunkt.</w:t>
            </w:r>
          </w:p>
          <w:p w14:paraId="2FA0FF76" w14:textId="77777777" w:rsidR="00537811" w:rsidRPr="00B66F90" w:rsidRDefault="00537811" w:rsidP="00537811">
            <w:pPr>
              <w:tabs>
                <w:tab w:val="left" w:pos="1701"/>
              </w:tabs>
              <w:rPr>
                <w:rStyle w:val="bold"/>
                <w:rFonts w:eastAsia="Calibri"/>
                <w:bCs/>
                <w:szCs w:val="24"/>
                <w:lang w:eastAsia="en-US"/>
              </w:rPr>
            </w:pPr>
          </w:p>
          <w:p w14:paraId="4E750B7D" w14:textId="77777777" w:rsidR="00537811" w:rsidRPr="00B66F90" w:rsidRDefault="00537811" w:rsidP="00537811">
            <w:pPr>
              <w:rPr>
                <w:bCs/>
                <w:szCs w:val="24"/>
              </w:rPr>
            </w:pPr>
            <w:r w:rsidRPr="00B66F90">
              <w:rPr>
                <w:rStyle w:val="bold"/>
                <w:rFonts w:eastAsia="Calibri"/>
                <w:bCs/>
                <w:szCs w:val="24"/>
                <w:lang w:eastAsia="en-US"/>
              </w:rPr>
              <w:t>Denna paragraf förklarades omedelbart justerad.</w:t>
            </w:r>
          </w:p>
          <w:p w14:paraId="165B1708" w14:textId="77777777" w:rsidR="00537811" w:rsidRPr="00D10746" w:rsidRDefault="00537811" w:rsidP="00537811">
            <w:pPr>
              <w:rPr>
                <w:b/>
                <w:bCs/>
                <w:szCs w:val="24"/>
              </w:rPr>
            </w:pPr>
          </w:p>
        </w:tc>
      </w:tr>
      <w:tr w:rsidR="00537811" w:rsidRPr="00D10746" w14:paraId="6181A303" w14:textId="77777777" w:rsidTr="00804B3A">
        <w:tc>
          <w:tcPr>
            <w:tcW w:w="567" w:type="dxa"/>
          </w:tcPr>
          <w:p w14:paraId="5EAF07BD" w14:textId="4690F135" w:rsidR="00537811" w:rsidRPr="00D10746" w:rsidRDefault="00537811" w:rsidP="00537811">
            <w:pPr>
              <w:tabs>
                <w:tab w:val="left" w:pos="1701"/>
              </w:tabs>
              <w:rPr>
                <w:b/>
                <w:snapToGrid w:val="0"/>
                <w:szCs w:val="24"/>
              </w:rPr>
            </w:pPr>
            <w:r w:rsidRPr="00D10746">
              <w:rPr>
                <w:b/>
                <w:snapToGrid w:val="0"/>
                <w:szCs w:val="24"/>
              </w:rPr>
              <w:lastRenderedPageBreak/>
              <w:t xml:space="preserve">§ </w:t>
            </w:r>
            <w:r>
              <w:rPr>
                <w:b/>
                <w:snapToGrid w:val="0"/>
                <w:szCs w:val="24"/>
              </w:rPr>
              <w:t>3</w:t>
            </w:r>
          </w:p>
        </w:tc>
        <w:tc>
          <w:tcPr>
            <w:tcW w:w="7159" w:type="dxa"/>
          </w:tcPr>
          <w:p w14:paraId="5F0F70C3" w14:textId="77777777" w:rsidR="00537811" w:rsidRPr="00D10746" w:rsidRDefault="00537811" w:rsidP="00537811">
            <w:pPr>
              <w:rPr>
                <w:b/>
                <w:bCs/>
                <w:szCs w:val="24"/>
              </w:rPr>
            </w:pPr>
            <w:r w:rsidRPr="00D10746">
              <w:rPr>
                <w:b/>
                <w:bCs/>
                <w:szCs w:val="24"/>
              </w:rPr>
              <w:t>Justering av protokoll</w:t>
            </w:r>
          </w:p>
          <w:p w14:paraId="6E65CBF8" w14:textId="77777777" w:rsidR="00537811" w:rsidRPr="00D10746" w:rsidRDefault="00537811" w:rsidP="00537811">
            <w:pPr>
              <w:rPr>
                <w:b/>
                <w:bCs/>
                <w:szCs w:val="24"/>
              </w:rPr>
            </w:pPr>
          </w:p>
          <w:p w14:paraId="524ECED8" w14:textId="3087D7E8" w:rsidR="00537811" w:rsidRPr="00D10746" w:rsidRDefault="00537811" w:rsidP="00537811">
            <w:pPr>
              <w:rPr>
                <w:bCs/>
                <w:szCs w:val="24"/>
              </w:rPr>
            </w:pPr>
            <w:r w:rsidRPr="00D10746">
              <w:rPr>
                <w:bCs/>
                <w:szCs w:val="24"/>
              </w:rPr>
              <w:t>Utskottet justerade protokoll 2020/21:5</w:t>
            </w:r>
            <w:r>
              <w:rPr>
                <w:bCs/>
                <w:szCs w:val="24"/>
              </w:rPr>
              <w:t>8</w:t>
            </w:r>
            <w:r w:rsidRPr="00D10746">
              <w:rPr>
                <w:bCs/>
                <w:szCs w:val="24"/>
              </w:rPr>
              <w:t>.</w:t>
            </w:r>
          </w:p>
          <w:p w14:paraId="7BC8CD87" w14:textId="1886464E" w:rsidR="00537811" w:rsidRPr="00D10746" w:rsidRDefault="00537811" w:rsidP="00537811">
            <w:pPr>
              <w:rPr>
                <w:b/>
                <w:bCs/>
                <w:szCs w:val="24"/>
              </w:rPr>
            </w:pPr>
          </w:p>
        </w:tc>
      </w:tr>
      <w:tr w:rsidR="00537811" w:rsidRPr="00D10746" w14:paraId="0BFFFCCF" w14:textId="77777777" w:rsidTr="00804B3A">
        <w:tc>
          <w:tcPr>
            <w:tcW w:w="567" w:type="dxa"/>
          </w:tcPr>
          <w:p w14:paraId="6A1B3086" w14:textId="183210AD" w:rsidR="00537811" w:rsidRPr="00D10746" w:rsidRDefault="00537811" w:rsidP="00537811">
            <w:pPr>
              <w:tabs>
                <w:tab w:val="left" w:pos="1701"/>
              </w:tabs>
              <w:rPr>
                <w:b/>
                <w:snapToGrid w:val="0"/>
                <w:szCs w:val="24"/>
              </w:rPr>
            </w:pPr>
            <w:r w:rsidRPr="00D10746">
              <w:rPr>
                <w:b/>
                <w:snapToGrid w:val="0"/>
                <w:szCs w:val="24"/>
              </w:rPr>
              <w:t xml:space="preserve">§ </w:t>
            </w:r>
            <w:r>
              <w:rPr>
                <w:b/>
                <w:snapToGrid w:val="0"/>
                <w:szCs w:val="24"/>
              </w:rPr>
              <w:t>4</w:t>
            </w:r>
          </w:p>
        </w:tc>
        <w:tc>
          <w:tcPr>
            <w:tcW w:w="7159" w:type="dxa"/>
          </w:tcPr>
          <w:p w14:paraId="70C79E8F" w14:textId="77777777" w:rsidR="00537811" w:rsidRDefault="00537811" w:rsidP="00537811">
            <w:pPr>
              <w:widowControl/>
              <w:autoSpaceDE w:val="0"/>
              <w:autoSpaceDN w:val="0"/>
              <w:adjustRightInd w:val="0"/>
              <w:textAlignment w:val="center"/>
              <w:rPr>
                <w:b/>
                <w:bCs/>
                <w:szCs w:val="24"/>
              </w:rPr>
            </w:pPr>
            <w:r w:rsidRPr="008C3207">
              <w:rPr>
                <w:b/>
                <w:bCs/>
                <w:szCs w:val="24"/>
              </w:rPr>
              <w:t>Hälso- och sjukvårdens organisation m.m. (SoU16)</w:t>
            </w:r>
          </w:p>
          <w:p w14:paraId="351AB761" w14:textId="77777777" w:rsidR="00537811" w:rsidRPr="00CC5FCD" w:rsidRDefault="00537811" w:rsidP="00537811">
            <w:pPr>
              <w:widowControl/>
              <w:autoSpaceDE w:val="0"/>
              <w:autoSpaceDN w:val="0"/>
              <w:adjustRightInd w:val="0"/>
              <w:textAlignment w:val="center"/>
              <w:rPr>
                <w:bCs/>
                <w:szCs w:val="24"/>
              </w:rPr>
            </w:pPr>
          </w:p>
          <w:p w14:paraId="5CF9DF93" w14:textId="77777777" w:rsidR="00537811" w:rsidRPr="008C3207" w:rsidRDefault="00537811" w:rsidP="00537811">
            <w:pPr>
              <w:widowControl/>
              <w:autoSpaceDE w:val="0"/>
              <w:autoSpaceDN w:val="0"/>
              <w:adjustRightInd w:val="0"/>
              <w:textAlignment w:val="center"/>
              <w:rPr>
                <w:bCs/>
                <w:color w:val="000000"/>
                <w:szCs w:val="24"/>
              </w:rPr>
            </w:pPr>
            <w:r w:rsidRPr="008C3207">
              <w:rPr>
                <w:bCs/>
                <w:szCs w:val="24"/>
              </w:rPr>
              <w:t>Utskottet fortsatte behandlingen av motioner</w:t>
            </w:r>
            <w:r w:rsidRPr="008C3207">
              <w:rPr>
                <w:bCs/>
                <w:color w:val="000000"/>
                <w:szCs w:val="24"/>
              </w:rPr>
              <w:t xml:space="preserve"> om </w:t>
            </w:r>
            <w:r w:rsidRPr="008C3207">
              <w:rPr>
                <w:bCs/>
                <w:szCs w:val="24"/>
              </w:rPr>
              <w:t>hälso- och sjukvårdens organisation</w:t>
            </w:r>
            <w:r w:rsidRPr="008C3207">
              <w:rPr>
                <w:bCs/>
                <w:color w:val="000000"/>
                <w:szCs w:val="24"/>
              </w:rPr>
              <w:t xml:space="preserve"> m.m. </w:t>
            </w:r>
          </w:p>
          <w:p w14:paraId="7902F459" w14:textId="77777777" w:rsidR="00537811" w:rsidRDefault="00537811" w:rsidP="00537811">
            <w:pPr>
              <w:widowControl/>
              <w:autoSpaceDE w:val="0"/>
              <w:autoSpaceDN w:val="0"/>
              <w:adjustRightInd w:val="0"/>
              <w:textAlignment w:val="center"/>
              <w:rPr>
                <w:bCs/>
                <w:szCs w:val="24"/>
              </w:rPr>
            </w:pPr>
          </w:p>
          <w:p w14:paraId="0164F465" w14:textId="4C5E1B5B" w:rsidR="00537811" w:rsidRPr="00CA037C" w:rsidRDefault="00537811" w:rsidP="00537811">
            <w:r w:rsidRPr="00CC5FCD">
              <w:t>Utskottet justerade betänkande 2020/</w:t>
            </w:r>
            <w:proofErr w:type="gramStart"/>
            <w:r w:rsidRPr="00CC5FCD">
              <w:t>21:SoU</w:t>
            </w:r>
            <w:proofErr w:type="gramEnd"/>
            <w:r>
              <w:t>16</w:t>
            </w:r>
            <w:r w:rsidRPr="00CC5FCD">
              <w:t>.</w:t>
            </w:r>
          </w:p>
          <w:p w14:paraId="398E0C9C" w14:textId="19867E3D" w:rsidR="00537811" w:rsidRDefault="00537811" w:rsidP="00537811">
            <w:pPr>
              <w:widowControl/>
              <w:autoSpaceDE w:val="0"/>
              <w:autoSpaceDN w:val="0"/>
              <w:adjustRightInd w:val="0"/>
              <w:textAlignment w:val="center"/>
              <w:rPr>
                <w:bCs/>
                <w:szCs w:val="24"/>
              </w:rPr>
            </w:pPr>
          </w:p>
          <w:p w14:paraId="302163D7" w14:textId="772552BE" w:rsidR="00537811" w:rsidRPr="0045148A" w:rsidRDefault="005B59E9" w:rsidP="005B59E9">
            <w:pPr>
              <w:widowControl/>
              <w:autoSpaceDE w:val="0"/>
              <w:autoSpaceDN w:val="0"/>
              <w:adjustRightInd w:val="0"/>
              <w:textAlignment w:val="center"/>
              <w:rPr>
                <w:bCs/>
                <w:szCs w:val="24"/>
              </w:rPr>
            </w:pPr>
            <w:r w:rsidRPr="00804B3A">
              <w:t>S-, M-, SD-, C-, V-, KD-, L</w:t>
            </w:r>
            <w:r w:rsidR="00537811" w:rsidRPr="00804B3A">
              <w:rPr>
                <w:bCs/>
                <w:szCs w:val="24"/>
              </w:rPr>
              <w:t xml:space="preserve">- och </w:t>
            </w:r>
            <w:r w:rsidRPr="00804B3A">
              <w:rPr>
                <w:bCs/>
                <w:szCs w:val="24"/>
              </w:rPr>
              <w:t>MP</w:t>
            </w:r>
            <w:r w:rsidR="00537811" w:rsidRPr="00804B3A">
              <w:rPr>
                <w:bCs/>
                <w:szCs w:val="24"/>
              </w:rPr>
              <w:t>-ledamöterna anmälde reservationer.</w:t>
            </w:r>
          </w:p>
        </w:tc>
      </w:tr>
      <w:tr w:rsidR="00537811" w:rsidRPr="00D10746" w14:paraId="4ECDEAAD" w14:textId="77777777" w:rsidTr="00804B3A">
        <w:tc>
          <w:tcPr>
            <w:tcW w:w="567" w:type="dxa"/>
          </w:tcPr>
          <w:p w14:paraId="3C27FFC6" w14:textId="23C3221A" w:rsidR="00537811" w:rsidRPr="00D10746" w:rsidRDefault="00537811" w:rsidP="00537811">
            <w:pPr>
              <w:tabs>
                <w:tab w:val="left" w:pos="1701"/>
              </w:tabs>
              <w:rPr>
                <w:b/>
                <w:snapToGrid w:val="0"/>
                <w:szCs w:val="24"/>
              </w:rPr>
            </w:pPr>
            <w:r>
              <w:rPr>
                <w:b/>
                <w:snapToGrid w:val="0"/>
                <w:szCs w:val="24"/>
              </w:rPr>
              <w:lastRenderedPageBreak/>
              <w:t>§ 5</w:t>
            </w:r>
          </w:p>
        </w:tc>
        <w:tc>
          <w:tcPr>
            <w:tcW w:w="7159" w:type="dxa"/>
          </w:tcPr>
          <w:p w14:paraId="56DC101D" w14:textId="77777777" w:rsidR="007867E2" w:rsidRDefault="007867E2" w:rsidP="007867E2">
            <w:pPr>
              <w:widowControl/>
              <w:autoSpaceDE w:val="0"/>
              <w:autoSpaceDN w:val="0"/>
              <w:adjustRightInd w:val="0"/>
              <w:textAlignment w:val="center"/>
              <w:rPr>
                <w:b/>
                <w:bCs/>
                <w:color w:val="000000"/>
                <w:szCs w:val="24"/>
              </w:rPr>
            </w:pPr>
            <w:r>
              <w:rPr>
                <w:b/>
                <w:bCs/>
                <w:color w:val="000000"/>
                <w:szCs w:val="24"/>
              </w:rPr>
              <w:t>Inkomna EU-dokument</w:t>
            </w:r>
          </w:p>
          <w:p w14:paraId="53631E8C" w14:textId="77777777" w:rsidR="007867E2" w:rsidRPr="00D10746" w:rsidRDefault="007867E2" w:rsidP="007867E2">
            <w:pPr>
              <w:widowControl/>
              <w:autoSpaceDE w:val="0"/>
              <w:autoSpaceDN w:val="0"/>
              <w:adjustRightInd w:val="0"/>
              <w:textAlignment w:val="center"/>
              <w:rPr>
                <w:bCs/>
                <w:szCs w:val="24"/>
              </w:rPr>
            </w:pPr>
          </w:p>
          <w:p w14:paraId="1C97BDEC" w14:textId="42986DBD" w:rsidR="007867E2" w:rsidRPr="00E92826" w:rsidRDefault="007867E2" w:rsidP="007867E2">
            <w:pPr>
              <w:tabs>
                <w:tab w:val="left" w:pos="1701"/>
              </w:tabs>
              <w:rPr>
                <w:bCs/>
                <w:szCs w:val="24"/>
              </w:rPr>
            </w:pPr>
            <w:r w:rsidRPr="005B59E9">
              <w:rPr>
                <w:bCs/>
                <w:szCs w:val="24"/>
              </w:rPr>
              <w:t>Inkomna EU-dokument för 2</w:t>
            </w:r>
            <w:r w:rsidR="005B59E9" w:rsidRPr="005B59E9">
              <w:rPr>
                <w:bCs/>
                <w:szCs w:val="24"/>
              </w:rPr>
              <w:t>2</w:t>
            </w:r>
            <w:r w:rsidRPr="005B59E9">
              <w:rPr>
                <w:bCs/>
                <w:szCs w:val="24"/>
              </w:rPr>
              <w:t xml:space="preserve"> april – 18 maj 2021 anmäldes</w:t>
            </w:r>
            <w:r w:rsidRPr="00E92826">
              <w:rPr>
                <w:bCs/>
                <w:szCs w:val="24"/>
              </w:rPr>
              <w:t>.</w:t>
            </w:r>
          </w:p>
          <w:p w14:paraId="658C34AE" w14:textId="66F62FFA" w:rsidR="00537811" w:rsidRPr="00D10746" w:rsidRDefault="00537811" w:rsidP="00537811">
            <w:pPr>
              <w:widowControl/>
              <w:autoSpaceDE w:val="0"/>
              <w:autoSpaceDN w:val="0"/>
              <w:adjustRightInd w:val="0"/>
              <w:textAlignment w:val="center"/>
              <w:rPr>
                <w:bCs/>
                <w:szCs w:val="24"/>
              </w:rPr>
            </w:pPr>
          </w:p>
        </w:tc>
      </w:tr>
      <w:tr w:rsidR="00537811" w:rsidRPr="00D10746" w14:paraId="4143A621" w14:textId="77777777" w:rsidTr="00804B3A">
        <w:tc>
          <w:tcPr>
            <w:tcW w:w="567" w:type="dxa"/>
          </w:tcPr>
          <w:p w14:paraId="4AE4ABD2" w14:textId="59A9B063" w:rsidR="00537811" w:rsidRPr="001625AC" w:rsidRDefault="00537811" w:rsidP="00537811">
            <w:pPr>
              <w:tabs>
                <w:tab w:val="left" w:pos="1701"/>
              </w:tabs>
              <w:rPr>
                <w:b/>
                <w:snapToGrid w:val="0"/>
                <w:szCs w:val="24"/>
              </w:rPr>
            </w:pPr>
            <w:r w:rsidRPr="001625AC">
              <w:rPr>
                <w:b/>
                <w:snapToGrid w:val="0"/>
                <w:szCs w:val="24"/>
              </w:rPr>
              <w:t xml:space="preserve">§ </w:t>
            </w:r>
            <w:r>
              <w:rPr>
                <w:b/>
                <w:snapToGrid w:val="0"/>
                <w:szCs w:val="24"/>
              </w:rPr>
              <w:t>6</w:t>
            </w:r>
          </w:p>
        </w:tc>
        <w:tc>
          <w:tcPr>
            <w:tcW w:w="7159" w:type="dxa"/>
          </w:tcPr>
          <w:p w14:paraId="6E52FE53" w14:textId="77777777" w:rsidR="00537811" w:rsidRPr="001625AC" w:rsidRDefault="00537811" w:rsidP="00537811">
            <w:pPr>
              <w:tabs>
                <w:tab w:val="left" w:pos="1701"/>
              </w:tabs>
              <w:rPr>
                <w:rFonts w:eastAsia="Calibri"/>
                <w:b/>
                <w:bCs/>
                <w:szCs w:val="24"/>
                <w:lang w:eastAsia="en-US"/>
              </w:rPr>
            </w:pPr>
            <w:r w:rsidRPr="001625AC">
              <w:rPr>
                <w:rFonts w:eastAsia="Calibri"/>
                <w:b/>
                <w:bCs/>
                <w:szCs w:val="24"/>
                <w:lang w:eastAsia="en-US"/>
              </w:rPr>
              <w:t>Kanslimeddelanden</w:t>
            </w:r>
          </w:p>
          <w:p w14:paraId="00F39C95" w14:textId="77777777" w:rsidR="00537811" w:rsidRPr="001625AC" w:rsidRDefault="00537811" w:rsidP="00537811">
            <w:pPr>
              <w:rPr>
                <w:szCs w:val="24"/>
              </w:rPr>
            </w:pPr>
          </w:p>
          <w:p w14:paraId="0E01545A" w14:textId="77777777" w:rsidR="00537811" w:rsidRPr="001625AC" w:rsidRDefault="00537811" w:rsidP="00537811">
            <w:pPr>
              <w:rPr>
                <w:bCs/>
                <w:szCs w:val="24"/>
              </w:rPr>
            </w:pPr>
            <w:r w:rsidRPr="001625AC">
              <w:rPr>
                <w:bCs/>
                <w:szCs w:val="24"/>
              </w:rPr>
              <w:t>Kanslichefen informerade kort om arbetsplanen.</w:t>
            </w:r>
          </w:p>
          <w:p w14:paraId="41A064B1" w14:textId="341468B2" w:rsidR="00537811" w:rsidRPr="001625AC" w:rsidRDefault="00537811" w:rsidP="00537811">
            <w:pPr>
              <w:rPr>
                <w:b/>
                <w:bCs/>
                <w:szCs w:val="24"/>
              </w:rPr>
            </w:pPr>
          </w:p>
        </w:tc>
      </w:tr>
      <w:tr w:rsidR="00537811" w:rsidRPr="00D10746" w14:paraId="2FA30830" w14:textId="77777777" w:rsidTr="00804B3A">
        <w:tc>
          <w:tcPr>
            <w:tcW w:w="567" w:type="dxa"/>
          </w:tcPr>
          <w:p w14:paraId="5981D044" w14:textId="1B50A3AE" w:rsidR="00537811" w:rsidRPr="001625AC" w:rsidRDefault="00537811" w:rsidP="00537811">
            <w:pPr>
              <w:tabs>
                <w:tab w:val="left" w:pos="1701"/>
              </w:tabs>
              <w:rPr>
                <w:b/>
                <w:snapToGrid w:val="0"/>
                <w:szCs w:val="24"/>
              </w:rPr>
            </w:pPr>
            <w:r w:rsidRPr="001625AC">
              <w:rPr>
                <w:b/>
                <w:snapToGrid w:val="0"/>
                <w:szCs w:val="24"/>
              </w:rPr>
              <w:t xml:space="preserve">§ </w:t>
            </w:r>
            <w:r>
              <w:rPr>
                <w:b/>
                <w:snapToGrid w:val="0"/>
                <w:szCs w:val="24"/>
              </w:rPr>
              <w:t>7</w:t>
            </w:r>
          </w:p>
        </w:tc>
        <w:tc>
          <w:tcPr>
            <w:tcW w:w="7159" w:type="dxa"/>
          </w:tcPr>
          <w:p w14:paraId="3A4088D8" w14:textId="77777777" w:rsidR="00537811" w:rsidRPr="001625AC" w:rsidRDefault="00537811" w:rsidP="00537811">
            <w:pPr>
              <w:tabs>
                <w:tab w:val="left" w:pos="1701"/>
              </w:tabs>
              <w:rPr>
                <w:rFonts w:eastAsia="Calibri"/>
                <w:b/>
                <w:bCs/>
                <w:szCs w:val="24"/>
                <w:lang w:eastAsia="en-US"/>
              </w:rPr>
            </w:pPr>
            <w:r w:rsidRPr="001625AC">
              <w:rPr>
                <w:rFonts w:eastAsia="Calibri"/>
                <w:b/>
                <w:bCs/>
                <w:szCs w:val="24"/>
                <w:lang w:eastAsia="en-US"/>
              </w:rPr>
              <w:t>Inkomna skrivelser</w:t>
            </w:r>
          </w:p>
          <w:p w14:paraId="0A0B46D3" w14:textId="77777777" w:rsidR="00537811" w:rsidRPr="001625AC" w:rsidRDefault="00537811" w:rsidP="00537811">
            <w:pPr>
              <w:tabs>
                <w:tab w:val="left" w:pos="1701"/>
              </w:tabs>
              <w:rPr>
                <w:rFonts w:eastAsia="Calibri"/>
                <w:b/>
                <w:bCs/>
                <w:szCs w:val="24"/>
                <w:lang w:eastAsia="en-US"/>
              </w:rPr>
            </w:pPr>
          </w:p>
          <w:p w14:paraId="1B165A4E" w14:textId="30C6E622" w:rsidR="00537811" w:rsidRPr="001625AC" w:rsidRDefault="00537811" w:rsidP="00537811">
            <w:pPr>
              <w:tabs>
                <w:tab w:val="left" w:pos="1701"/>
              </w:tabs>
              <w:rPr>
                <w:szCs w:val="24"/>
              </w:rPr>
            </w:pPr>
            <w:r w:rsidRPr="001625AC">
              <w:rPr>
                <w:szCs w:val="24"/>
              </w:rPr>
              <w:t>Inkomna skrivelser enligt bilaga 2 anmäldes.</w:t>
            </w:r>
          </w:p>
          <w:p w14:paraId="641FB657" w14:textId="32447738" w:rsidR="00537811" w:rsidRPr="001625AC" w:rsidRDefault="00537811" w:rsidP="00537811">
            <w:pPr>
              <w:tabs>
                <w:tab w:val="left" w:pos="1701"/>
              </w:tabs>
              <w:rPr>
                <w:rFonts w:eastAsia="Calibri"/>
                <w:b/>
                <w:bCs/>
                <w:szCs w:val="24"/>
                <w:lang w:eastAsia="en-US"/>
              </w:rPr>
            </w:pPr>
          </w:p>
        </w:tc>
      </w:tr>
      <w:tr w:rsidR="00537811" w:rsidRPr="00D10746" w14:paraId="6CB8ED2A" w14:textId="77777777" w:rsidTr="00804B3A">
        <w:tc>
          <w:tcPr>
            <w:tcW w:w="567" w:type="dxa"/>
          </w:tcPr>
          <w:p w14:paraId="058E59D4" w14:textId="4A4BDF66" w:rsidR="00537811" w:rsidRPr="00D10746" w:rsidRDefault="00537811" w:rsidP="00537811">
            <w:pPr>
              <w:tabs>
                <w:tab w:val="left" w:pos="1701"/>
              </w:tabs>
              <w:rPr>
                <w:b/>
                <w:snapToGrid w:val="0"/>
                <w:szCs w:val="24"/>
              </w:rPr>
            </w:pPr>
            <w:r>
              <w:rPr>
                <w:b/>
                <w:snapToGrid w:val="0"/>
                <w:szCs w:val="24"/>
              </w:rPr>
              <w:t>§ 8</w:t>
            </w:r>
          </w:p>
        </w:tc>
        <w:tc>
          <w:tcPr>
            <w:tcW w:w="7159" w:type="dxa"/>
          </w:tcPr>
          <w:p w14:paraId="7B9884E4" w14:textId="77777777" w:rsidR="00537811" w:rsidRDefault="00537811" w:rsidP="00537811">
            <w:pPr>
              <w:tabs>
                <w:tab w:val="left" w:pos="1701"/>
              </w:tabs>
              <w:rPr>
                <w:rFonts w:eastAsia="Calibri"/>
                <w:b/>
                <w:bCs/>
                <w:szCs w:val="24"/>
                <w:lang w:eastAsia="en-US"/>
              </w:rPr>
            </w:pPr>
            <w:r>
              <w:rPr>
                <w:rFonts w:eastAsia="Calibri"/>
                <w:b/>
                <w:bCs/>
                <w:szCs w:val="24"/>
                <w:lang w:eastAsia="en-US"/>
              </w:rPr>
              <w:t>Övriga frågor</w:t>
            </w:r>
          </w:p>
          <w:p w14:paraId="23988D7C" w14:textId="77777777" w:rsidR="00537811" w:rsidRPr="00804B3A" w:rsidRDefault="00537811" w:rsidP="00537811">
            <w:pPr>
              <w:tabs>
                <w:tab w:val="left" w:pos="1701"/>
              </w:tabs>
              <w:rPr>
                <w:rFonts w:eastAsia="Calibri"/>
                <w:bCs/>
                <w:szCs w:val="24"/>
                <w:lang w:eastAsia="en-US"/>
              </w:rPr>
            </w:pPr>
          </w:p>
          <w:p w14:paraId="781339B0" w14:textId="7728147F" w:rsidR="00AC4909" w:rsidRPr="00804B3A" w:rsidRDefault="00AC4909" w:rsidP="002B0FAA">
            <w:pPr>
              <w:pStyle w:val="Liststycke"/>
              <w:numPr>
                <w:ilvl w:val="0"/>
                <w:numId w:val="40"/>
              </w:numPr>
              <w:tabs>
                <w:tab w:val="left" w:pos="1701"/>
              </w:tabs>
              <w:rPr>
                <w:rFonts w:eastAsia="Calibri"/>
                <w:bCs/>
                <w:szCs w:val="24"/>
                <w:lang w:eastAsia="en-US"/>
              </w:rPr>
            </w:pPr>
            <w:r w:rsidRPr="00804B3A">
              <w:rPr>
                <w:rFonts w:eastAsia="Calibri"/>
                <w:bCs/>
                <w:szCs w:val="24"/>
                <w:lang w:eastAsia="en-US"/>
              </w:rPr>
              <w:t>Utskottet beslutade att ge kulturutskottet ytterligare förlängd tid till den 27 maj 2021 att senast yttra sig över proposition 2020/21:132 och följdmotioner i de delar som berör kulturutskottets beredningsområde.</w:t>
            </w:r>
          </w:p>
          <w:p w14:paraId="14991BE3" w14:textId="77777777" w:rsidR="00AC4909" w:rsidRPr="00804B3A" w:rsidRDefault="00AC4909" w:rsidP="00AC4909">
            <w:pPr>
              <w:tabs>
                <w:tab w:val="left" w:pos="1701"/>
              </w:tabs>
              <w:rPr>
                <w:rFonts w:eastAsia="Calibri"/>
                <w:bCs/>
                <w:szCs w:val="24"/>
                <w:lang w:eastAsia="en-US"/>
              </w:rPr>
            </w:pPr>
          </w:p>
          <w:p w14:paraId="197B545F" w14:textId="2C8DAE95" w:rsidR="00537811" w:rsidRPr="00804B3A" w:rsidRDefault="00AC4909" w:rsidP="002B0FAA">
            <w:pPr>
              <w:pStyle w:val="Liststycke"/>
              <w:tabs>
                <w:tab w:val="left" w:pos="1701"/>
              </w:tabs>
              <w:rPr>
                <w:rFonts w:eastAsia="Calibri"/>
                <w:bCs/>
                <w:szCs w:val="24"/>
                <w:lang w:eastAsia="en-US"/>
              </w:rPr>
            </w:pPr>
            <w:r w:rsidRPr="00804B3A">
              <w:rPr>
                <w:rFonts w:eastAsia="Calibri"/>
                <w:bCs/>
                <w:szCs w:val="24"/>
                <w:lang w:eastAsia="en-US"/>
              </w:rPr>
              <w:t>Denna punkt förklarades omedelbart justerad.</w:t>
            </w:r>
          </w:p>
          <w:p w14:paraId="526F5DC0" w14:textId="156C5D81" w:rsidR="002B0FAA" w:rsidRPr="00804B3A" w:rsidRDefault="002B0FAA" w:rsidP="00AC4909">
            <w:pPr>
              <w:tabs>
                <w:tab w:val="left" w:pos="1701"/>
              </w:tabs>
              <w:rPr>
                <w:rFonts w:eastAsia="Calibri"/>
                <w:bCs/>
                <w:szCs w:val="24"/>
                <w:lang w:eastAsia="en-US"/>
              </w:rPr>
            </w:pPr>
          </w:p>
          <w:p w14:paraId="6B6EF1F6" w14:textId="4A9E6D11" w:rsidR="002B0FAA" w:rsidRPr="00804B3A" w:rsidRDefault="002B0FAA" w:rsidP="002B0FAA">
            <w:pPr>
              <w:pStyle w:val="Liststycke"/>
              <w:numPr>
                <w:ilvl w:val="0"/>
                <w:numId w:val="40"/>
              </w:numPr>
              <w:tabs>
                <w:tab w:val="left" w:pos="1701"/>
              </w:tabs>
            </w:pPr>
            <w:r w:rsidRPr="00804B3A">
              <w:t xml:space="preserve">V-ledamoten föreslog att utskottet skulle ta ett initiativ om mäns våld mot kvinnor, se bilaga 3. </w:t>
            </w:r>
          </w:p>
          <w:p w14:paraId="603E6BF5" w14:textId="77777777" w:rsidR="002B0FAA" w:rsidRPr="00804B3A" w:rsidRDefault="002B0FAA" w:rsidP="002B0FAA">
            <w:pPr>
              <w:tabs>
                <w:tab w:val="left" w:pos="1701"/>
              </w:tabs>
            </w:pPr>
          </w:p>
          <w:p w14:paraId="73024133" w14:textId="15C92288" w:rsidR="002B0FAA" w:rsidRPr="00804B3A" w:rsidRDefault="002B0FAA" w:rsidP="002B0FAA">
            <w:pPr>
              <w:pStyle w:val="Liststycke"/>
              <w:tabs>
                <w:tab w:val="left" w:pos="1701"/>
              </w:tabs>
            </w:pPr>
            <w:r w:rsidRPr="00804B3A">
              <w:t xml:space="preserve">Frågan bordlades. </w:t>
            </w:r>
          </w:p>
          <w:p w14:paraId="4118BA89" w14:textId="060F7154" w:rsidR="00537811" w:rsidRPr="00553849" w:rsidRDefault="00537811" w:rsidP="00537811">
            <w:pPr>
              <w:tabs>
                <w:tab w:val="left" w:pos="1701"/>
              </w:tabs>
              <w:rPr>
                <w:rFonts w:eastAsia="Calibri"/>
                <w:b/>
                <w:bCs/>
                <w:szCs w:val="24"/>
                <w:lang w:eastAsia="en-US"/>
              </w:rPr>
            </w:pPr>
          </w:p>
        </w:tc>
      </w:tr>
      <w:tr w:rsidR="00537811" w:rsidRPr="00D10746" w14:paraId="1C755367" w14:textId="77777777" w:rsidTr="00804B3A">
        <w:tc>
          <w:tcPr>
            <w:tcW w:w="567" w:type="dxa"/>
          </w:tcPr>
          <w:p w14:paraId="534497D5" w14:textId="0C47313C" w:rsidR="00537811" w:rsidRPr="00CC5FCD" w:rsidRDefault="00537811" w:rsidP="00537811">
            <w:pPr>
              <w:tabs>
                <w:tab w:val="left" w:pos="1701"/>
              </w:tabs>
              <w:rPr>
                <w:b/>
                <w:snapToGrid w:val="0"/>
                <w:szCs w:val="24"/>
              </w:rPr>
            </w:pPr>
            <w:r w:rsidRPr="00CC5FCD">
              <w:rPr>
                <w:b/>
                <w:snapToGrid w:val="0"/>
                <w:szCs w:val="24"/>
              </w:rPr>
              <w:t xml:space="preserve">§ </w:t>
            </w:r>
            <w:r>
              <w:rPr>
                <w:b/>
                <w:snapToGrid w:val="0"/>
                <w:szCs w:val="24"/>
              </w:rPr>
              <w:t>9</w:t>
            </w:r>
          </w:p>
        </w:tc>
        <w:tc>
          <w:tcPr>
            <w:tcW w:w="7159" w:type="dxa"/>
          </w:tcPr>
          <w:p w14:paraId="0981A518" w14:textId="77777777" w:rsidR="00537811" w:rsidRPr="00CC5FCD" w:rsidRDefault="00537811" w:rsidP="00537811">
            <w:pPr>
              <w:widowControl/>
              <w:autoSpaceDE w:val="0"/>
              <w:autoSpaceDN w:val="0"/>
              <w:adjustRightInd w:val="0"/>
              <w:rPr>
                <w:b/>
                <w:snapToGrid w:val="0"/>
              </w:rPr>
            </w:pPr>
            <w:r w:rsidRPr="00CC5FCD">
              <w:rPr>
                <w:b/>
                <w:snapToGrid w:val="0"/>
              </w:rPr>
              <w:t>Nästa sammanträde</w:t>
            </w:r>
          </w:p>
          <w:p w14:paraId="4DA72D9C" w14:textId="77777777" w:rsidR="00537811" w:rsidRPr="00CC5FCD" w:rsidRDefault="00537811" w:rsidP="00537811">
            <w:pPr>
              <w:widowControl/>
              <w:autoSpaceDE w:val="0"/>
              <w:autoSpaceDN w:val="0"/>
              <w:adjustRightInd w:val="0"/>
              <w:rPr>
                <w:b/>
                <w:snapToGrid w:val="0"/>
              </w:rPr>
            </w:pPr>
          </w:p>
          <w:p w14:paraId="6ECD6BB0" w14:textId="49FCD743" w:rsidR="00537811" w:rsidRPr="00CC5FCD" w:rsidRDefault="00537811" w:rsidP="00537811">
            <w:pPr>
              <w:rPr>
                <w:szCs w:val="24"/>
              </w:rPr>
            </w:pPr>
            <w:r w:rsidRPr="00CC5FCD">
              <w:rPr>
                <w:snapToGrid w:val="0"/>
                <w:szCs w:val="24"/>
              </w:rPr>
              <w:t xml:space="preserve">Utskottet beslutade att nästa sammanträde ska äga rum </w:t>
            </w:r>
            <w:r>
              <w:rPr>
                <w:szCs w:val="24"/>
              </w:rPr>
              <w:t>ti</w:t>
            </w:r>
            <w:r w:rsidRPr="00CC5FCD">
              <w:rPr>
                <w:szCs w:val="24"/>
              </w:rPr>
              <w:t xml:space="preserve">sdag den </w:t>
            </w:r>
          </w:p>
          <w:p w14:paraId="6822FB6F" w14:textId="74561685" w:rsidR="00537811" w:rsidRPr="00CC5FCD" w:rsidRDefault="00537811" w:rsidP="00537811">
            <w:pPr>
              <w:rPr>
                <w:snapToGrid w:val="0"/>
                <w:szCs w:val="24"/>
              </w:rPr>
            </w:pPr>
            <w:r>
              <w:rPr>
                <w:szCs w:val="24"/>
              </w:rPr>
              <w:t>25 maj</w:t>
            </w:r>
            <w:r w:rsidRPr="00CC5FCD">
              <w:rPr>
                <w:szCs w:val="24"/>
              </w:rPr>
              <w:t xml:space="preserve"> 2021 kl. </w:t>
            </w:r>
            <w:r>
              <w:rPr>
                <w:szCs w:val="24"/>
              </w:rPr>
              <w:t>11</w:t>
            </w:r>
            <w:r w:rsidRPr="00CC5FCD">
              <w:rPr>
                <w:szCs w:val="24"/>
              </w:rPr>
              <w:t>.00</w:t>
            </w:r>
            <w:r w:rsidRPr="00CC5FCD">
              <w:rPr>
                <w:snapToGrid w:val="0"/>
                <w:szCs w:val="24"/>
              </w:rPr>
              <w:t>.</w:t>
            </w:r>
          </w:p>
          <w:p w14:paraId="4F6979E0" w14:textId="77777777" w:rsidR="00537811" w:rsidRPr="00CC5FCD" w:rsidRDefault="00537811" w:rsidP="00537811">
            <w:pPr>
              <w:rPr>
                <w:rFonts w:eastAsia="Calibri"/>
                <w:b/>
                <w:bCs/>
                <w:szCs w:val="24"/>
                <w:lang w:eastAsia="en-US"/>
              </w:rPr>
            </w:pPr>
          </w:p>
        </w:tc>
      </w:tr>
      <w:tr w:rsidR="00537811" w:rsidRPr="00D10746" w14:paraId="0ECBC95E" w14:textId="77777777" w:rsidTr="00804B3A">
        <w:trPr>
          <w:trHeight w:val="1713"/>
        </w:trPr>
        <w:tc>
          <w:tcPr>
            <w:tcW w:w="7726" w:type="dxa"/>
            <w:gridSpan w:val="2"/>
          </w:tcPr>
          <w:p w14:paraId="5C0D65C4" w14:textId="77777777" w:rsidR="00537811" w:rsidRPr="00CC5FCD" w:rsidRDefault="00537811" w:rsidP="00537811">
            <w:pPr>
              <w:tabs>
                <w:tab w:val="left" w:pos="1701"/>
              </w:tabs>
              <w:rPr>
                <w:szCs w:val="24"/>
              </w:rPr>
            </w:pPr>
          </w:p>
          <w:p w14:paraId="6BE28091" w14:textId="5DE7EC20" w:rsidR="00537811" w:rsidRPr="00CC5FCD" w:rsidRDefault="00537811" w:rsidP="00537811">
            <w:pPr>
              <w:tabs>
                <w:tab w:val="left" w:pos="1701"/>
              </w:tabs>
              <w:rPr>
                <w:szCs w:val="24"/>
              </w:rPr>
            </w:pPr>
          </w:p>
          <w:p w14:paraId="680ADEF6" w14:textId="0C51544A" w:rsidR="00537811" w:rsidRDefault="00537811" w:rsidP="00537811">
            <w:pPr>
              <w:tabs>
                <w:tab w:val="left" w:pos="1701"/>
              </w:tabs>
              <w:rPr>
                <w:szCs w:val="24"/>
              </w:rPr>
            </w:pPr>
          </w:p>
          <w:p w14:paraId="271B534E" w14:textId="77777777" w:rsidR="00537811" w:rsidRPr="00CC5FCD" w:rsidRDefault="00537811" w:rsidP="00537811">
            <w:pPr>
              <w:tabs>
                <w:tab w:val="left" w:pos="1701"/>
              </w:tabs>
              <w:rPr>
                <w:szCs w:val="24"/>
              </w:rPr>
            </w:pPr>
          </w:p>
          <w:p w14:paraId="68C1BAEB" w14:textId="77777777" w:rsidR="00537811" w:rsidRPr="00CC5FCD" w:rsidRDefault="00537811" w:rsidP="00537811">
            <w:pPr>
              <w:tabs>
                <w:tab w:val="left" w:pos="1701"/>
              </w:tabs>
              <w:rPr>
                <w:szCs w:val="24"/>
              </w:rPr>
            </w:pPr>
            <w:r w:rsidRPr="00CC5FCD">
              <w:rPr>
                <w:szCs w:val="24"/>
              </w:rPr>
              <w:t>Vid protokollet</w:t>
            </w:r>
          </w:p>
          <w:p w14:paraId="6B2CC347" w14:textId="77777777" w:rsidR="00537811" w:rsidRPr="00CC5FCD" w:rsidRDefault="00537811" w:rsidP="00537811">
            <w:pPr>
              <w:tabs>
                <w:tab w:val="left" w:pos="1701"/>
              </w:tabs>
              <w:rPr>
                <w:szCs w:val="24"/>
              </w:rPr>
            </w:pPr>
          </w:p>
          <w:p w14:paraId="216299A1" w14:textId="5E57A88F" w:rsidR="00537811" w:rsidRDefault="00537811" w:rsidP="00537811">
            <w:pPr>
              <w:tabs>
                <w:tab w:val="left" w:pos="1701"/>
              </w:tabs>
              <w:rPr>
                <w:szCs w:val="24"/>
              </w:rPr>
            </w:pPr>
          </w:p>
          <w:p w14:paraId="63EA4BE4" w14:textId="77777777" w:rsidR="00537811" w:rsidRPr="00CC5FCD" w:rsidRDefault="00537811" w:rsidP="00537811">
            <w:pPr>
              <w:tabs>
                <w:tab w:val="left" w:pos="1701"/>
              </w:tabs>
              <w:rPr>
                <w:szCs w:val="24"/>
              </w:rPr>
            </w:pPr>
          </w:p>
          <w:p w14:paraId="7D3596B8" w14:textId="77777777" w:rsidR="00537811" w:rsidRPr="00CC5FCD" w:rsidRDefault="00537811" w:rsidP="00537811">
            <w:pPr>
              <w:tabs>
                <w:tab w:val="left" w:pos="1701"/>
              </w:tabs>
              <w:rPr>
                <w:szCs w:val="24"/>
              </w:rPr>
            </w:pPr>
          </w:p>
          <w:p w14:paraId="13CF325D" w14:textId="26E1F747" w:rsidR="00537811" w:rsidRPr="00CC5FCD" w:rsidRDefault="00537811" w:rsidP="00537811">
            <w:pPr>
              <w:tabs>
                <w:tab w:val="left" w:pos="1701"/>
              </w:tabs>
              <w:rPr>
                <w:szCs w:val="24"/>
              </w:rPr>
            </w:pPr>
            <w:r w:rsidRPr="00CC5FCD">
              <w:rPr>
                <w:szCs w:val="24"/>
              </w:rPr>
              <w:t xml:space="preserve">Justeras den </w:t>
            </w:r>
            <w:r>
              <w:rPr>
                <w:snapToGrid w:val="0"/>
                <w:szCs w:val="24"/>
              </w:rPr>
              <w:t>25 maj</w:t>
            </w:r>
            <w:r w:rsidRPr="00CC5FCD">
              <w:rPr>
                <w:snapToGrid w:val="0"/>
                <w:szCs w:val="24"/>
              </w:rPr>
              <w:t xml:space="preserve"> 2021</w:t>
            </w:r>
          </w:p>
        </w:tc>
      </w:tr>
    </w:tbl>
    <w:p w14:paraId="72BFFDA0" w14:textId="77777777" w:rsidR="00804B3A" w:rsidRDefault="00804B3A">
      <w: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1104A76B" w:rsidR="00E97D62" w:rsidRPr="00955E92" w:rsidRDefault="008344E2" w:rsidP="00A4604F">
            <w:pPr>
              <w:tabs>
                <w:tab w:val="left" w:pos="1701"/>
              </w:tabs>
              <w:rPr>
                <w:sz w:val="22"/>
                <w:szCs w:val="22"/>
              </w:rPr>
            </w:pPr>
            <w:r w:rsidRPr="00D10746">
              <w:rPr>
                <w:sz w:val="22"/>
                <w:szCs w:val="22"/>
              </w:rPr>
              <w:t>till protokoll 2020/21:</w:t>
            </w:r>
            <w:r w:rsidR="00296316" w:rsidRPr="00D10746">
              <w:rPr>
                <w:sz w:val="22"/>
                <w:szCs w:val="22"/>
              </w:rPr>
              <w:t>5</w:t>
            </w:r>
            <w:r w:rsidR="00CA037C">
              <w:rPr>
                <w:sz w:val="22"/>
                <w:szCs w:val="22"/>
              </w:rPr>
              <w:t>9</w:t>
            </w:r>
          </w:p>
        </w:tc>
      </w:tr>
      <w:tr w:rsidR="008344E2" w:rsidRPr="00D1074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50A689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r w:rsidR="00610A81" w:rsidRPr="00D10746">
              <w:rPr>
                <w:sz w:val="20"/>
              </w:rPr>
              <w:t>2</w:t>
            </w:r>
          </w:p>
        </w:tc>
        <w:tc>
          <w:tcPr>
            <w:tcW w:w="709" w:type="dxa"/>
            <w:gridSpan w:val="2"/>
            <w:tcBorders>
              <w:top w:val="single" w:sz="4" w:space="0" w:color="auto"/>
              <w:left w:val="single" w:sz="4" w:space="0" w:color="auto"/>
              <w:bottom w:val="single" w:sz="4" w:space="0" w:color="auto"/>
              <w:right w:val="single" w:sz="4" w:space="0" w:color="auto"/>
            </w:tcBorders>
          </w:tcPr>
          <w:p w14:paraId="39D04A80" w14:textId="5C91A0A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4D4897">
              <w:rPr>
                <w:sz w:val="20"/>
              </w:rPr>
              <w:t xml:space="preserve"> </w:t>
            </w:r>
            <w:r w:rsidR="00804B3A">
              <w:rPr>
                <w:sz w:val="20"/>
              </w:rPr>
              <w:t>3</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798EAC7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r w:rsidR="00804B3A">
              <w:rPr>
                <w:sz w:val="20"/>
              </w:rPr>
              <w:t>4</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5CCB6B1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734682" w:rsidRPr="00D10746">
              <w:rPr>
                <w:sz w:val="20"/>
              </w:rPr>
              <w:t xml:space="preserve"> </w:t>
            </w:r>
            <w:r w:rsidR="00804B3A">
              <w:rPr>
                <w:sz w:val="20"/>
              </w:rPr>
              <w:t>5</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33DF894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roofErr w:type="gramStart"/>
            <w:r w:rsidR="00804B3A">
              <w:rPr>
                <w:sz w:val="20"/>
              </w:rPr>
              <w:t>6-7</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5280FBE3" w14:textId="6668807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CC5FCD">
              <w:rPr>
                <w:sz w:val="20"/>
              </w:rPr>
              <w:t xml:space="preserve"> </w:t>
            </w:r>
            <w:r w:rsidR="00804B3A">
              <w:rPr>
                <w:sz w:val="20"/>
              </w:rPr>
              <w:t>8</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5215CD2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r w:rsidR="00804B3A">
              <w:rPr>
                <w:sz w:val="20"/>
              </w:rPr>
              <w:t>9</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r>
      <w:tr w:rsidR="008344E2" w:rsidRPr="00D1074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r>
      <w:tr w:rsidR="008344E2" w:rsidRPr="00D1074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62AE37FB"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02CBD20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243503F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5F1F42CF"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66BDD6E6"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191965D6"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5EA42B9E"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1A0E00C5"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568106D9" w14:textId="07239B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04B3A"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Kristina Nilsson (S), vice </w:t>
            </w:r>
            <w:proofErr w:type="spellStart"/>
            <w:r w:rsidRPr="00780842">
              <w:rPr>
                <w:sz w:val="22"/>
                <w:szCs w:val="22"/>
                <w:lang w:val="en-GB"/>
              </w:rPr>
              <w:t>ordf</w:t>
            </w:r>
            <w:proofErr w:type="spellEnd"/>
            <w:r w:rsidRPr="00780842">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6F8EA28B" w:rsidR="008344E2" w:rsidRPr="00CA037C"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665BCB8A" w:rsidR="008344E2" w:rsidRPr="00CA037C"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658C3E05" w:rsidR="008344E2" w:rsidRPr="00CA037C"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7EE9DA82" w:rsidR="008344E2" w:rsidRPr="00CA037C"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19784BEF" w:rsidR="008344E2" w:rsidRPr="00CA037C"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5F955137" w:rsidR="008344E2" w:rsidRPr="00CA037C"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2DFA9F64" w:rsidR="008344E2" w:rsidRPr="00CA037C"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6" w:type="dxa"/>
            <w:tcBorders>
              <w:left w:val="single" w:sz="6" w:space="0" w:color="auto"/>
              <w:right w:val="single" w:sz="6" w:space="0" w:color="auto"/>
            </w:tcBorders>
          </w:tcPr>
          <w:p w14:paraId="60485203" w14:textId="77D81FC3"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0009533B"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27F58419"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13A9F27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433B47F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194CE28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7E6D27C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578D7AF3"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173D107E" w14:textId="4B0914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3CE95B20"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46625CB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49979B8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24B6743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676FAD16"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5D1CF38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69262D7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BB97F89" w14:textId="72E80F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5DAC890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04A96CF6"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7E85D91E"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1195F789"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450937F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568D05F5"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762E38FB"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393F1F4A" w14:textId="49B623C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2A4BC8A6"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1C4571C0"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74A4DF2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4C48E632"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7B5E7CD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3F0B072A"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20A21D76"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2E6E6C10" w14:textId="4FC2D7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07D76861"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77BD61C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11427FC9"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216E05E9"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5A5EBD32"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23C5365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6185FB80"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3C9BDF57" w14:textId="3F215A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6AF1F9E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057ECA35"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5B8951B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0A52146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00AC768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34CC6076"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14E386E0"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535F7610" w14:textId="4431FD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46F8C47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0A51C66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6FEA0ADA"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302D2CC2"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286636CB"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503042CA"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394E5395"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2F4BE81F" w14:textId="064ECF2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418EFEA1"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1F9A1569"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43F845A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2D53D545"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288A1FDB"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5B968A6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5AD0A2C0"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4E635F67" w14:textId="5CE138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4B4361D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2F78E05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40DE694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48DC275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5E38EC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DAC18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7E29164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538EE31E"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38941F7F"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43C2A9F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2528A870"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143EB0C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75E043FE"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06DEDD1D" w14:textId="331B418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4B6F6DA0"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0D0C5C4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07936161"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0AE8A416"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5A70AC3B"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1E5E37D3"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1F215736"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4A5EB7EC" w14:textId="31EDA37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557EC2A5"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021AA0DF"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2C78CE9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392E1D7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35239BAE"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66AA5F1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2C96B123"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0120C25C" w14:textId="3155B7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561E00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4CECFA2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79B6B15A"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023B43F0"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788A443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2BEF372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6714FBF"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757F73A3"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3111D3C6" w14:textId="0254D5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055B3E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4C6E362" w14:textId="654A1818" w:rsidR="008344E2" w:rsidRPr="00D10746" w:rsidRDefault="006E6CE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Nicklas Attefjord </w:t>
            </w:r>
            <w:r w:rsidR="008344E2" w:rsidRPr="00D10746">
              <w:rPr>
                <w:sz w:val="22"/>
                <w:szCs w:val="22"/>
              </w:rPr>
              <w:t>(MP)</w:t>
            </w:r>
          </w:p>
        </w:tc>
        <w:tc>
          <w:tcPr>
            <w:tcW w:w="452" w:type="dxa"/>
            <w:tcBorders>
              <w:top w:val="single" w:sz="6" w:space="0" w:color="auto"/>
              <w:left w:val="single" w:sz="6" w:space="0" w:color="auto"/>
              <w:bottom w:val="single" w:sz="6" w:space="0" w:color="auto"/>
              <w:right w:val="single" w:sz="6" w:space="0" w:color="auto"/>
            </w:tcBorders>
          </w:tcPr>
          <w:p w14:paraId="6D0E09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772D9350"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2074745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310C653E"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0C49827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209B07F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12E99BF5"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3E114950"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47126A3" w14:textId="1E02152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46E0AB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8344E2" w:rsidRPr="00D10746" w:rsidRDefault="00857B0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0322448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64C57D63"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40DE0E8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526E2B01"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3364A0A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2CC30222"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40117F09"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409E0508" w14:textId="2B93761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D1074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7C97471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53463D2E"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057D227F"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73195DFE"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6BE1F2DA"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4E51AEBA"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4EAD61C9"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69435219" w14:textId="5F8ACBB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391D25B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101FF95B"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6E5581E2"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003CCC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17B16061"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72BA123B"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F396622"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7254598E" w14:textId="7A470A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242BF9F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772A4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6FEC90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0CD947C5"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6E72E03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42CAC899"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4782374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42CBF95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3C37FA11"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75C6010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55D9B776" w14:textId="677061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1D16F34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47ED2C71"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37F267B3"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3BDDBE0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43CBE843"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2093626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1204E52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322150F5" w14:textId="1058EF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48ECF2D8"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4895A429"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622C692A"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43B43A0F"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1BCDED3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278506E9"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722FCB56"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7A64C00B" w14:textId="2D88C69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F270D8"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Ann-Christine From </w:t>
            </w:r>
            <w:proofErr w:type="spellStart"/>
            <w:r w:rsidRPr="00780842">
              <w:rPr>
                <w:sz w:val="22"/>
                <w:szCs w:val="22"/>
                <w:lang w:val="en-GB"/>
              </w:rPr>
              <w:t>Utterstedt</w:t>
            </w:r>
            <w:proofErr w:type="spellEnd"/>
            <w:r w:rsidRPr="00780842">
              <w:rPr>
                <w:sz w:val="22"/>
                <w:szCs w:val="22"/>
                <w:lang w:val="en-GB"/>
              </w:rPr>
              <w:t xml:space="preserve">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3D30" w:rsidRPr="00D1074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6C42A73F"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3BB4C70E"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5432463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717B315F"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37705CDF"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1926684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7D337AF2"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26E7E00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6CD2AB9D" w14:textId="0E01ADA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4305C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2B79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42DEAB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905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47018" w14:textId="66D640E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18D28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E0FCA" w14:textId="3BB3BE0C"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0C0B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36FE1" w14:textId="717C71AE"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4" w:type="dxa"/>
            <w:tcBorders>
              <w:top w:val="single" w:sz="6" w:space="0" w:color="auto"/>
              <w:left w:val="single" w:sz="6" w:space="0" w:color="auto"/>
              <w:bottom w:val="single" w:sz="6" w:space="0" w:color="auto"/>
              <w:right w:val="single" w:sz="6" w:space="0" w:color="auto"/>
            </w:tcBorders>
          </w:tcPr>
          <w:p w14:paraId="3697DE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A3E2B" w14:textId="6CA7B379"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4" w:type="dxa"/>
            <w:tcBorders>
              <w:top w:val="single" w:sz="6" w:space="0" w:color="auto"/>
              <w:left w:val="single" w:sz="6" w:space="0" w:color="auto"/>
              <w:bottom w:val="single" w:sz="6" w:space="0" w:color="auto"/>
              <w:right w:val="single" w:sz="6" w:space="0" w:color="auto"/>
            </w:tcBorders>
          </w:tcPr>
          <w:p w14:paraId="046FF4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651CF" w14:textId="717C1ABA"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65AD6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D46491" w14:textId="090C7C41"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3A22E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C0A30DE" w14:textId="3F07852F"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426" w:type="dxa"/>
            <w:tcBorders>
              <w:left w:val="single" w:sz="6" w:space="0" w:color="auto"/>
              <w:right w:val="single" w:sz="6" w:space="0" w:color="auto"/>
            </w:tcBorders>
          </w:tcPr>
          <w:p w14:paraId="6F82A122" w14:textId="7F6B8C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37AA" w14:textId="56A3D7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906A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331CBB3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2CBB93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6D172A3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4DFDD8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206F8B4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347FA87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6AB4C8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CF51B8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0390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4AB9EA0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5292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87FA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E521B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4C89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5FF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2EA3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BFAF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B374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36E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55BC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E0C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AE86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EFB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9009B8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5E191EE" w14:textId="07BC2C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4DA7D" w14:textId="5017388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2EC2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5E0652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28E6C3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C95062C" w14:textId="4725E6F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1C1A95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EB44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F8F69" w14:textId="2024F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ED972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CC44C6" w14:textId="0D08A8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7754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E0FEFE" w14:textId="56F841F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A348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310F67" w14:textId="296D08D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28A67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68749" w14:textId="5B460CF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00B88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B34DE3" w14:textId="6BDB68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BFBE3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2D30559" w14:textId="47964B8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A5E7869" w14:textId="342176B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F0A855" w14:textId="28C9765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769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96872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6DB6054" w14:textId="23B65062" w:rsidR="00E97D6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Inge Ståhlgren (S)</w:t>
            </w:r>
          </w:p>
        </w:tc>
        <w:tc>
          <w:tcPr>
            <w:tcW w:w="452" w:type="dxa"/>
            <w:tcBorders>
              <w:top w:val="single" w:sz="6" w:space="0" w:color="auto"/>
              <w:left w:val="single" w:sz="6" w:space="0" w:color="auto"/>
              <w:bottom w:val="single" w:sz="6" w:space="0" w:color="auto"/>
              <w:right w:val="single" w:sz="6" w:space="0" w:color="auto"/>
            </w:tcBorders>
          </w:tcPr>
          <w:p w14:paraId="390B5D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04EE7E" w14:textId="105CD26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DF884" w14:textId="07EB56AD"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073C842" w14:textId="54009E6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D63975" w14:textId="240A7A77"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9672129" w14:textId="36CA696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6FF73C" w14:textId="61F41B76"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6CB4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E2E0C" w14:textId="5E757413"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F193A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D6FD0C" w14:textId="7C52E82B"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3B663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457" w14:textId="1665BAF4"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822508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6880C9" w14:textId="0CB14E10" w:rsidR="008344E2" w:rsidRPr="00D10746" w:rsidRDefault="00804B3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3A383398" w14:textId="3DA2FA4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7B9A9" w14:textId="669B2F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C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C88F618" w14:textId="77777777" w:rsidTr="008B0D36">
        <w:trPr>
          <w:trHeight w:val="262"/>
        </w:trPr>
        <w:tc>
          <w:tcPr>
            <w:tcW w:w="3898" w:type="dxa"/>
            <w:gridSpan w:val="2"/>
            <w:tcBorders>
              <w:top w:val="nil"/>
              <w:left w:val="nil"/>
              <w:bottom w:val="nil"/>
              <w:right w:val="nil"/>
            </w:tcBorders>
          </w:tcPr>
          <w:p w14:paraId="41E1162B" w14:textId="77777777" w:rsidR="008344E2" w:rsidRPr="00D10746" w:rsidRDefault="008344E2" w:rsidP="00A4604F">
            <w:pPr>
              <w:spacing w:before="60"/>
              <w:rPr>
                <w:sz w:val="20"/>
              </w:rPr>
            </w:pPr>
            <w:r w:rsidRPr="00D10746">
              <w:rPr>
                <w:sz w:val="20"/>
              </w:rPr>
              <w:t>N = Närvarande</w:t>
            </w:r>
          </w:p>
          <w:p w14:paraId="731C3633" w14:textId="77777777" w:rsidR="008344E2" w:rsidRPr="00D10746" w:rsidRDefault="008344E2" w:rsidP="00A4604F">
            <w:pPr>
              <w:spacing w:before="60"/>
              <w:rPr>
                <w:sz w:val="20"/>
              </w:rPr>
            </w:pPr>
            <w:r w:rsidRPr="00D10746">
              <w:rPr>
                <w:sz w:val="20"/>
              </w:rPr>
              <w:t>V = Votering</w:t>
            </w:r>
          </w:p>
        </w:tc>
        <w:tc>
          <w:tcPr>
            <w:tcW w:w="5033" w:type="dxa"/>
            <w:gridSpan w:val="15"/>
            <w:tcBorders>
              <w:top w:val="nil"/>
              <w:left w:val="nil"/>
              <w:bottom w:val="nil"/>
              <w:right w:val="nil"/>
            </w:tcBorders>
          </w:tcPr>
          <w:p w14:paraId="1C5846C7" w14:textId="77777777" w:rsidR="008344E2" w:rsidRPr="00D10746" w:rsidRDefault="008344E2" w:rsidP="00A4604F">
            <w:pPr>
              <w:spacing w:before="60"/>
              <w:rPr>
                <w:sz w:val="20"/>
              </w:rPr>
            </w:pPr>
            <w:r w:rsidRPr="00D10746">
              <w:rPr>
                <w:sz w:val="20"/>
              </w:rPr>
              <w:t>X = ledamöter som deltagit i handläggningen</w:t>
            </w:r>
            <w:r w:rsidRPr="00D10746">
              <w:rPr>
                <w:sz w:val="20"/>
              </w:rPr>
              <w:br/>
              <w:t>O = ledamöter som härutöver har varit närvarande</w:t>
            </w:r>
          </w:p>
        </w:tc>
        <w:tc>
          <w:tcPr>
            <w:tcW w:w="425" w:type="dxa"/>
            <w:tcBorders>
              <w:left w:val="nil"/>
              <w:bottom w:val="nil"/>
              <w:right w:val="nil"/>
            </w:tcBorders>
          </w:tcPr>
          <w:p w14:paraId="40CE471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69E97DE3" w14:textId="63D31045" w:rsidR="006D55BA" w:rsidRPr="002B0FAA" w:rsidRDefault="00893794" w:rsidP="00F270D8">
      <w:pPr>
        <w:widowControl/>
        <w:rPr>
          <w:color w:val="FF0000"/>
        </w:rPr>
      </w:pPr>
      <w:r w:rsidRPr="002B0FAA">
        <w:rPr>
          <w:color w:val="FF0000"/>
        </w:rPr>
        <w:lastRenderedPageBreak/>
        <w:t xml:space="preserve"> </w:t>
      </w:r>
    </w:p>
    <w:sectPr w:rsidR="006D55BA" w:rsidRPr="002B0FAA"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5"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6"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3"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3"/>
  </w:num>
  <w:num w:numId="4">
    <w:abstractNumId w:val="33"/>
  </w:num>
  <w:num w:numId="5">
    <w:abstractNumId w:val="15"/>
  </w:num>
  <w:num w:numId="6">
    <w:abstractNumId w:val="16"/>
  </w:num>
  <w:num w:numId="7">
    <w:abstractNumId w:val="6"/>
  </w:num>
  <w:num w:numId="8">
    <w:abstractNumId w:val="24"/>
  </w:num>
  <w:num w:numId="9">
    <w:abstractNumId w:val="20"/>
  </w:num>
  <w:num w:numId="10">
    <w:abstractNumId w:val="1"/>
  </w:num>
  <w:num w:numId="11">
    <w:abstractNumId w:val="25"/>
  </w:num>
  <w:num w:numId="12">
    <w:abstractNumId w:val="11"/>
  </w:num>
  <w:num w:numId="13">
    <w:abstractNumId w:val="32"/>
  </w:num>
  <w:num w:numId="14">
    <w:abstractNumId w:val="25"/>
  </w:num>
  <w:num w:numId="15">
    <w:abstractNumId w:val="11"/>
  </w:num>
  <w:num w:numId="16">
    <w:abstractNumId w:val="32"/>
  </w:num>
  <w:num w:numId="17">
    <w:abstractNumId w:val="31"/>
  </w:num>
  <w:num w:numId="18">
    <w:abstractNumId w:val="14"/>
  </w:num>
  <w:num w:numId="19">
    <w:abstractNumId w:val="31"/>
  </w:num>
  <w:num w:numId="20">
    <w:abstractNumId w:val="13"/>
  </w:num>
  <w:num w:numId="21">
    <w:abstractNumId w:val="0"/>
  </w:num>
  <w:num w:numId="22">
    <w:abstractNumId w:val="30"/>
  </w:num>
  <w:num w:numId="23">
    <w:abstractNumId w:val="34"/>
  </w:num>
  <w:num w:numId="24">
    <w:abstractNumId w:val="5"/>
  </w:num>
  <w:num w:numId="25">
    <w:abstractNumId w:val="27"/>
  </w:num>
  <w:num w:numId="26">
    <w:abstractNumId w:val="28"/>
  </w:num>
  <w:num w:numId="27">
    <w:abstractNumId w:val="22"/>
  </w:num>
  <w:num w:numId="28">
    <w:abstractNumId w:val="17"/>
  </w:num>
  <w:num w:numId="29">
    <w:abstractNumId w:val="12"/>
  </w:num>
  <w:num w:numId="30">
    <w:abstractNumId w:val="10"/>
  </w:num>
  <w:num w:numId="31">
    <w:abstractNumId w:val="4"/>
  </w:num>
  <w:num w:numId="32">
    <w:abstractNumId w:val="9"/>
  </w:num>
  <w:num w:numId="33">
    <w:abstractNumId w:val="3"/>
  </w:num>
  <w:num w:numId="34">
    <w:abstractNumId w:val="29"/>
  </w:num>
  <w:num w:numId="35">
    <w:abstractNumId w:val="19"/>
  </w:num>
  <w:num w:numId="36">
    <w:abstractNumId w:val="18"/>
  </w:num>
  <w:num w:numId="37">
    <w:abstractNumId w:val="7"/>
  </w:num>
  <w:num w:numId="38">
    <w:abstractNumId w:val="18"/>
  </w:num>
  <w:num w:numId="39">
    <w:abstractNumId w:val="2"/>
  </w:num>
  <w:num w:numId="40">
    <w:abstractNumId w:val="8"/>
  </w:num>
  <w:num w:numId="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6159"/>
    <w:rsid w:val="0004630A"/>
    <w:rsid w:val="00046325"/>
    <w:rsid w:val="00046DB8"/>
    <w:rsid w:val="00047342"/>
    <w:rsid w:val="00047533"/>
    <w:rsid w:val="00047DD3"/>
    <w:rsid w:val="00050D18"/>
    <w:rsid w:val="00051DBB"/>
    <w:rsid w:val="000527BA"/>
    <w:rsid w:val="000568FA"/>
    <w:rsid w:val="00056AFE"/>
    <w:rsid w:val="00060E3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1665"/>
    <w:rsid w:val="00071D26"/>
    <w:rsid w:val="00071E5F"/>
    <w:rsid w:val="00071F31"/>
    <w:rsid w:val="00074114"/>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79A5"/>
    <w:rsid w:val="00107E45"/>
    <w:rsid w:val="00107F0C"/>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3E64"/>
    <w:rsid w:val="00184119"/>
    <w:rsid w:val="00184122"/>
    <w:rsid w:val="00184E99"/>
    <w:rsid w:val="001863C2"/>
    <w:rsid w:val="001869AD"/>
    <w:rsid w:val="0019011C"/>
    <w:rsid w:val="0019023E"/>
    <w:rsid w:val="00191B4A"/>
    <w:rsid w:val="00192F62"/>
    <w:rsid w:val="0019395D"/>
    <w:rsid w:val="00193D3F"/>
    <w:rsid w:val="0019469B"/>
    <w:rsid w:val="0019500B"/>
    <w:rsid w:val="00196B13"/>
    <w:rsid w:val="00196BC9"/>
    <w:rsid w:val="001972DF"/>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DEF"/>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B45"/>
    <w:rsid w:val="00222310"/>
    <w:rsid w:val="002234FD"/>
    <w:rsid w:val="00223C30"/>
    <w:rsid w:val="00223C54"/>
    <w:rsid w:val="00224BD3"/>
    <w:rsid w:val="00224E9C"/>
    <w:rsid w:val="00225350"/>
    <w:rsid w:val="00226733"/>
    <w:rsid w:val="00230827"/>
    <w:rsid w:val="00231A09"/>
    <w:rsid w:val="00232204"/>
    <w:rsid w:val="002327ED"/>
    <w:rsid w:val="002343FF"/>
    <w:rsid w:val="00234560"/>
    <w:rsid w:val="00234BF3"/>
    <w:rsid w:val="00234C63"/>
    <w:rsid w:val="00234CB7"/>
    <w:rsid w:val="00234DD7"/>
    <w:rsid w:val="00234E5C"/>
    <w:rsid w:val="00234F50"/>
    <w:rsid w:val="00235459"/>
    <w:rsid w:val="00235CAC"/>
    <w:rsid w:val="0023672A"/>
    <w:rsid w:val="00236865"/>
    <w:rsid w:val="00237C8A"/>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39A1"/>
    <w:rsid w:val="00274536"/>
    <w:rsid w:val="00274D8B"/>
    <w:rsid w:val="00275D82"/>
    <w:rsid w:val="00276728"/>
    <w:rsid w:val="00276A53"/>
    <w:rsid w:val="00277936"/>
    <w:rsid w:val="00277DA7"/>
    <w:rsid w:val="00277FCE"/>
    <w:rsid w:val="00281BB7"/>
    <w:rsid w:val="00281BC2"/>
    <w:rsid w:val="00282F1E"/>
    <w:rsid w:val="0028356E"/>
    <w:rsid w:val="00284382"/>
    <w:rsid w:val="00284CE9"/>
    <w:rsid w:val="002851AE"/>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17E9"/>
    <w:rsid w:val="002E1ACE"/>
    <w:rsid w:val="002E1B7A"/>
    <w:rsid w:val="002E2003"/>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5B6"/>
    <w:rsid w:val="00330CC9"/>
    <w:rsid w:val="00332DD4"/>
    <w:rsid w:val="00333088"/>
    <w:rsid w:val="00333F0B"/>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4B94"/>
    <w:rsid w:val="00365EAC"/>
    <w:rsid w:val="00366424"/>
    <w:rsid w:val="003709E5"/>
    <w:rsid w:val="0037152A"/>
    <w:rsid w:val="003718FE"/>
    <w:rsid w:val="0037298A"/>
    <w:rsid w:val="00372C6E"/>
    <w:rsid w:val="00373349"/>
    <w:rsid w:val="003741E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7D3"/>
    <w:rsid w:val="0039741B"/>
    <w:rsid w:val="003975BD"/>
    <w:rsid w:val="003A01EA"/>
    <w:rsid w:val="003A04D5"/>
    <w:rsid w:val="003A156F"/>
    <w:rsid w:val="003A1736"/>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4A26"/>
    <w:rsid w:val="003B53BA"/>
    <w:rsid w:val="003B5B34"/>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30FE"/>
    <w:rsid w:val="00413521"/>
    <w:rsid w:val="004147EE"/>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C88"/>
    <w:rsid w:val="004358BD"/>
    <w:rsid w:val="00435AB1"/>
    <w:rsid w:val="00435B75"/>
    <w:rsid w:val="00436493"/>
    <w:rsid w:val="00436883"/>
    <w:rsid w:val="00437AA4"/>
    <w:rsid w:val="00440A7C"/>
    <w:rsid w:val="004410A2"/>
    <w:rsid w:val="0044390B"/>
    <w:rsid w:val="00443BF0"/>
    <w:rsid w:val="0044410C"/>
    <w:rsid w:val="0044621D"/>
    <w:rsid w:val="00446292"/>
    <w:rsid w:val="00446742"/>
    <w:rsid w:val="00446E94"/>
    <w:rsid w:val="0045039E"/>
    <w:rsid w:val="004503E2"/>
    <w:rsid w:val="0045053B"/>
    <w:rsid w:val="0045096F"/>
    <w:rsid w:val="00450B14"/>
    <w:rsid w:val="004510EF"/>
    <w:rsid w:val="0045148A"/>
    <w:rsid w:val="00451E29"/>
    <w:rsid w:val="00451EB6"/>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C5E"/>
    <w:rsid w:val="0047540E"/>
    <w:rsid w:val="00475AD3"/>
    <w:rsid w:val="00475C9E"/>
    <w:rsid w:val="00475DB7"/>
    <w:rsid w:val="00476D6B"/>
    <w:rsid w:val="00480649"/>
    <w:rsid w:val="004808FF"/>
    <w:rsid w:val="00481A63"/>
    <w:rsid w:val="004828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B020C"/>
    <w:rsid w:val="004B068D"/>
    <w:rsid w:val="004B155E"/>
    <w:rsid w:val="004B2803"/>
    <w:rsid w:val="004B292C"/>
    <w:rsid w:val="004B30B6"/>
    <w:rsid w:val="004B3F0C"/>
    <w:rsid w:val="004B58CC"/>
    <w:rsid w:val="004B59F5"/>
    <w:rsid w:val="004B65C2"/>
    <w:rsid w:val="004C00E5"/>
    <w:rsid w:val="004C0CE4"/>
    <w:rsid w:val="004C1EA5"/>
    <w:rsid w:val="004C1F3F"/>
    <w:rsid w:val="004C2B9E"/>
    <w:rsid w:val="004C2C21"/>
    <w:rsid w:val="004C2CC0"/>
    <w:rsid w:val="004C37AA"/>
    <w:rsid w:val="004C48A4"/>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31401"/>
    <w:rsid w:val="00531B23"/>
    <w:rsid w:val="00532989"/>
    <w:rsid w:val="00532B33"/>
    <w:rsid w:val="00532EA3"/>
    <w:rsid w:val="00533258"/>
    <w:rsid w:val="005333CA"/>
    <w:rsid w:val="00533550"/>
    <w:rsid w:val="005342D1"/>
    <w:rsid w:val="005348CB"/>
    <w:rsid w:val="005358C4"/>
    <w:rsid w:val="00537811"/>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F21"/>
    <w:rsid w:val="00574998"/>
    <w:rsid w:val="00575860"/>
    <w:rsid w:val="005763A5"/>
    <w:rsid w:val="00576452"/>
    <w:rsid w:val="005800B1"/>
    <w:rsid w:val="005808AF"/>
    <w:rsid w:val="00581AFA"/>
    <w:rsid w:val="00582166"/>
    <w:rsid w:val="0058251E"/>
    <w:rsid w:val="0058353F"/>
    <w:rsid w:val="00583896"/>
    <w:rsid w:val="00586E55"/>
    <w:rsid w:val="00587142"/>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A0D"/>
    <w:rsid w:val="005A51E3"/>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7E87"/>
    <w:rsid w:val="005C0B6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2DB9"/>
    <w:rsid w:val="005E2EED"/>
    <w:rsid w:val="005E301C"/>
    <w:rsid w:val="005E32CA"/>
    <w:rsid w:val="005E439C"/>
    <w:rsid w:val="005E5B7A"/>
    <w:rsid w:val="005E6363"/>
    <w:rsid w:val="005E7F44"/>
    <w:rsid w:val="005F0046"/>
    <w:rsid w:val="005F06C7"/>
    <w:rsid w:val="005F07C6"/>
    <w:rsid w:val="005F0C65"/>
    <w:rsid w:val="005F10C7"/>
    <w:rsid w:val="005F13AA"/>
    <w:rsid w:val="005F15D9"/>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E2B"/>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3C14"/>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5034"/>
    <w:rsid w:val="006850EC"/>
    <w:rsid w:val="00685638"/>
    <w:rsid w:val="006856A3"/>
    <w:rsid w:val="00686C04"/>
    <w:rsid w:val="0069048F"/>
    <w:rsid w:val="0069221B"/>
    <w:rsid w:val="00692418"/>
    <w:rsid w:val="0069280E"/>
    <w:rsid w:val="00692A47"/>
    <w:rsid w:val="0069374B"/>
    <w:rsid w:val="00694CBB"/>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4C95"/>
    <w:rsid w:val="006D55BA"/>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C9F"/>
    <w:rsid w:val="00700194"/>
    <w:rsid w:val="00701012"/>
    <w:rsid w:val="00703621"/>
    <w:rsid w:val="007036DB"/>
    <w:rsid w:val="007038F6"/>
    <w:rsid w:val="00703A79"/>
    <w:rsid w:val="007041A1"/>
    <w:rsid w:val="007052DA"/>
    <w:rsid w:val="007058C4"/>
    <w:rsid w:val="00707F69"/>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EE"/>
    <w:rsid w:val="00775130"/>
    <w:rsid w:val="00776663"/>
    <w:rsid w:val="007776F9"/>
    <w:rsid w:val="00780842"/>
    <w:rsid w:val="0078192C"/>
    <w:rsid w:val="00783176"/>
    <w:rsid w:val="0078361F"/>
    <w:rsid w:val="00783A2B"/>
    <w:rsid w:val="00784FC9"/>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7E0E"/>
    <w:rsid w:val="00797FF1"/>
    <w:rsid w:val="007A025B"/>
    <w:rsid w:val="007A0A35"/>
    <w:rsid w:val="007A0A44"/>
    <w:rsid w:val="007A0F60"/>
    <w:rsid w:val="007A25A8"/>
    <w:rsid w:val="007A4E8A"/>
    <w:rsid w:val="007A53A7"/>
    <w:rsid w:val="007A5722"/>
    <w:rsid w:val="007A669A"/>
    <w:rsid w:val="007A7562"/>
    <w:rsid w:val="007A791C"/>
    <w:rsid w:val="007B0089"/>
    <w:rsid w:val="007B0805"/>
    <w:rsid w:val="007B1F53"/>
    <w:rsid w:val="007B2A06"/>
    <w:rsid w:val="007B2B39"/>
    <w:rsid w:val="007B30A3"/>
    <w:rsid w:val="007B5659"/>
    <w:rsid w:val="007B6064"/>
    <w:rsid w:val="007B78E7"/>
    <w:rsid w:val="007B7995"/>
    <w:rsid w:val="007C12B2"/>
    <w:rsid w:val="007C135B"/>
    <w:rsid w:val="007C1B42"/>
    <w:rsid w:val="007C28ED"/>
    <w:rsid w:val="007C2E22"/>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3825"/>
    <w:rsid w:val="00824506"/>
    <w:rsid w:val="00825085"/>
    <w:rsid w:val="00825FCE"/>
    <w:rsid w:val="00826CD1"/>
    <w:rsid w:val="008273B8"/>
    <w:rsid w:val="00830313"/>
    <w:rsid w:val="008304CE"/>
    <w:rsid w:val="00830D6A"/>
    <w:rsid w:val="00831C9B"/>
    <w:rsid w:val="00832C47"/>
    <w:rsid w:val="008335DC"/>
    <w:rsid w:val="00833C9A"/>
    <w:rsid w:val="008344E2"/>
    <w:rsid w:val="00834B38"/>
    <w:rsid w:val="008350FC"/>
    <w:rsid w:val="008351E2"/>
    <w:rsid w:val="00835711"/>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904FE"/>
    <w:rsid w:val="008912BD"/>
    <w:rsid w:val="008921D0"/>
    <w:rsid w:val="00892FF9"/>
    <w:rsid w:val="00893794"/>
    <w:rsid w:val="008948BA"/>
    <w:rsid w:val="00895A57"/>
    <w:rsid w:val="00895D89"/>
    <w:rsid w:val="00895E8B"/>
    <w:rsid w:val="008A0E78"/>
    <w:rsid w:val="008A2645"/>
    <w:rsid w:val="008A2DE4"/>
    <w:rsid w:val="008A3000"/>
    <w:rsid w:val="008A53B6"/>
    <w:rsid w:val="008A69A9"/>
    <w:rsid w:val="008B0132"/>
    <w:rsid w:val="008B0D36"/>
    <w:rsid w:val="008B14A9"/>
    <w:rsid w:val="008B2273"/>
    <w:rsid w:val="008B2D22"/>
    <w:rsid w:val="008B3CE7"/>
    <w:rsid w:val="008B4B98"/>
    <w:rsid w:val="008B5159"/>
    <w:rsid w:val="008B6D6E"/>
    <w:rsid w:val="008B7B64"/>
    <w:rsid w:val="008B7EB1"/>
    <w:rsid w:val="008C03EE"/>
    <w:rsid w:val="008C0667"/>
    <w:rsid w:val="008C1173"/>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6AB8"/>
    <w:rsid w:val="008D72C8"/>
    <w:rsid w:val="008D7575"/>
    <w:rsid w:val="008E0FCE"/>
    <w:rsid w:val="008E548B"/>
    <w:rsid w:val="008E5594"/>
    <w:rsid w:val="008E5F34"/>
    <w:rsid w:val="008E6012"/>
    <w:rsid w:val="008E6A70"/>
    <w:rsid w:val="008E7599"/>
    <w:rsid w:val="008E799E"/>
    <w:rsid w:val="008F2073"/>
    <w:rsid w:val="008F2C57"/>
    <w:rsid w:val="008F30CC"/>
    <w:rsid w:val="008F4D68"/>
    <w:rsid w:val="008F5350"/>
    <w:rsid w:val="008F5ACB"/>
    <w:rsid w:val="008F5B30"/>
    <w:rsid w:val="008F6419"/>
    <w:rsid w:val="008F6BB7"/>
    <w:rsid w:val="008F6E85"/>
    <w:rsid w:val="008F7BC2"/>
    <w:rsid w:val="008F7E34"/>
    <w:rsid w:val="00900282"/>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5E8"/>
    <w:rsid w:val="0094094E"/>
    <w:rsid w:val="00940FCC"/>
    <w:rsid w:val="009426E3"/>
    <w:rsid w:val="0094649E"/>
    <w:rsid w:val="00946978"/>
    <w:rsid w:val="00946C2F"/>
    <w:rsid w:val="0094747D"/>
    <w:rsid w:val="009475E3"/>
    <w:rsid w:val="009476CF"/>
    <w:rsid w:val="00947EB4"/>
    <w:rsid w:val="00951805"/>
    <w:rsid w:val="00951BCD"/>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769"/>
    <w:rsid w:val="00985C8A"/>
    <w:rsid w:val="0098765B"/>
    <w:rsid w:val="00991FD9"/>
    <w:rsid w:val="00992B92"/>
    <w:rsid w:val="009938A1"/>
    <w:rsid w:val="00994374"/>
    <w:rsid w:val="00994725"/>
    <w:rsid w:val="00995222"/>
    <w:rsid w:val="009959A2"/>
    <w:rsid w:val="00995D44"/>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B7CDB"/>
    <w:rsid w:val="009C11A4"/>
    <w:rsid w:val="009C12CF"/>
    <w:rsid w:val="009C1D14"/>
    <w:rsid w:val="009C2D1A"/>
    <w:rsid w:val="009C3ACB"/>
    <w:rsid w:val="009C42C1"/>
    <w:rsid w:val="009C5883"/>
    <w:rsid w:val="009C5D1D"/>
    <w:rsid w:val="009C645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5B58"/>
    <w:rsid w:val="00A5743C"/>
    <w:rsid w:val="00A60574"/>
    <w:rsid w:val="00A61081"/>
    <w:rsid w:val="00A612AC"/>
    <w:rsid w:val="00A61A6F"/>
    <w:rsid w:val="00A620F7"/>
    <w:rsid w:val="00A628CF"/>
    <w:rsid w:val="00A62A47"/>
    <w:rsid w:val="00A64640"/>
    <w:rsid w:val="00A648BC"/>
    <w:rsid w:val="00A6543E"/>
    <w:rsid w:val="00A6582A"/>
    <w:rsid w:val="00A6644B"/>
    <w:rsid w:val="00A666B7"/>
    <w:rsid w:val="00A66C5C"/>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36E"/>
    <w:rsid w:val="00A868E5"/>
    <w:rsid w:val="00A86BDD"/>
    <w:rsid w:val="00A91A22"/>
    <w:rsid w:val="00A924F6"/>
    <w:rsid w:val="00A92C07"/>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6C00"/>
    <w:rsid w:val="00AC7046"/>
    <w:rsid w:val="00AC7553"/>
    <w:rsid w:val="00AD0F16"/>
    <w:rsid w:val="00AD322E"/>
    <w:rsid w:val="00AD35F6"/>
    <w:rsid w:val="00AD3972"/>
    <w:rsid w:val="00AD4891"/>
    <w:rsid w:val="00AD4B9F"/>
    <w:rsid w:val="00AD4DD5"/>
    <w:rsid w:val="00AD5A61"/>
    <w:rsid w:val="00AD6027"/>
    <w:rsid w:val="00AD62EA"/>
    <w:rsid w:val="00AD7350"/>
    <w:rsid w:val="00AD7A24"/>
    <w:rsid w:val="00AE0080"/>
    <w:rsid w:val="00AE0ADD"/>
    <w:rsid w:val="00AE0B87"/>
    <w:rsid w:val="00AE1C32"/>
    <w:rsid w:val="00AE23C7"/>
    <w:rsid w:val="00AE2445"/>
    <w:rsid w:val="00AE38F3"/>
    <w:rsid w:val="00AE3D2D"/>
    <w:rsid w:val="00AE4500"/>
    <w:rsid w:val="00AE5DD4"/>
    <w:rsid w:val="00AE7A0B"/>
    <w:rsid w:val="00AF04B6"/>
    <w:rsid w:val="00AF0AFA"/>
    <w:rsid w:val="00AF0DA3"/>
    <w:rsid w:val="00AF1934"/>
    <w:rsid w:val="00AF2D4C"/>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6F89"/>
    <w:rsid w:val="00B874E2"/>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6157"/>
    <w:rsid w:val="00BB7DCB"/>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34BC"/>
    <w:rsid w:val="00BF4E72"/>
    <w:rsid w:val="00BF5B1A"/>
    <w:rsid w:val="00BF607D"/>
    <w:rsid w:val="00BF7282"/>
    <w:rsid w:val="00C0099E"/>
    <w:rsid w:val="00C00D91"/>
    <w:rsid w:val="00C012CA"/>
    <w:rsid w:val="00C014F8"/>
    <w:rsid w:val="00C01E38"/>
    <w:rsid w:val="00C02E9E"/>
    <w:rsid w:val="00C03CE9"/>
    <w:rsid w:val="00C04819"/>
    <w:rsid w:val="00C04B97"/>
    <w:rsid w:val="00C04CB2"/>
    <w:rsid w:val="00C0546C"/>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230F"/>
    <w:rsid w:val="00C42BE5"/>
    <w:rsid w:val="00C43814"/>
    <w:rsid w:val="00C43CDB"/>
    <w:rsid w:val="00C43D23"/>
    <w:rsid w:val="00C446D0"/>
    <w:rsid w:val="00C455FF"/>
    <w:rsid w:val="00C45C68"/>
    <w:rsid w:val="00C45C74"/>
    <w:rsid w:val="00C50E5D"/>
    <w:rsid w:val="00C51A6D"/>
    <w:rsid w:val="00C52150"/>
    <w:rsid w:val="00C52154"/>
    <w:rsid w:val="00C53488"/>
    <w:rsid w:val="00C53AFF"/>
    <w:rsid w:val="00C53CA8"/>
    <w:rsid w:val="00C54E3E"/>
    <w:rsid w:val="00C56AF2"/>
    <w:rsid w:val="00C5769F"/>
    <w:rsid w:val="00C57837"/>
    <w:rsid w:val="00C57B22"/>
    <w:rsid w:val="00C60981"/>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4979"/>
    <w:rsid w:val="00CA49F8"/>
    <w:rsid w:val="00CA5929"/>
    <w:rsid w:val="00CA675D"/>
    <w:rsid w:val="00CA691D"/>
    <w:rsid w:val="00CA755A"/>
    <w:rsid w:val="00CA7712"/>
    <w:rsid w:val="00CB0012"/>
    <w:rsid w:val="00CB261E"/>
    <w:rsid w:val="00CB2EFF"/>
    <w:rsid w:val="00CB4102"/>
    <w:rsid w:val="00CB427B"/>
    <w:rsid w:val="00CB4913"/>
    <w:rsid w:val="00CB5916"/>
    <w:rsid w:val="00CB5E68"/>
    <w:rsid w:val="00CB7818"/>
    <w:rsid w:val="00CC3AFD"/>
    <w:rsid w:val="00CC3E5F"/>
    <w:rsid w:val="00CC41FA"/>
    <w:rsid w:val="00CC5603"/>
    <w:rsid w:val="00CC5FCD"/>
    <w:rsid w:val="00CC6D12"/>
    <w:rsid w:val="00CC72AA"/>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5578"/>
    <w:rsid w:val="00CE69ED"/>
    <w:rsid w:val="00CE6EAD"/>
    <w:rsid w:val="00CF190E"/>
    <w:rsid w:val="00CF304C"/>
    <w:rsid w:val="00CF38E5"/>
    <w:rsid w:val="00CF3D03"/>
    <w:rsid w:val="00CF4046"/>
    <w:rsid w:val="00CF45CD"/>
    <w:rsid w:val="00CF560D"/>
    <w:rsid w:val="00CF642E"/>
    <w:rsid w:val="00CF6C09"/>
    <w:rsid w:val="00CF6CE3"/>
    <w:rsid w:val="00CF6DED"/>
    <w:rsid w:val="00CF7CF6"/>
    <w:rsid w:val="00D0086D"/>
    <w:rsid w:val="00D0190C"/>
    <w:rsid w:val="00D04406"/>
    <w:rsid w:val="00D04E1C"/>
    <w:rsid w:val="00D050FF"/>
    <w:rsid w:val="00D0593D"/>
    <w:rsid w:val="00D07121"/>
    <w:rsid w:val="00D07B1F"/>
    <w:rsid w:val="00D10746"/>
    <w:rsid w:val="00D1245A"/>
    <w:rsid w:val="00D128A6"/>
    <w:rsid w:val="00D136EE"/>
    <w:rsid w:val="00D15874"/>
    <w:rsid w:val="00D16493"/>
    <w:rsid w:val="00D164F7"/>
    <w:rsid w:val="00D16A6A"/>
    <w:rsid w:val="00D17F6A"/>
    <w:rsid w:val="00D22099"/>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6CD9"/>
    <w:rsid w:val="00D66D36"/>
    <w:rsid w:val="00D66EB7"/>
    <w:rsid w:val="00D674F2"/>
    <w:rsid w:val="00D701E3"/>
    <w:rsid w:val="00D70A2F"/>
    <w:rsid w:val="00D71165"/>
    <w:rsid w:val="00D71F57"/>
    <w:rsid w:val="00D72A5F"/>
    <w:rsid w:val="00D72CD7"/>
    <w:rsid w:val="00D7392C"/>
    <w:rsid w:val="00D739BE"/>
    <w:rsid w:val="00D7411F"/>
    <w:rsid w:val="00D74577"/>
    <w:rsid w:val="00D745CD"/>
    <w:rsid w:val="00D74A68"/>
    <w:rsid w:val="00D74CE4"/>
    <w:rsid w:val="00D75B07"/>
    <w:rsid w:val="00D76273"/>
    <w:rsid w:val="00D76386"/>
    <w:rsid w:val="00D76C8F"/>
    <w:rsid w:val="00D77311"/>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8BD"/>
    <w:rsid w:val="00DB1A29"/>
    <w:rsid w:val="00DB27DF"/>
    <w:rsid w:val="00DB2976"/>
    <w:rsid w:val="00DB2F31"/>
    <w:rsid w:val="00DB3354"/>
    <w:rsid w:val="00DB3890"/>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361"/>
    <w:rsid w:val="00DE5DA2"/>
    <w:rsid w:val="00DE6165"/>
    <w:rsid w:val="00DE61CD"/>
    <w:rsid w:val="00DE66DB"/>
    <w:rsid w:val="00DE6FE6"/>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7894"/>
    <w:rsid w:val="00DF7AC5"/>
    <w:rsid w:val="00DF7E44"/>
    <w:rsid w:val="00DF7F39"/>
    <w:rsid w:val="00E02A8D"/>
    <w:rsid w:val="00E0358F"/>
    <w:rsid w:val="00E03765"/>
    <w:rsid w:val="00E03A26"/>
    <w:rsid w:val="00E0447C"/>
    <w:rsid w:val="00E05767"/>
    <w:rsid w:val="00E06C51"/>
    <w:rsid w:val="00E10A35"/>
    <w:rsid w:val="00E1139A"/>
    <w:rsid w:val="00E11576"/>
    <w:rsid w:val="00E11D18"/>
    <w:rsid w:val="00E12793"/>
    <w:rsid w:val="00E12A34"/>
    <w:rsid w:val="00E12E9C"/>
    <w:rsid w:val="00E13093"/>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5618"/>
    <w:rsid w:val="00E26C8C"/>
    <w:rsid w:val="00E27982"/>
    <w:rsid w:val="00E27BFA"/>
    <w:rsid w:val="00E313F7"/>
    <w:rsid w:val="00E31F46"/>
    <w:rsid w:val="00E325EF"/>
    <w:rsid w:val="00E32E04"/>
    <w:rsid w:val="00E332BA"/>
    <w:rsid w:val="00E34CB6"/>
    <w:rsid w:val="00E367BE"/>
    <w:rsid w:val="00E36C16"/>
    <w:rsid w:val="00E37478"/>
    <w:rsid w:val="00E40DD9"/>
    <w:rsid w:val="00E426C3"/>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E89"/>
    <w:rsid w:val="00EB2286"/>
    <w:rsid w:val="00EB272A"/>
    <w:rsid w:val="00EB27A6"/>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800"/>
    <w:rsid w:val="00EE5FCF"/>
    <w:rsid w:val="00EE6A4A"/>
    <w:rsid w:val="00EE6EDB"/>
    <w:rsid w:val="00EE6FD5"/>
    <w:rsid w:val="00EE7200"/>
    <w:rsid w:val="00EF09C7"/>
    <w:rsid w:val="00EF0E2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21E4"/>
    <w:rsid w:val="00F224E3"/>
    <w:rsid w:val="00F24DFB"/>
    <w:rsid w:val="00F2527D"/>
    <w:rsid w:val="00F25731"/>
    <w:rsid w:val="00F25CC7"/>
    <w:rsid w:val="00F25DE6"/>
    <w:rsid w:val="00F26B13"/>
    <w:rsid w:val="00F26FA8"/>
    <w:rsid w:val="00F270D8"/>
    <w:rsid w:val="00F271E9"/>
    <w:rsid w:val="00F275C9"/>
    <w:rsid w:val="00F3040E"/>
    <w:rsid w:val="00F30572"/>
    <w:rsid w:val="00F3140F"/>
    <w:rsid w:val="00F320BD"/>
    <w:rsid w:val="00F320C8"/>
    <w:rsid w:val="00F32588"/>
    <w:rsid w:val="00F32D9F"/>
    <w:rsid w:val="00F33156"/>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77D8"/>
    <w:rsid w:val="00F90728"/>
    <w:rsid w:val="00F90C4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B6660"/>
    <w:rsid w:val="00FC0122"/>
    <w:rsid w:val="00FC0EAA"/>
    <w:rsid w:val="00FC1421"/>
    <w:rsid w:val="00FC3C5E"/>
    <w:rsid w:val="00FC4B8C"/>
    <w:rsid w:val="00FC4C27"/>
    <w:rsid w:val="00FC6793"/>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E72"/>
    <w:rsid w:val="00FE6944"/>
    <w:rsid w:val="00FE734B"/>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CAF82-DF3B-44EB-BFF2-E793CB0A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1117</Words>
  <Characters>6554</Characters>
  <Application>Microsoft Office Word</Application>
  <DocSecurity>4</DocSecurity>
  <Lines>1310</Lines>
  <Paragraphs>403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2021-05-06T09:33:00Z</cp:lastPrinted>
  <dcterms:created xsi:type="dcterms:W3CDTF">2021-05-25T12:08:00Z</dcterms:created>
  <dcterms:modified xsi:type="dcterms:W3CDTF">2021-05-25T12:08:00Z</dcterms:modified>
</cp:coreProperties>
</file>