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07959" w:rsidRPr="00407959" w:rsidRDefault="00407959">
      <w:pPr>
        <w:pStyle w:val="Hemstlrubrik"/>
      </w:pPr>
      <w:r w:rsidRPr="00407959">
        <w:t>Förslag till riksdagsbeslut</w:t>
      </w:r>
    </w:p>
    <w:p w:rsidR="00407959" w:rsidRPr="00407959" w:rsidRDefault="00407959">
      <w:pPr>
        <w:pStyle w:val="Hemstlatt"/>
        <w:ind w:left="0"/>
      </w:pPr>
      <w:r w:rsidRPr="00407959">
        <w:t>Riksdagen tillkännager för regeringen som sin mening vad som anförs i motionen om att tillåta kliniska läkemedelsprövningar i akuta situationer på vuxna personer som inte själva kan lämna sa</w:t>
      </w:r>
      <w:r w:rsidRPr="00407959">
        <w:t>m</w:t>
      </w:r>
      <w:r w:rsidRPr="00407959">
        <w:t>tycke.</w:t>
      </w:r>
    </w:p>
    <w:p w:rsidR="00407959" w:rsidRPr="00407959" w:rsidRDefault="00407959">
      <w:pPr>
        <w:pStyle w:val="Rubrik1"/>
      </w:pPr>
      <w:r w:rsidRPr="00407959">
        <w:t>Motivering</w:t>
      </w:r>
    </w:p>
    <w:p w:rsidR="00407959" w:rsidRPr="00407959" w:rsidRDefault="00407959">
      <w:r w:rsidRPr="00407959">
        <w:t>Idag är det omöjligt att i Sverige, till skillnad från andra länder, genomföra kliniska prövningar i akuta situationer på vuxna personer som inte själva kan lämna samtycke. Enligt EU-direktivet om kliniska prövningar (2002/20/EG) anges att en förutsättning för deltagande i en klinisk studie för vuxna som är oförmögna att ge sitt samtycke är att ett informerat samtycke erhållits från den lagliga ställföreträdaren.</w:t>
      </w:r>
    </w:p>
    <w:p w:rsidR="00407959" w:rsidRPr="00407959" w:rsidRDefault="00407959">
      <w:pPr>
        <w:pStyle w:val="Normaltindrag"/>
      </w:pPr>
      <w:r w:rsidRPr="00407959">
        <w:t>Enligt 13 b § första stycket i läkemedelslagen (LML) ska samtycke till de</w:t>
      </w:r>
      <w:r w:rsidRPr="00407959">
        <w:t>l</w:t>
      </w:r>
      <w:r w:rsidRPr="00407959">
        <w:t>tagande i klinisk läkemedelsprövning alltid inhämtas. När det gäller personer vars mening inte kan inhämtas på grund av sjukdom, psykisk störning, fö</w:t>
      </w:r>
      <w:r w:rsidRPr="00407959">
        <w:t>r</w:t>
      </w:r>
      <w:r w:rsidRPr="00407959">
        <w:t>svagat hälsotillstånd eller något annat liknande förhållande ska samtycke inhämtas från god man eller förvaltare enligt bestämmelserna i föräldraba</w:t>
      </w:r>
      <w:r w:rsidRPr="00407959">
        <w:t>l</w:t>
      </w:r>
      <w:r w:rsidRPr="00407959">
        <w:t>ken. Sverige är det enda land som vid införandet av direktivet uppställt ett absolut krav på samtycke.</w:t>
      </w:r>
    </w:p>
    <w:p w:rsidR="00407959" w:rsidRPr="00407959" w:rsidRDefault="00407959">
      <w:pPr>
        <w:pStyle w:val="Normaltindrag"/>
      </w:pPr>
      <w:r w:rsidRPr="00407959">
        <w:t>I etikprövningslagen (2003:460) anges däremot att forskning får utföras utan samtycke om sjukdom, psykiskt stö</w:t>
      </w:r>
      <w:r w:rsidRPr="00407959">
        <w:t>rning, försvagat hälsotillstånd eller något annat liknande förhållande hos forskningspersonen hindrar att hans eller hennes mening inhämtas. Forskning utan samtycke får bara utföras om det kan förväntas ge kunskap som inte är möjlig att få genom forskning med samtycke och forskningen kan förväntas leda till direkt nytta för forskning</w:t>
      </w:r>
      <w:r w:rsidRPr="00407959">
        <w:t>s</w:t>
      </w:r>
      <w:r w:rsidRPr="00407959">
        <w:t>processen. I ett flertal fall har en etikprövningsnämnd godkänt ansökan om klinisk läkemedelsprövning på medvetslösa vuxna medan Läkemedelsverket har avslagit samma ansökan.</w:t>
      </w:r>
    </w:p>
    <w:p w:rsidR="00407959" w:rsidRPr="00407959" w:rsidRDefault="00407959">
      <w:pPr>
        <w:pStyle w:val="Normaltindrag"/>
      </w:pPr>
      <w:r w:rsidRPr="00407959">
        <w:lastRenderedPageBreak/>
        <w:t>At</w:t>
      </w:r>
      <w:r w:rsidRPr="00407959">
        <w:t>t i Sverige utse en god man eller förvaltare för studiepatienter är så tid</w:t>
      </w:r>
      <w:r w:rsidRPr="00407959">
        <w:t>s</w:t>
      </w:r>
      <w:r w:rsidRPr="00407959">
        <w:t>ödande att det inte ens vad gäller tillfälligt beslut är en tänkbar lösning. Detta medför att läkemedelsföretagen väljer att inte lägga denna typ av studier i Sverige, och risken finns att det även kan påverka genomförandet av andra läkemedelsprövningar då nationella särkrav minskar Sveriges attraktionskraft som prövningsland. Detta är inte heller förenligt med den ambition som rege</w:t>
      </w:r>
      <w:r w:rsidRPr="00407959">
        <w:t>r</w:t>
      </w:r>
      <w:r w:rsidRPr="00407959">
        <w:t>ingen uttalat om att vara ett av världens ledande f</w:t>
      </w:r>
      <w:r w:rsidRPr="00407959">
        <w:t>orskningsländer.</w:t>
      </w:r>
    </w:p>
    <w:p w:rsidR="00407959" w:rsidRPr="00407959" w:rsidRDefault="00407959">
      <w:pPr>
        <w:pStyle w:val="Normaltindrag"/>
      </w:pPr>
      <w:r w:rsidRPr="00407959">
        <w:t>Det är också viktigt att nya läkemedel prövas i Sverige under de förhålla</w:t>
      </w:r>
      <w:r w:rsidRPr="00407959">
        <w:t>n</w:t>
      </w:r>
      <w:r w:rsidRPr="00407959">
        <w:t>den som gäller inom svensk sjukvård och att det bland prövarna finns svenska läkare. Detta för att de kunskaper som själva prövningen skapar därmed finns tillgängliga på nära håll för den svenska läkarkåren. Detta ökar säkerheten för patienterna i vårt land och är en möjlighet till kunskap och utveckling som patienter och läkare i Sverige inte bör frånhända sig.</w:t>
      </w:r>
    </w:p>
    <w:p w:rsidR="00407959" w:rsidRPr="00407959" w:rsidRDefault="00407959">
      <w:pPr>
        <w:pStyle w:val="Normaltindrag"/>
      </w:pPr>
      <w:r w:rsidRPr="00407959">
        <w:t>Konsekvensen av att stå utanför möjligheten att pröva nya läkemedel i akuta situationer på vuxna personer som inte själva kan ge sitt samtycke bli</w:t>
      </w:r>
      <w:r w:rsidRPr="00407959">
        <w:t>r att svenska patienter inte kommer att få tillgång till dessa nya läkemedel i</w:t>
      </w:r>
      <w:r w:rsidRPr="00407959">
        <w:t>n</w:t>
      </w:r>
      <w:r w:rsidRPr="00407959">
        <w:t>nan de kommer ut på marknaden. Svensk sjukvård får inte den kunskap som genereras vid forskning och utveckling av nya läkemedel avseende denna patientgrupp. Därför är det angeläget och brådskande att lagstiftningen ändras så att läkemedelsprövningar på beslutsinkompetenta vuxna kan genomföras i Sverige.</w:t>
      </w:r>
    </w:p>
    <w:p w:rsidR="00407959" w:rsidRPr="00407959" w:rsidRDefault="00407959">
      <w:pPr>
        <w:pStyle w:val="Normaltindrag"/>
      </w:pPr>
      <w:r w:rsidRPr="00407959">
        <w:t>I betänkandet Frågor om förmyndare och ställföreträdare för vuxna (SOU 2004:12) föreslås i punkt 9.6 ”Företrädare för patient vi</w:t>
      </w:r>
      <w:r w:rsidRPr="00407959">
        <w:t>d forskningsåtgärd och läkemedelsprövning i akutfall” att om samtycke till en viss åtgärd från den enskildes vanlige ställföreträdare inte kan inhämtas i tid, ska särskilt utsedda företrädare få ta ställning till om samtycke ska lämnas när det gäller forskning i samband med hälso- och sjukvård och klinisk läkemedelsprövning som är inriktad på akuta situationer. De särskilda företrädarna ska höra till hälso- och sjukvårdspersonalen men ska vara självständiga eller oberoende i förhållande till forskningsverks</w:t>
      </w:r>
      <w:r w:rsidRPr="00407959">
        <w:t>amheten eller läkemedelsprövningen. Sa</w:t>
      </w:r>
      <w:r w:rsidRPr="00407959">
        <w:t>m</w:t>
      </w:r>
      <w:r w:rsidRPr="00407959">
        <w:t>tycke ska snarast inhämtas från den enskilde eller dennes vanlige ställföretr</w:t>
      </w:r>
      <w:r w:rsidRPr="00407959">
        <w:t>ä</w:t>
      </w:r>
      <w:r w:rsidRPr="00407959">
        <w:t xml:space="preserve">dare. Om samtycke inte lämnas, får vidare åtgärder inte vidtas, om det inte rör sig om att använda inhämtade data. I betänkandet föreslogs att ny lagstiftning skulle träda i kraft den 1 juli 2007 vilket inte skedde. Det är nu angeläget att det färdiga förslaget läggs på riksdagens bord snarast möjligt.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407959">
        <w:trPr>
          <w:cantSplit/>
        </w:trPr>
        <w:tc>
          <w:tcPr>
            <w:tcW w:w="3046" w:type="dxa"/>
          </w:tcPr>
          <w:p w:rsidR="00407959" w:rsidRPr="00407959" w:rsidRDefault="00407959">
            <w:pPr>
              <w:pStyle w:val="UnderskriftDatum"/>
              <w:spacing w:before="240"/>
            </w:pPr>
            <w:r w:rsidRPr="00407959">
              <w:t>Stockholm den 25 september 2008</w:t>
            </w:r>
          </w:p>
        </w:tc>
        <w:tc>
          <w:tcPr>
            <w:tcW w:w="3047" w:type="dxa"/>
          </w:tcPr>
          <w:p w:rsidR="00407959" w:rsidRPr="00407959" w:rsidRDefault="00407959">
            <w:pPr>
              <w:pStyle w:val="Underskrifter"/>
              <w:spacing w:before="240"/>
            </w:pPr>
          </w:p>
        </w:tc>
      </w:tr>
      <w:tr w:rsidR="00000000" w:rsidRPr="00407959">
        <w:trPr>
          <w:cantSplit/>
        </w:trPr>
        <w:tc>
          <w:tcPr>
            <w:tcW w:w="3046" w:type="dxa"/>
          </w:tcPr>
          <w:p w:rsidR="00407959" w:rsidRPr="00407959" w:rsidRDefault="00407959">
            <w:pPr>
              <w:pStyle w:val="Underskrifter"/>
            </w:pPr>
            <w:r w:rsidRPr="00407959">
              <w:t>Cecilia Magnusson (m)</w:t>
            </w:r>
          </w:p>
        </w:tc>
        <w:tc>
          <w:tcPr>
            <w:tcW w:w="3046" w:type="dxa"/>
          </w:tcPr>
          <w:p w:rsidR="00407959" w:rsidRPr="00407959" w:rsidRDefault="00407959">
            <w:pPr>
              <w:pStyle w:val="Underskrifter"/>
            </w:pPr>
          </w:p>
        </w:tc>
      </w:tr>
    </w:tbl>
    <w:p w:rsidR="00407959" w:rsidRPr="00407959" w:rsidRDefault="00407959">
      <w:pPr>
        <w:pStyle w:val="Normaltindrag"/>
      </w:pPr>
    </w:p>
    <w:sectPr w:rsidR="00000000" w:rsidRPr="00407959">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07959" w:rsidRPr="00407959" w:rsidRDefault="00407959">
      <w:r w:rsidRPr="00407959">
        <w:separator/>
      </w:r>
    </w:p>
  </w:endnote>
  <w:endnote w:type="continuationSeparator" w:id="0">
    <w:p w:rsidR="00407959" w:rsidRPr="00407959" w:rsidRDefault="00407959">
      <w:r w:rsidRPr="0040795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07959" w:rsidRPr="00407959" w:rsidRDefault="00407959">
    <w:pPr>
      <w:pStyle w:val="Sidfot"/>
    </w:pPr>
    <w:r w:rsidRPr="0040795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718079027"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07959" w:rsidRDefault="00407959">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07959" w:rsidRDefault="00407959">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07959" w:rsidRPr="00407959" w:rsidRDefault="00407959">
    <w:pPr>
      <w:pStyle w:val="Sidfot"/>
    </w:pPr>
    <w:r w:rsidRPr="0040795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73319206"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07959" w:rsidRDefault="0040795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07959" w:rsidRDefault="0040795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07959" w:rsidRPr="00407959" w:rsidRDefault="00407959">
    <w:pPr>
      <w:pStyle w:val="Sidfot"/>
    </w:pPr>
    <w:r w:rsidRPr="0040795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1396437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07959" w:rsidRDefault="0040795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07959" w:rsidRDefault="0040795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07959" w:rsidRPr="00407959" w:rsidRDefault="00407959">
      <w:r w:rsidRPr="00407959">
        <w:separator/>
      </w:r>
    </w:p>
  </w:footnote>
  <w:footnote w:type="continuationSeparator" w:id="0">
    <w:p w:rsidR="00407959" w:rsidRPr="00407959" w:rsidRDefault="00407959">
      <w:r w:rsidRPr="0040795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07959" w:rsidRPr="00407959" w:rsidRDefault="00407959">
    <w:pPr>
      <w:pStyle w:val="Sidhuvud"/>
    </w:pPr>
    <w:r w:rsidRPr="0040795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08617381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07959" w:rsidRDefault="00407959">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So304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07959" w:rsidRDefault="00407959">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So304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07959" w:rsidRPr="00407959" w:rsidRDefault="00407959">
    <w:pPr>
      <w:pStyle w:val="Sidhuvud"/>
    </w:pPr>
    <w:r w:rsidRPr="0040795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63251732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07959" w:rsidRDefault="00407959">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So304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07959" w:rsidRDefault="00407959">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So304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07959" w:rsidRPr="00407959" w:rsidRDefault="00407959">
    <w:pPr>
      <w:pStyle w:val="FSHNormal"/>
      <w:tabs>
        <w:tab w:val="right" w:pos="5840"/>
      </w:tabs>
    </w:pPr>
    <w:r w:rsidRPr="00407959">
      <w:br/>
    </w:r>
    <w:r w:rsidRPr="00407959">
      <w:fldChar w:fldCharType="begin" w:fldLock="1"/>
    </w:r>
    <w:r w:rsidRPr="00407959">
      <w:instrText xml:space="preserve"> DOCPROPERTY</w:instrText>
    </w:r>
    <w:r w:rsidRPr="00407959">
      <w:rPr>
        <w:sz w:val="18"/>
      </w:rPr>
      <w:instrText xml:space="preserve"> "YearUser" *\charformat </w:instrText>
    </w:r>
    <w:r w:rsidRPr="00407959">
      <w:fldChar w:fldCharType="separate"/>
    </w:r>
    <w:r w:rsidRPr="00407959">
      <w:t>2008/09</w:t>
    </w:r>
    <w:r w:rsidRPr="00407959">
      <w:fldChar w:fldCharType="end"/>
    </w:r>
    <w:r w:rsidRPr="00407959">
      <w:t xml:space="preserve"> </w:t>
    </w:r>
    <w:r w:rsidRPr="00407959">
      <w:tab/>
      <w:t xml:space="preserve">mnr: </w:t>
    </w:r>
    <w:r w:rsidRPr="00407959">
      <w:fldChar w:fldCharType="begin" w:fldLock="1"/>
    </w:r>
    <w:r w:rsidRPr="00407959">
      <w:instrText xml:space="preserve"> DOCPROPERTY</w:instrText>
    </w:r>
    <w:r w:rsidRPr="00407959">
      <w:rPr>
        <w:sz w:val="18"/>
      </w:rPr>
      <w:instrText xml:space="preserve"> "Motionsnummer" *\charformat </w:instrText>
    </w:r>
    <w:r w:rsidRPr="00407959">
      <w:fldChar w:fldCharType="separate"/>
    </w:r>
    <w:r w:rsidRPr="00407959">
      <w:t>So304</w:t>
    </w:r>
    <w:r w:rsidRPr="00407959">
      <w:fldChar w:fldCharType="end"/>
    </w:r>
    <w:r w:rsidRPr="00407959">
      <w:br/>
    </w:r>
    <w:r w:rsidRPr="00407959">
      <w:fldChar w:fldCharType="begin" w:fldLock="1"/>
    </w:r>
    <w:r w:rsidRPr="00407959">
      <w:instrText xml:space="preserve"> DOCPROPERTY</w:instrText>
    </w:r>
    <w:r w:rsidRPr="00407959">
      <w:rPr>
        <w:sz w:val="18"/>
      </w:rPr>
      <w:instrText xml:space="preserve"> "Samling" *\charformat </w:instrText>
    </w:r>
    <w:r w:rsidRPr="00407959">
      <w:fldChar w:fldCharType="end"/>
    </w:r>
    <w:r w:rsidRPr="00407959">
      <w:tab/>
      <w:t xml:space="preserve">pnr: </w:t>
    </w:r>
    <w:r w:rsidRPr="00407959">
      <w:fldChar w:fldCharType="begin" w:fldLock="1"/>
    </w:r>
    <w:r w:rsidRPr="00407959">
      <w:instrText xml:space="preserve"> DOCPROPERTY</w:instrText>
    </w:r>
    <w:r w:rsidRPr="00407959">
      <w:rPr>
        <w:sz w:val="18"/>
      </w:rPr>
      <w:instrText xml:space="preserve"> "Partinummer" *\charformat </w:instrText>
    </w:r>
    <w:r w:rsidRPr="00407959">
      <w:fldChar w:fldCharType="separate"/>
    </w:r>
    <w:r w:rsidRPr="00407959">
      <w:t>m1278</w:t>
    </w:r>
    <w:r w:rsidRPr="00407959">
      <w:fldChar w:fldCharType="end"/>
    </w:r>
  </w:p>
  <w:p w:rsidR="00407959" w:rsidRPr="00407959" w:rsidRDefault="00407959">
    <w:pPr>
      <w:pStyle w:val="FSHRub1"/>
    </w:pPr>
    <w:r w:rsidRPr="00407959">
      <w:t>Motion till riksdagen</w:t>
    </w:r>
    <w:r w:rsidRPr="00407959">
      <w:br/>
    </w:r>
    <w:r w:rsidRPr="00407959">
      <w:fldChar w:fldCharType="begin" w:fldLock="1"/>
    </w:r>
    <w:r w:rsidRPr="00407959">
      <w:instrText xml:space="preserve"> DOCPROPERTY "YearUser" *\charformat </w:instrText>
    </w:r>
    <w:r w:rsidRPr="00407959">
      <w:fldChar w:fldCharType="separate"/>
    </w:r>
    <w:r w:rsidRPr="00407959">
      <w:t>2008/09</w:t>
    </w:r>
    <w:r w:rsidRPr="00407959">
      <w:fldChar w:fldCharType="end"/>
    </w:r>
    <w:r w:rsidRPr="00407959">
      <w:t>:</w:t>
    </w:r>
    <w:r w:rsidRPr="00407959">
      <w:fldChar w:fldCharType="begin" w:fldLock="1"/>
    </w:r>
    <w:r w:rsidRPr="00407959">
      <w:instrText xml:space="preserve"> DOCPROPERTY "Motionsnummer" *\charformat </w:instrText>
    </w:r>
    <w:r w:rsidRPr="00407959">
      <w:fldChar w:fldCharType="separate"/>
    </w:r>
    <w:r w:rsidRPr="00407959">
      <w:t>So304</w:t>
    </w:r>
    <w:r w:rsidRPr="00407959">
      <w:fldChar w:fldCharType="end"/>
    </w:r>
  </w:p>
  <w:p w:rsidR="00407959" w:rsidRPr="00407959" w:rsidRDefault="00407959">
    <w:pPr>
      <w:pStyle w:val="FSHNormalS5"/>
    </w:pPr>
    <w:r w:rsidRPr="00407959">
      <w:fldChar w:fldCharType="begin" w:fldLock="1"/>
    </w:r>
    <w:r w:rsidRPr="00407959">
      <w:instrText xml:space="preserve"> DOCPROPERTY "MotionarText" *\charformat </w:instrText>
    </w:r>
    <w:r w:rsidRPr="00407959">
      <w:fldChar w:fldCharType="separate"/>
    </w:r>
    <w:r w:rsidRPr="00407959">
      <w:t>av Cecilia Magnusson (m)</w:t>
    </w:r>
    <w:r w:rsidRPr="00407959">
      <w:fldChar w:fldCharType="end"/>
    </w:r>
    <w:r w:rsidRPr="00407959">
      <w:br/>
    </w:r>
    <w:r w:rsidRPr="00407959">
      <w:fldChar w:fldCharType="begin" w:fldLock="1"/>
    </w:r>
    <w:r w:rsidRPr="00407959">
      <w:instrText xml:space="preserve"> DOCPROPERTY "SvarFrasKort" *\charformat </w:instrText>
    </w:r>
    <w:r w:rsidRPr="00407959">
      <w:fldChar w:fldCharType="end"/>
    </w:r>
  </w:p>
  <w:p w:rsidR="00407959" w:rsidRPr="00407959" w:rsidRDefault="00407959">
    <w:pPr>
      <w:pStyle w:val="FSHTitel"/>
    </w:pPr>
    <w:r w:rsidRPr="00407959">
      <w:fldChar w:fldCharType="begin" w:fldLock="1"/>
    </w:r>
    <w:r w:rsidRPr="00407959">
      <w:instrText xml:space="preserve"> DOCPROPERTY</w:instrText>
    </w:r>
    <w:r w:rsidRPr="00407959">
      <w:rPr>
        <w:sz w:val="18"/>
      </w:rPr>
      <w:instrText xml:space="preserve"> "RubrikSvar" *\charformat </w:instrText>
    </w:r>
    <w:r w:rsidRPr="00407959">
      <w:fldChar w:fldCharType="separate"/>
    </w:r>
    <w:r w:rsidRPr="00407959">
      <w:t xml:space="preserve">Klinisk läkemedelsprövning </w:t>
    </w:r>
    <w:r w:rsidRPr="00407959">
      <w:fldChar w:fldCharType="end"/>
    </w:r>
  </w:p>
  <w:p w:rsidR="00407959" w:rsidRPr="00407959" w:rsidRDefault="00407959">
    <w:pPr>
      <w:pStyle w:val="Normal00"/>
    </w:pPr>
  </w:p>
  <w:p w:rsidR="00407959" w:rsidRPr="00407959" w:rsidRDefault="0040795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27803316">
    <w:abstractNumId w:val="8"/>
  </w:num>
  <w:num w:numId="2" w16cid:durableId="1358315840">
    <w:abstractNumId w:val="9"/>
  </w:num>
  <w:num w:numId="3" w16cid:durableId="1738438417">
    <w:abstractNumId w:val="8"/>
  </w:num>
  <w:num w:numId="4" w16cid:durableId="546138349">
    <w:abstractNumId w:val="9"/>
  </w:num>
  <w:num w:numId="5" w16cid:durableId="171187337">
    <w:abstractNumId w:val="13"/>
  </w:num>
  <w:num w:numId="6" w16cid:durableId="1469937506">
    <w:abstractNumId w:val="10"/>
  </w:num>
  <w:num w:numId="7" w16cid:durableId="834541009">
    <w:abstractNumId w:val="11"/>
  </w:num>
  <w:num w:numId="8" w16cid:durableId="914247826">
    <w:abstractNumId w:val="12"/>
  </w:num>
  <w:num w:numId="9" w16cid:durableId="715279102">
    <w:abstractNumId w:val="8"/>
  </w:num>
  <w:num w:numId="10" w16cid:durableId="655842210">
    <w:abstractNumId w:val="3"/>
  </w:num>
  <w:num w:numId="11" w16cid:durableId="704142039">
    <w:abstractNumId w:val="2"/>
  </w:num>
  <w:num w:numId="12" w16cid:durableId="878904373">
    <w:abstractNumId w:val="1"/>
  </w:num>
  <w:num w:numId="13" w16cid:durableId="72896403">
    <w:abstractNumId w:val="0"/>
  </w:num>
  <w:num w:numId="14" w16cid:durableId="292563331">
    <w:abstractNumId w:val="9"/>
  </w:num>
  <w:num w:numId="15" w16cid:durableId="1361785282">
    <w:abstractNumId w:val="7"/>
  </w:num>
  <w:num w:numId="16" w16cid:durableId="409811206">
    <w:abstractNumId w:val="6"/>
  </w:num>
  <w:num w:numId="17" w16cid:durableId="1381511386">
    <w:abstractNumId w:val="5"/>
  </w:num>
  <w:num w:numId="18" w16cid:durableId="139103286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512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25"/>
    <w:docVar w:name="PersonGUIDs" w:val="{F6873582-1A2E-435B-9047-E6FA82E06CEC}"/>
  </w:docVars>
  <w:rsids>
    <w:rsidRoot w:val="00543A75"/>
    <w:rsid w:val="00407959"/>
    <w:rsid w:val="00543A75"/>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3"/>
    </o:shapelayout>
  </w:shapeDefaults>
  <w:decimalSymbol w:val=","/>
  <w:listSeparator w:val=";"/>
  <w15:chartTrackingRefBased/>
  <w15:docId w15:val="{3E664770-5089-4FA9-A49C-51A3BE60BC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638</Words>
  <Characters>3732</Characters>
  <Application>Microsoft Office Word</Application>
  <DocSecurity>4</DocSecurity>
  <Lines>66</Lines>
  <Paragraphs>14</Paragraphs>
  <ScaleCrop>false</ScaleCrop>
  <HeadingPairs>
    <vt:vector size="2" baseType="variant">
      <vt:variant>
        <vt:lpstr>Rubrik</vt:lpstr>
      </vt:variant>
      <vt:variant>
        <vt:i4>1</vt:i4>
      </vt:variant>
    </vt:vector>
  </HeadingPairs>
  <TitlesOfParts>
    <vt:vector size="1" baseType="lpstr">
      <vt:lpstr>m1278</vt:lpstr>
    </vt:vector>
  </TitlesOfParts>
  <Company>Riksdagen</Company>
  <LinksUpToDate>false</LinksUpToDate>
  <CharactersWithSpaces>4356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m1278</dc:title>
  <dc:subject>m1278</dc:subject>
  <dc:creator>Riksdagen</dc:creator>
  <cp:keywords>Riksdagen</cp:keywords>
  <dc:description>TKG-ktrl, MSMQ4mb, PersReg-Distribution mm b-&gt;ny fplogga</dc:description>
  <cp:lastModifiedBy>Lars Brink</cp:lastModifiedBy>
  <cp:revision>2</cp:revision>
  <cp:lastPrinted>2008-12-08T15:08:00Z</cp:lastPrinted>
  <dcterms:created xsi:type="dcterms:W3CDTF">2025-12-17T18:30:00Z</dcterms:created>
  <dcterms:modified xsi:type="dcterms:W3CDTF">2025-12-17T18:30:00Z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mot2000_495_2008-09-25</vt:lpwstr>
  </property>
  <property fmtid="{D5CDD505-2E9C-101B-9397-08002B2CF9AE}" pid="3" name="version">
    <vt:lpwstr>mot2000_495_2008-09-25</vt:lpwstr>
  </property>
  <property fmtid="{D5CDD505-2E9C-101B-9397-08002B2CF9AE}" pid="4" name="dokumenttyp">
    <vt:lpwstr>motion</vt:lpwstr>
  </property>
  <property fmtid="{D5CDD505-2E9C-101B-9397-08002B2CF9AE}" pid="5" name="Sekr">
    <vt:lpwstr>fj</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Klinisk läkemedelsprövning </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Klinisk läkemedelsprövning </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m1278</vt:lpwstr>
  </property>
  <property fmtid="{D5CDD505-2E9C-101B-9397-08002B2CF9AE}" pid="18" name="ArbRubr">
    <vt:lpwstr>Klinisk läkemedelsprövning av beslutsinkompetenta</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Cecilia Magnusson (m)</vt:lpwstr>
  </property>
  <property fmtid="{D5CDD505-2E9C-101B-9397-08002B2CF9AE}" pid="26" name="MotionarLista">
    <vt:lpwstr>Magnusson, Cecilia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Cecilia Magnusson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So304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25 september 2008</vt:lpwstr>
  </property>
  <property fmtid="{D5CDD505-2E9C-101B-9397-08002B2CF9AE}" pid="44" name="NotesUID">
    <vt:lpwstr>frida.jacobsson@riksdagen.se</vt:lpwstr>
  </property>
  <property fmtid="{D5CDD505-2E9C-101B-9397-08002B2CF9AE}" pid="45" name="ReservUID">
    <vt:lpwstr>fa0703aa</vt:lpwstr>
  </property>
  <property fmtid="{D5CDD505-2E9C-101B-9397-08002B2CF9AE}" pid="46" name="MotionID">
    <vt:lpwstr>20082009000000000109000012780069</vt:lpwstr>
  </property>
  <property fmtid="{D5CDD505-2E9C-101B-9397-08002B2CF9AE}" pid="47" name="datum">
    <vt:lpwstr>080925</vt:lpwstr>
  </property>
  <property fmtid="{D5CDD505-2E9C-101B-9397-08002B2CF9AE}" pid="48" name="avsändar-e-post">
    <vt:lpwstr>frida.jacobsson@riksdagen.se</vt:lpwstr>
  </property>
  <property fmtid="{D5CDD505-2E9C-101B-9397-08002B2CF9AE}" pid="49" name="id">
    <vt:lpwstr>20082009000000000109000012780069</vt:lpwstr>
  </property>
  <property fmtid="{D5CDD505-2E9C-101B-9397-08002B2CF9AE}" pid="50" name="nummer">
    <vt:lpwstr>304</vt:lpwstr>
  </property>
  <property fmtid="{D5CDD505-2E9C-101B-9397-08002B2CF9AE}" pid="51" name="utskottsbeteckning">
    <vt:lpwstr>So</vt:lpwstr>
  </property>
  <property fmtid="{D5CDD505-2E9C-101B-9397-08002B2CF9AE}" pid="52" name="GlobalUID">
    <vt:lpwstr>{D397B9AC-DFA7-494C-B70B-CFC3148675B5}</vt:lpwstr>
  </property>
  <property fmtid="{D5CDD505-2E9C-101B-9397-08002B2CF9AE}" pid="53" name="Överföringar">
    <vt:i4>0</vt:i4>
  </property>
  <property fmtid="{D5CDD505-2E9C-101B-9397-08002B2CF9AE}" pid="54" name="Checksum">
    <vt:lpwstr>*1006684450277*</vt:lpwstr>
  </property>
  <property fmtid="{D5CDD505-2E9C-101B-9397-08002B2CF9AE}" pid="55" name="skuggnummer">
    <vt:lpwstr>877</vt:lpwstr>
  </property>
  <property fmtid="{D5CDD505-2E9C-101B-9397-08002B2CF9AE}" pid="56" name="urixVersion">
    <vt:lpwstr>3.2.0.8</vt:lpwstr>
  </property>
  <property fmtid="{D5CDD505-2E9C-101B-9397-08002B2CF9AE}" pid="57" name="urixOrigin">
    <vt:lpwstr>090401 17:53:53.581</vt:lpwstr>
  </property>
  <property fmtid="{D5CDD505-2E9C-101B-9397-08002B2CF9AE}" pid="58" name="urixGuid">
    <vt:lpwstr>{857525EE-CC14-4ECA-A6F3-6330B409120B}</vt:lpwstr>
  </property>
</Properties>
</file>