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7F4080">
              <w:rPr>
                <w:b/>
                <w:sz w:val="22"/>
                <w:szCs w:val="22"/>
              </w:rPr>
              <w:t>1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7F4080">
              <w:rPr>
                <w:b/>
                <w:sz w:val="22"/>
                <w:szCs w:val="22"/>
              </w:rPr>
              <w:t>2</w:t>
            </w:r>
            <w:r w:rsidR="003B57EC">
              <w:rPr>
                <w:b/>
                <w:sz w:val="22"/>
                <w:szCs w:val="22"/>
              </w:rPr>
              <w:t>:</w:t>
            </w:r>
            <w:r w:rsidR="004F5F44">
              <w:rPr>
                <w:b/>
                <w:sz w:val="22"/>
                <w:szCs w:val="22"/>
              </w:rPr>
              <w:t>11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0E349B">
              <w:rPr>
                <w:sz w:val="22"/>
                <w:szCs w:val="22"/>
              </w:rPr>
              <w:t>10</w:t>
            </w:r>
            <w:r w:rsidR="00374911">
              <w:rPr>
                <w:sz w:val="22"/>
                <w:szCs w:val="22"/>
              </w:rPr>
              <w:t>-</w:t>
            </w:r>
            <w:r w:rsidR="004F5F44">
              <w:rPr>
                <w:sz w:val="22"/>
                <w:szCs w:val="22"/>
              </w:rPr>
              <w:t>21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5F44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7C416D" w:rsidRPr="00B40F4D">
              <w:rPr>
                <w:sz w:val="22"/>
                <w:szCs w:val="22"/>
              </w:rPr>
              <w:t>– 11.</w:t>
            </w:r>
            <w:r w:rsidR="007C416D">
              <w:rPr>
                <w:sz w:val="22"/>
                <w:szCs w:val="22"/>
              </w:rPr>
              <w:t>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7C416D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7C416D">
              <w:rPr>
                <w:sz w:val="22"/>
                <w:szCs w:val="22"/>
              </w:rPr>
              <w:t>Maria Gardfjell (MP), Hanna Westerén (S), Isak From (S),</w:t>
            </w:r>
            <w:r w:rsidR="00DB1D54" w:rsidRPr="007C416D">
              <w:rPr>
                <w:sz w:val="22"/>
                <w:szCs w:val="22"/>
              </w:rPr>
              <w:t xml:space="preserve"> </w:t>
            </w:r>
            <w:r w:rsidR="00C22E5F" w:rsidRPr="007C416D">
              <w:rPr>
                <w:sz w:val="22"/>
                <w:szCs w:val="22"/>
              </w:rPr>
              <w:t xml:space="preserve">John Widegren (M), Runar Filper (SD), Magnus Manhammar (S), Betty Malmberg (M), </w:t>
            </w:r>
            <w:r w:rsidR="003B009D" w:rsidRPr="007C416D">
              <w:rPr>
                <w:sz w:val="22"/>
                <w:szCs w:val="22"/>
              </w:rPr>
              <w:t xml:space="preserve">Martin Kinnunen (SD), </w:t>
            </w:r>
            <w:r w:rsidR="00C22E5F" w:rsidRPr="007C416D">
              <w:rPr>
                <w:sz w:val="22"/>
                <w:szCs w:val="22"/>
              </w:rPr>
              <w:t xml:space="preserve">Malin Larsson (S), Magnus Oscarsson (KD), </w:t>
            </w:r>
            <w:r w:rsidR="003B009D" w:rsidRPr="007C416D">
              <w:rPr>
                <w:sz w:val="22"/>
                <w:szCs w:val="22"/>
              </w:rPr>
              <w:t xml:space="preserve">Marlene Burwick (S), </w:t>
            </w:r>
            <w:r w:rsidR="00CA0AAD" w:rsidRPr="007C416D">
              <w:rPr>
                <w:sz w:val="22"/>
                <w:szCs w:val="22"/>
              </w:rPr>
              <w:t>Jakob Olofsgård</w:t>
            </w:r>
            <w:r w:rsidR="00C22E5F" w:rsidRPr="007C416D">
              <w:rPr>
                <w:sz w:val="22"/>
                <w:szCs w:val="22"/>
              </w:rPr>
              <w:t xml:space="preserve"> (L), </w:t>
            </w:r>
            <w:r w:rsidR="00B92FE4" w:rsidRPr="007C416D">
              <w:rPr>
                <w:sz w:val="22"/>
                <w:szCs w:val="22"/>
              </w:rPr>
              <w:t xml:space="preserve">Staffan Eklöf (SD), </w:t>
            </w:r>
            <w:r w:rsidR="003B009D" w:rsidRPr="007C416D">
              <w:rPr>
                <w:sz w:val="22"/>
                <w:szCs w:val="22"/>
              </w:rPr>
              <w:t xml:space="preserve">Ulrika Heie (C), </w:t>
            </w:r>
            <w:r w:rsidR="00DB1D54" w:rsidRPr="007C416D">
              <w:rPr>
                <w:sz w:val="22"/>
                <w:szCs w:val="22"/>
              </w:rPr>
              <w:t xml:space="preserve">Markus Selin (S), </w:t>
            </w:r>
            <w:r w:rsidR="00C22E5F" w:rsidRPr="007C416D">
              <w:rPr>
                <w:sz w:val="22"/>
                <w:szCs w:val="22"/>
              </w:rPr>
              <w:t xml:space="preserve">Marléne Lund Kopparklint (M), Yasmine Eriksson (SD), </w:t>
            </w:r>
            <w:r w:rsidR="009802CA" w:rsidRPr="007C416D">
              <w:rPr>
                <w:sz w:val="22"/>
                <w:szCs w:val="22"/>
              </w:rPr>
              <w:t>Mats Nordberg (SD),</w:t>
            </w:r>
            <w:r w:rsidR="003B009D" w:rsidRPr="007C416D">
              <w:rPr>
                <w:sz w:val="22"/>
                <w:szCs w:val="22"/>
              </w:rPr>
              <w:t xml:space="preserve"> </w:t>
            </w:r>
            <w:r w:rsidR="00C22E5F" w:rsidRPr="007C416D">
              <w:rPr>
                <w:sz w:val="22"/>
                <w:szCs w:val="22"/>
              </w:rPr>
              <w:t xml:space="preserve">Kjell-Arne Ottosson (KD), Jon Thorbjörnsson (V) och Peter Helander (C). </w:t>
            </w:r>
          </w:p>
          <w:p w:rsidR="007027D6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4F5F44" w:rsidRPr="004F5F44" w:rsidRDefault="004F5F44" w:rsidP="007555BE">
            <w:pPr>
              <w:rPr>
                <w:sz w:val="22"/>
                <w:szCs w:val="22"/>
              </w:rPr>
            </w:pPr>
            <w:r w:rsidRPr="007C416D">
              <w:rPr>
                <w:sz w:val="22"/>
                <w:szCs w:val="22"/>
              </w:rPr>
              <w:t>En</w:t>
            </w:r>
            <w:r w:rsidRPr="00D71E64">
              <w:rPr>
                <w:sz w:val="22"/>
                <w:szCs w:val="22"/>
              </w:rPr>
              <w:t xml:space="preserve"> tjänsteman från miljö- och jordbruksutskottets kansli var uppkopplad på distans.</w:t>
            </w:r>
          </w:p>
          <w:p w:rsidR="00305501" w:rsidRPr="00B40F4D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F4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5D2E63" w:rsidRPr="00B40F4D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87D66" w:rsidRDefault="00D87D66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4F5F44" w:rsidRDefault="004F5F44" w:rsidP="004F5F4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protokollen 2021/22:8 och 9.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F4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7A1132" w:rsidRDefault="004F5F44" w:rsidP="00201DCD">
            <w:pPr>
              <w:rPr>
                <w:b/>
                <w:snapToGrid w:val="0"/>
                <w:sz w:val="22"/>
                <w:szCs w:val="22"/>
              </w:rPr>
            </w:pPr>
            <w:r w:rsidRPr="004F5F44">
              <w:rPr>
                <w:b/>
                <w:snapToGrid w:val="0"/>
                <w:sz w:val="22"/>
                <w:szCs w:val="22"/>
              </w:rPr>
              <w:t>Utgiftsramar för utgiftsområdena 20 Allmän miljö- och naturvård och 23 Areella näringar, landsbygd och livsmedel (MJU1y)</w:t>
            </w:r>
          </w:p>
          <w:p w:rsidR="004F5F44" w:rsidRDefault="004F5F4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F5F44" w:rsidRDefault="004F5F44" w:rsidP="004F5F4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555B4">
              <w:rPr>
                <w:color w:val="000000"/>
                <w:sz w:val="22"/>
                <w:szCs w:val="22"/>
              </w:rPr>
              <w:t xml:space="preserve">Utskottet </w:t>
            </w:r>
            <w:r w:rsidR="00ED46B6">
              <w:rPr>
                <w:color w:val="000000"/>
                <w:sz w:val="22"/>
                <w:szCs w:val="22"/>
              </w:rPr>
              <w:t xml:space="preserve">fortsatte </w:t>
            </w:r>
            <w:r w:rsidRPr="005555B4">
              <w:rPr>
                <w:color w:val="000000"/>
                <w:sz w:val="22"/>
                <w:szCs w:val="22"/>
              </w:rPr>
              <w:t xml:space="preserve">behandla </w:t>
            </w:r>
            <w:r w:rsidR="008B7D1B">
              <w:rPr>
                <w:color w:val="000000"/>
                <w:sz w:val="22"/>
                <w:szCs w:val="22"/>
              </w:rPr>
              <w:t xml:space="preserve">ett </w:t>
            </w:r>
            <w:r w:rsidRPr="005555B4">
              <w:rPr>
                <w:color w:val="000000"/>
                <w:sz w:val="22"/>
                <w:szCs w:val="22"/>
              </w:rPr>
              <w:t>yttrande till finansutskottet över proposition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5555B4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555B4">
              <w:rPr>
                <w:color w:val="000000"/>
                <w:sz w:val="22"/>
                <w:szCs w:val="22"/>
              </w:rPr>
              <w:t xml:space="preserve">:1, </w:t>
            </w:r>
            <w:r w:rsidRPr="005555B4">
              <w:rPr>
                <w:sz w:val="22"/>
                <w:szCs w:val="22"/>
              </w:rPr>
              <w:t>när det gäller utgiftsramar för utgiftsområdena 20 och 23.</w:t>
            </w:r>
            <w:r w:rsidRPr="005555B4">
              <w:rPr>
                <w:b/>
                <w:i/>
                <w:color w:val="000000"/>
                <w:sz w:val="22"/>
                <w:szCs w:val="22"/>
                <w:highlight w:val="yellow"/>
              </w:rPr>
              <w:br/>
            </w:r>
            <w:r w:rsidRPr="009509C8">
              <w:rPr>
                <w:b/>
                <w:i/>
                <w:color w:val="000000"/>
                <w:sz w:val="22"/>
                <w:szCs w:val="22"/>
              </w:rPr>
              <w:br/>
            </w: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4F5F44" w:rsidRPr="004F5F44" w:rsidRDefault="004F5F44" w:rsidP="004F5F44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B40F4D" w:rsidTr="00201DCD">
        <w:tc>
          <w:tcPr>
            <w:tcW w:w="567" w:type="dxa"/>
          </w:tcPr>
          <w:p w:rsidR="005D2E63" w:rsidRPr="00B40F4D" w:rsidRDefault="004F5F4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5D2E63" w:rsidRDefault="004F5F44" w:rsidP="007C416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F5F44">
              <w:rPr>
                <w:b/>
                <w:snapToGrid w:val="0"/>
                <w:sz w:val="22"/>
                <w:szCs w:val="22"/>
              </w:rPr>
              <w:t>Lagstiftningsåtgärder med anledning av EU:s gröna taxonomiförordning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5555B4">
              <w:rPr>
                <w:color w:val="000000"/>
                <w:sz w:val="22"/>
                <w:szCs w:val="22"/>
              </w:rPr>
              <w:t>Utskottet behandlade frågan om yttrande till finansutskottet över proposition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5555B4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555B4">
              <w:rPr>
                <w:color w:val="000000"/>
                <w:sz w:val="22"/>
                <w:szCs w:val="22"/>
              </w:rPr>
              <w:t>:1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5555B4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lagstiftningsåtgärder med anledning av EU:s gröna taxonomiförordning. </w:t>
            </w:r>
            <w:r w:rsidRPr="005555B4">
              <w:rPr>
                <w:b/>
                <w:i/>
                <w:color w:val="000000"/>
                <w:sz w:val="22"/>
                <w:szCs w:val="22"/>
                <w:highlight w:val="yellow"/>
              </w:rPr>
              <w:br/>
            </w:r>
            <w:r w:rsidRPr="009509C8">
              <w:rPr>
                <w:b/>
                <w:i/>
                <w:color w:val="000000"/>
                <w:sz w:val="22"/>
                <w:szCs w:val="22"/>
              </w:rPr>
              <w:br/>
            </w:r>
            <w:r w:rsidRPr="007C41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7C416D" w:rsidRPr="007C41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inte </w:t>
            </w:r>
            <w:r w:rsidRPr="007C41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yttra sig.</w:t>
            </w:r>
            <w:r w:rsidR="00C544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C544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Denna paragraf förklarades omedelbart justerad. </w:t>
            </w:r>
          </w:p>
          <w:p w:rsidR="00C54407" w:rsidRPr="007C416D" w:rsidRDefault="00C54407" w:rsidP="007C416D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4F5F44" w:rsidRPr="00B40F4D" w:rsidTr="00201DCD">
        <w:tc>
          <w:tcPr>
            <w:tcW w:w="567" w:type="dxa"/>
          </w:tcPr>
          <w:p w:rsidR="004F5F44" w:rsidRDefault="004F5F4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7C416D" w:rsidRPr="007C416D" w:rsidRDefault="004F5F44" w:rsidP="004F5F44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F5F44">
              <w:rPr>
                <w:b/>
                <w:snapToGrid w:val="0"/>
                <w:sz w:val="22"/>
                <w:szCs w:val="22"/>
              </w:rPr>
              <w:t>Ny EU-skogsstrategi för 2030 (MJU8)</w:t>
            </w:r>
            <w:r w:rsidR="007C416D">
              <w:rPr>
                <w:b/>
                <w:snapToGrid w:val="0"/>
                <w:sz w:val="22"/>
                <w:szCs w:val="22"/>
              </w:rPr>
              <w:br/>
            </w:r>
            <w:r w:rsidR="007C416D">
              <w:rPr>
                <w:b/>
                <w:snapToGrid w:val="0"/>
                <w:sz w:val="22"/>
                <w:szCs w:val="22"/>
              </w:rPr>
              <w:br/>
            </w:r>
            <w:r w:rsidR="007C416D" w:rsidRPr="007F0C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inledde </w:t>
            </w:r>
            <w:r w:rsidR="0039420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gransknin</w:t>
            </w:r>
            <w:r w:rsidR="007C416D" w:rsidRPr="007F0CE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gen</w:t>
            </w:r>
            <w:r w:rsidR="007C416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Ny EU-skogsstrategi för 2030. </w:t>
            </w:r>
          </w:p>
          <w:p w:rsidR="007C416D" w:rsidRDefault="007C416D" w:rsidP="0097194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</w:t>
            </w:r>
            <w:r w:rsidR="00ED46B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97194D" w:rsidRPr="00ED46B6" w:rsidRDefault="0097194D" w:rsidP="0097194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6F59FE" w:rsidRPr="00B40F4D" w:rsidTr="00201DCD">
        <w:tc>
          <w:tcPr>
            <w:tcW w:w="567" w:type="dxa"/>
          </w:tcPr>
          <w:p w:rsidR="006F59FE" w:rsidRDefault="006F59F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6F59FE" w:rsidRDefault="006F59FE" w:rsidP="004F5F44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2"/>
                <w:szCs w:val="22"/>
              </w:rPr>
            </w:pPr>
            <w:r w:rsidRPr="006F59FE">
              <w:rPr>
                <w:b/>
                <w:snapToGrid w:val="0"/>
                <w:sz w:val="22"/>
                <w:szCs w:val="22"/>
              </w:rPr>
              <w:t xml:space="preserve">Kommissionens förslag till Europaparlamentets och rådets förordning (EU) 2018/841 vad gäller omfattning, förenkling av regler för efterlevnadskontroll, fastställande av medlemsstaternas mål för 2030 och åtaganden för att kollektivt uppnå klimatneutralitet 2035 i sektorn för markanvändning, skogsbruk och jordbruk, och (EU) 2018/1999 vad </w:t>
            </w:r>
            <w:r w:rsidRPr="006F59FE">
              <w:rPr>
                <w:b/>
                <w:snapToGrid w:val="0"/>
                <w:sz w:val="22"/>
                <w:szCs w:val="22"/>
              </w:rPr>
              <w:lastRenderedPageBreak/>
              <w:t>gäller förbättrad övervakning, rapportering, uppföljning av framsteg och översyn</w:t>
            </w:r>
            <w:r w:rsidR="007C416D">
              <w:rPr>
                <w:b/>
                <w:snapToGrid w:val="0"/>
                <w:sz w:val="22"/>
                <w:szCs w:val="22"/>
              </w:rPr>
              <w:br/>
            </w:r>
            <w:r w:rsidR="007C416D">
              <w:rPr>
                <w:b/>
                <w:snapToGrid w:val="0"/>
                <w:sz w:val="22"/>
                <w:szCs w:val="22"/>
              </w:rPr>
              <w:br/>
            </w:r>
            <w:r w:rsidR="007C416D" w:rsidRPr="003B73C5">
              <w:rPr>
                <w:snapToGrid w:val="0"/>
                <w:sz w:val="22"/>
                <w:szCs w:val="22"/>
              </w:rPr>
              <w:t xml:space="preserve">Utskottet </w:t>
            </w:r>
            <w:r w:rsidR="007C416D">
              <w:rPr>
                <w:snapToGrid w:val="0"/>
                <w:sz w:val="22"/>
                <w:szCs w:val="22"/>
              </w:rPr>
              <w:t xml:space="preserve">fortsatte </w:t>
            </w:r>
            <w:r w:rsidR="007C416D" w:rsidRPr="003B73C5">
              <w:rPr>
                <w:snapToGrid w:val="0"/>
                <w:sz w:val="22"/>
                <w:szCs w:val="22"/>
              </w:rPr>
              <w:t xml:space="preserve">subsidiaritetsprövningen av </w:t>
            </w:r>
            <w:r w:rsidR="007C416D" w:rsidRPr="003B73C5">
              <w:rPr>
                <w:bCs/>
                <w:color w:val="000000"/>
                <w:sz w:val="22"/>
                <w:szCs w:val="22"/>
              </w:rPr>
              <w:t>COM(202</w:t>
            </w:r>
            <w:r w:rsidR="007C416D">
              <w:rPr>
                <w:bCs/>
                <w:color w:val="000000"/>
                <w:sz w:val="22"/>
                <w:szCs w:val="22"/>
              </w:rPr>
              <w:t>1</w:t>
            </w:r>
            <w:r w:rsidR="007C416D" w:rsidRPr="003B73C5">
              <w:rPr>
                <w:bCs/>
                <w:color w:val="000000"/>
                <w:sz w:val="22"/>
                <w:szCs w:val="22"/>
              </w:rPr>
              <w:t xml:space="preserve">) </w:t>
            </w:r>
            <w:r w:rsidR="007C416D">
              <w:rPr>
                <w:bCs/>
                <w:color w:val="000000"/>
                <w:sz w:val="22"/>
                <w:szCs w:val="22"/>
              </w:rPr>
              <w:t>554</w:t>
            </w:r>
            <w:r w:rsidR="007C416D" w:rsidRPr="003B73C5">
              <w:rPr>
                <w:bCs/>
                <w:color w:val="000000"/>
                <w:sz w:val="22"/>
                <w:szCs w:val="22"/>
              </w:rPr>
              <w:t>.</w:t>
            </w:r>
          </w:p>
          <w:p w:rsidR="000031F4" w:rsidRDefault="000031F4" w:rsidP="0000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:rsidR="000031F4" w:rsidRPr="000031F4" w:rsidRDefault="000031F4" w:rsidP="000031F4">
            <w:pPr>
              <w:rPr>
                <w:bCs/>
                <w:sz w:val="22"/>
                <w:szCs w:val="22"/>
              </w:rPr>
            </w:pPr>
          </w:p>
        </w:tc>
      </w:tr>
      <w:tr w:rsidR="006F59FE" w:rsidRPr="00B40F4D" w:rsidTr="00201DCD">
        <w:tc>
          <w:tcPr>
            <w:tcW w:w="567" w:type="dxa"/>
          </w:tcPr>
          <w:p w:rsidR="006F59FE" w:rsidRDefault="006F59F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6F59FE" w:rsidRDefault="006F59FE" w:rsidP="004F5F44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  <w:r w:rsidRPr="006F59FE">
              <w:rPr>
                <w:b/>
                <w:snapToGrid w:val="0"/>
                <w:sz w:val="22"/>
                <w:szCs w:val="22"/>
              </w:rPr>
              <w:t>Förslag till Europaparlamentets och rådets förordning om inrättande av en social klimatfond</w:t>
            </w:r>
          </w:p>
          <w:p w:rsidR="007C416D" w:rsidRDefault="007C416D" w:rsidP="007C416D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color w:val="000000"/>
                <w:sz w:val="22"/>
                <w:szCs w:val="22"/>
              </w:rPr>
            </w:pPr>
            <w:r w:rsidRPr="003B73C5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3B73C5">
              <w:rPr>
                <w:snapToGrid w:val="0"/>
                <w:sz w:val="22"/>
                <w:szCs w:val="22"/>
              </w:rPr>
              <w:t xml:space="preserve">subsidiaritetsprövningen av </w:t>
            </w:r>
            <w:r w:rsidRPr="003B73C5">
              <w:rPr>
                <w:bCs/>
                <w:color w:val="000000"/>
                <w:sz w:val="22"/>
                <w:szCs w:val="22"/>
              </w:rPr>
              <w:t>COM(202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3B73C5">
              <w:rPr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color w:val="000000"/>
                <w:sz w:val="22"/>
                <w:szCs w:val="22"/>
              </w:rPr>
              <w:t>568</w:t>
            </w:r>
            <w:r w:rsidRPr="003B73C5">
              <w:rPr>
                <w:bCs/>
                <w:color w:val="000000"/>
                <w:sz w:val="22"/>
                <w:szCs w:val="22"/>
              </w:rPr>
              <w:t>.</w:t>
            </w:r>
          </w:p>
          <w:p w:rsidR="000031F4" w:rsidRDefault="000031F4" w:rsidP="000031F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:rsidR="007C416D" w:rsidRPr="004F5F44" w:rsidRDefault="007C416D" w:rsidP="004F5F44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</w:p>
        </w:tc>
      </w:tr>
      <w:tr w:rsidR="004F5F44" w:rsidRPr="00B40F4D" w:rsidTr="00201DCD">
        <w:tc>
          <w:tcPr>
            <w:tcW w:w="567" w:type="dxa"/>
          </w:tcPr>
          <w:p w:rsidR="004F5F44" w:rsidRDefault="004F5F4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F59F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7C416D" w:rsidRDefault="007C416D" w:rsidP="007C416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</w:t>
            </w:r>
            <w:r w:rsid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till </w:t>
            </w:r>
            <w:proofErr w:type="spellStart"/>
            <w:r w:rsidR="00301662"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Antarctic</w:t>
            </w:r>
            <w:proofErr w:type="spellEnd"/>
            <w:r w:rsidR="00301662"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01662"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Parliamentarians</w:t>
            </w:r>
            <w:proofErr w:type="spellEnd"/>
            <w:r w:rsidR="00301662"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01662" w:rsidRPr="0030166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Assembly</w:t>
            </w:r>
            <w:proofErr w:type="spellEnd"/>
          </w:p>
          <w:p w:rsidR="007C416D" w:rsidRDefault="007C416D" w:rsidP="007C416D">
            <w:pPr>
              <w:rPr>
                <w:b/>
                <w:snapToGrid w:val="0"/>
                <w:sz w:val="22"/>
                <w:szCs w:val="22"/>
              </w:rPr>
            </w:pPr>
          </w:p>
          <w:p w:rsidR="0097194D" w:rsidRPr="0097194D" w:rsidRDefault="0097194D" w:rsidP="0097194D">
            <w:pPr>
              <w:rPr>
                <w:bCs/>
                <w:sz w:val="22"/>
                <w:szCs w:val="22"/>
              </w:rPr>
            </w:pPr>
            <w:r w:rsidRPr="00FD6A31">
              <w:rPr>
                <w:bCs/>
                <w:sz w:val="22"/>
                <w:szCs w:val="22"/>
              </w:rPr>
              <w:t>En inbjudan ha</w:t>
            </w:r>
            <w:r>
              <w:rPr>
                <w:bCs/>
                <w:sz w:val="22"/>
                <w:szCs w:val="22"/>
              </w:rPr>
              <w:t xml:space="preserve">de </w:t>
            </w:r>
            <w:r w:rsidR="00616B6E">
              <w:rPr>
                <w:bCs/>
                <w:sz w:val="22"/>
                <w:szCs w:val="22"/>
              </w:rPr>
              <w:t>in</w:t>
            </w:r>
            <w:r>
              <w:rPr>
                <w:bCs/>
                <w:sz w:val="22"/>
                <w:szCs w:val="22"/>
              </w:rPr>
              <w:t xml:space="preserve">kommit </w:t>
            </w:r>
            <w:r w:rsidRPr="00FD6A31">
              <w:rPr>
                <w:bCs/>
                <w:sz w:val="22"/>
                <w:szCs w:val="22"/>
              </w:rPr>
              <w:t xml:space="preserve">till utskottet </w:t>
            </w:r>
            <w:r>
              <w:rPr>
                <w:bCs/>
                <w:sz w:val="22"/>
                <w:szCs w:val="22"/>
              </w:rPr>
              <w:t xml:space="preserve">från </w:t>
            </w:r>
            <w:r w:rsidRPr="000B3049">
              <w:rPr>
                <w:bCs/>
                <w:sz w:val="22"/>
                <w:szCs w:val="22"/>
              </w:rPr>
              <w:t>All-Party Parliamentary Group for the Polar Regions vid Storbritanniens parlament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D6A31">
              <w:rPr>
                <w:bCs/>
                <w:sz w:val="22"/>
                <w:szCs w:val="22"/>
              </w:rPr>
              <w:t xml:space="preserve">att </w:t>
            </w:r>
            <w:r>
              <w:rPr>
                <w:bCs/>
                <w:sz w:val="22"/>
                <w:szCs w:val="22"/>
              </w:rPr>
              <w:t xml:space="preserve">med två ledamöter </w:t>
            </w:r>
            <w:r w:rsidRPr="00FD6A31">
              <w:rPr>
                <w:bCs/>
                <w:sz w:val="22"/>
                <w:szCs w:val="22"/>
              </w:rPr>
              <w:t xml:space="preserve">delta digitalt i </w:t>
            </w:r>
            <w:r>
              <w:rPr>
                <w:bCs/>
                <w:sz w:val="22"/>
                <w:szCs w:val="22"/>
              </w:rPr>
              <w:t xml:space="preserve">konferensen </w:t>
            </w:r>
            <w:proofErr w:type="spellStart"/>
            <w:r w:rsidRPr="000B3049">
              <w:rPr>
                <w:bCs/>
                <w:i/>
                <w:sz w:val="22"/>
                <w:szCs w:val="22"/>
              </w:rPr>
              <w:t>Antarctic</w:t>
            </w:r>
            <w:proofErr w:type="spellEnd"/>
            <w:r w:rsidRPr="000B304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3049">
              <w:rPr>
                <w:bCs/>
                <w:i/>
                <w:sz w:val="22"/>
                <w:szCs w:val="22"/>
              </w:rPr>
              <w:t>Parliamentarians</w:t>
            </w:r>
            <w:proofErr w:type="spellEnd"/>
            <w:r w:rsidRPr="000B3049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0B3049">
              <w:rPr>
                <w:bCs/>
                <w:i/>
                <w:sz w:val="22"/>
                <w:szCs w:val="22"/>
              </w:rPr>
              <w:t>Assembly</w:t>
            </w:r>
            <w:proofErr w:type="spellEnd"/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97194D">
              <w:rPr>
                <w:bCs/>
                <w:sz w:val="22"/>
                <w:szCs w:val="22"/>
              </w:rPr>
              <w:t>den 1 december 2021.</w:t>
            </w:r>
          </w:p>
          <w:p w:rsidR="0097194D" w:rsidRDefault="0097194D" w:rsidP="007C416D">
            <w:pPr>
              <w:rPr>
                <w:bCs/>
                <w:sz w:val="22"/>
                <w:szCs w:val="22"/>
              </w:rPr>
            </w:pPr>
          </w:p>
          <w:p w:rsidR="007C416D" w:rsidRDefault="007C416D" w:rsidP="007C416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:rsidR="007C416D" w:rsidRPr="004F5F44" w:rsidRDefault="007C416D" w:rsidP="004F5F44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  <w:sz w:val="22"/>
                <w:szCs w:val="22"/>
              </w:rPr>
            </w:pPr>
          </w:p>
        </w:tc>
      </w:tr>
      <w:tr w:rsidR="007C416D" w:rsidRPr="00B40F4D" w:rsidTr="00201DCD">
        <w:tc>
          <w:tcPr>
            <w:tcW w:w="567" w:type="dxa"/>
          </w:tcPr>
          <w:p w:rsidR="007C416D" w:rsidRDefault="007C416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9 </w:t>
            </w:r>
          </w:p>
        </w:tc>
        <w:tc>
          <w:tcPr>
            <w:tcW w:w="6946" w:type="dxa"/>
            <w:gridSpan w:val="2"/>
          </w:tcPr>
          <w:p w:rsidR="009F1A9B" w:rsidRPr="000B3049" w:rsidRDefault="009F1A9B" w:rsidP="009F1A9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Cementa AB:s tillståndsansökan</w:t>
            </w:r>
            <w:r w:rsidRPr="000B30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C416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C416D" w:rsidRPr="007C416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meddelande att Annika Jacobson, Miljödepartementet, kommer till utskottet tisdagen den 2</w:t>
            </w:r>
            <w:r w:rsidR="0030166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7C416D" w:rsidRPr="007C416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oktober 2021, för att informera om det fortsatta arbetet med </w:t>
            </w:r>
            <w:r w:rsidRPr="000B304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Cementa AB:s ansökan om tidsbegränsat tillstånd.</w:t>
            </w:r>
          </w:p>
          <w:p w:rsidR="007C416D" w:rsidRDefault="007C416D" w:rsidP="007C416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C416D" w:rsidRPr="00B40F4D" w:rsidTr="00201DCD">
        <w:tc>
          <w:tcPr>
            <w:tcW w:w="567" w:type="dxa"/>
          </w:tcPr>
          <w:p w:rsidR="007C416D" w:rsidRPr="00A3790A" w:rsidRDefault="007C416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790A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7C416D" w:rsidRPr="00A3790A" w:rsidRDefault="00616B6E" w:rsidP="007C416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379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Kommande </w:t>
            </w:r>
            <w:r w:rsidR="007C416D" w:rsidRPr="00A379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sammanträden</w:t>
            </w:r>
            <w:r w:rsidR="007C416D" w:rsidRPr="00A379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C416D" w:rsidRPr="00A379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7C416D" w:rsidRPr="00A379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sammanträd</w:t>
            </w:r>
            <w:r w:rsidR="000031F4" w:rsidRPr="00A379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7C416D" w:rsidRPr="00A379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 större sessionssalar än MJU:s eg</w:t>
            </w:r>
            <w:r w:rsidR="00414316" w:rsidRPr="00A379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="007C416D" w:rsidRPr="00A3790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sessionssal vid höstens sammanträden.</w:t>
            </w:r>
            <w:r w:rsidR="007C416D" w:rsidRPr="00A379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C416D" w:rsidRPr="00A3790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C416D">
              <w:rPr>
                <w:b/>
                <w:snapToGrid w:val="0"/>
                <w:sz w:val="22"/>
                <w:szCs w:val="22"/>
              </w:rPr>
              <w:t>1</w:t>
            </w:r>
            <w:r w:rsidR="00A5404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1907E6">
              <w:rPr>
                <w:snapToGrid w:val="0"/>
                <w:sz w:val="22"/>
                <w:szCs w:val="22"/>
              </w:rPr>
              <w:t>tis</w:t>
            </w:r>
            <w:r w:rsidRPr="00B40F4D">
              <w:rPr>
                <w:snapToGrid w:val="0"/>
                <w:sz w:val="22"/>
                <w:szCs w:val="22"/>
              </w:rPr>
              <w:t>dagen</w:t>
            </w:r>
            <w:r w:rsidR="007F4080">
              <w:rPr>
                <w:snapToGrid w:val="0"/>
                <w:sz w:val="22"/>
                <w:szCs w:val="22"/>
              </w:rPr>
              <w:t xml:space="preserve"> </w:t>
            </w:r>
            <w:r w:rsidRPr="00B40F4D">
              <w:rPr>
                <w:snapToGrid w:val="0"/>
                <w:sz w:val="22"/>
                <w:szCs w:val="22"/>
              </w:rPr>
              <w:t>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4F5F44">
              <w:rPr>
                <w:snapToGrid w:val="0"/>
                <w:sz w:val="22"/>
                <w:szCs w:val="22"/>
              </w:rPr>
              <w:t>26</w:t>
            </w:r>
            <w:r w:rsidR="007F4080">
              <w:rPr>
                <w:snapToGrid w:val="0"/>
                <w:sz w:val="22"/>
                <w:szCs w:val="22"/>
              </w:rPr>
              <w:t xml:space="preserve"> oktober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F5F44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4A6AE1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1B78" w:rsidRDefault="00211B7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4F5F44" w:rsidRPr="00B40F4D" w:rsidRDefault="004F5F4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4F5F44">
              <w:rPr>
                <w:sz w:val="22"/>
                <w:szCs w:val="22"/>
              </w:rPr>
              <w:t>2</w:t>
            </w:r>
            <w:r w:rsidR="00274D59">
              <w:rPr>
                <w:sz w:val="22"/>
                <w:szCs w:val="22"/>
              </w:rPr>
              <w:t>8</w:t>
            </w:r>
            <w:r w:rsidR="007F4080">
              <w:rPr>
                <w:sz w:val="22"/>
                <w:szCs w:val="22"/>
              </w:rPr>
              <w:t xml:space="preserve"> oktober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274D5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</w:t>
            </w:r>
            <w:r w:rsidR="00A51526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F4080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:</w:t>
            </w:r>
            <w:r w:rsidR="004F5F44">
              <w:rPr>
                <w:sz w:val="22"/>
                <w:szCs w:val="22"/>
              </w:rPr>
              <w:t>11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A5404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A54049">
              <w:rPr>
                <w:sz w:val="22"/>
                <w:szCs w:val="22"/>
              </w:rPr>
              <w:t>§ 2–4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5404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5404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5404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A5404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10–11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r w:rsidR="00BF17F3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540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B40F4D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 w:rsidP="00616B6E">
      <w:pPr>
        <w:widowControl/>
        <w:rPr>
          <w:sz w:val="22"/>
          <w:szCs w:val="22"/>
        </w:rPr>
      </w:pPr>
    </w:p>
    <w:sectPr w:rsidR="00D1794C" w:rsidSect="00616B6E">
      <w:pgSz w:w="11906" w:h="16838" w:code="9"/>
      <w:pgMar w:top="142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943F12"/>
    <w:multiLevelType w:val="multilevel"/>
    <w:tmpl w:val="C80E43F0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31F4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1B78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74D59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0E35"/>
    <w:rsid w:val="002D20B8"/>
    <w:rsid w:val="002D5CC4"/>
    <w:rsid w:val="002E536D"/>
    <w:rsid w:val="002F25FD"/>
    <w:rsid w:val="0030166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4206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4316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A6AE1"/>
    <w:rsid w:val="004B1E7E"/>
    <w:rsid w:val="004C58F4"/>
    <w:rsid w:val="004D6725"/>
    <w:rsid w:val="004E030E"/>
    <w:rsid w:val="004E0E27"/>
    <w:rsid w:val="004E4C8B"/>
    <w:rsid w:val="004E7DCE"/>
    <w:rsid w:val="004F5F44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16B6E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6F59FE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C416D"/>
    <w:rsid w:val="007E14E2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4971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B7D1B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7194D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9F1A9B"/>
    <w:rsid w:val="00A03943"/>
    <w:rsid w:val="00A25D52"/>
    <w:rsid w:val="00A34130"/>
    <w:rsid w:val="00A375CF"/>
    <w:rsid w:val="00A37731"/>
    <w:rsid w:val="00A3790A"/>
    <w:rsid w:val="00A51307"/>
    <w:rsid w:val="00A51526"/>
    <w:rsid w:val="00A54049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77E07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0AA5"/>
    <w:rsid w:val="00C54407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D46B6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7775F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007D9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31F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0511-CC80-4120-ACEC-5A05DDE5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772</Words>
  <Characters>4535</Characters>
  <Application>Microsoft Office Word</Application>
  <DocSecurity>0</DocSecurity>
  <Lines>907</Lines>
  <Paragraphs>353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25</cp:revision>
  <cp:lastPrinted>2020-10-20T07:22:00Z</cp:lastPrinted>
  <dcterms:created xsi:type="dcterms:W3CDTF">2021-10-18T14:12:00Z</dcterms:created>
  <dcterms:modified xsi:type="dcterms:W3CDTF">2021-10-28T13:01:00Z</dcterms:modified>
</cp:coreProperties>
</file>