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D6168">
        <w:tblPrEx>
          <w:tblCellMar>
            <w:top w:w="0" w:type="dxa"/>
            <w:left w:w="0" w:type="dxa"/>
            <w:bottom w:w="0" w:type="dxa"/>
            <w:right w:w="0" w:type="dxa"/>
          </w:tblCellMar>
        </w:tblPrEx>
        <w:trPr>
          <w:gridAfter w:val="2"/>
          <w:wAfter w:w="1758" w:type="dxa"/>
          <w:cantSplit/>
          <w:trHeight w:val="1320"/>
        </w:trPr>
        <w:tc>
          <w:tcPr>
            <w:tcW w:w="5897" w:type="dxa"/>
          </w:tcPr>
          <w:p w:rsidR="00BD6168" w:rsidRPr="00BD6168" w:rsidRDefault="00BD6168">
            <w:pPr>
              <w:pStyle w:val="HuvudRubrik"/>
            </w:pPr>
            <w:r w:rsidRPr="00BD6168">
              <w:t>Regeringskansliet</w:t>
            </w:r>
          </w:p>
          <w:p w:rsidR="00BD6168" w:rsidRPr="00BD6168" w:rsidRDefault="00BD6168">
            <w:pPr>
              <w:pStyle w:val="HuvudRubrik"/>
            </w:pPr>
            <w:r w:rsidRPr="00BD6168">
              <w:t>Faktapromemoria  2009/10:FPM26</w:t>
            </w:r>
          </w:p>
        </w:tc>
      </w:tr>
      <w:tr w:rsidR="00000000" w:rsidRPr="00BD6168">
        <w:tblPrEx>
          <w:tblCellMar>
            <w:top w:w="0" w:type="dxa"/>
            <w:left w:w="0" w:type="dxa"/>
            <w:bottom w:w="0" w:type="dxa"/>
            <w:right w:w="0" w:type="dxa"/>
          </w:tblCellMar>
        </w:tblPrEx>
        <w:trPr>
          <w:gridAfter w:val="2"/>
          <w:wAfter w:w="1758" w:type="dxa"/>
          <w:cantSplit/>
          <w:trHeight w:val="240"/>
        </w:trPr>
        <w:tc>
          <w:tcPr>
            <w:tcW w:w="5897" w:type="dxa"/>
          </w:tcPr>
          <w:p w:rsidR="00BD6168" w:rsidRPr="00BD6168" w:rsidRDefault="00BD6168">
            <w:pPr>
              <w:pStyle w:val="HuvudRubrik"/>
              <w:rPr>
                <w:sz w:val="28"/>
              </w:rPr>
            </w:pPr>
            <w:r w:rsidRPr="00BD6168">
              <w:t>Handlingsplan för rörlighet i städer</w:t>
            </w:r>
          </w:p>
        </w:tc>
      </w:tr>
      <w:tr w:rsidR="00000000" w:rsidRPr="00BD6168">
        <w:tblPrEx>
          <w:tblCellMar>
            <w:top w:w="0" w:type="dxa"/>
            <w:left w:w="0" w:type="dxa"/>
            <w:bottom w:w="0" w:type="dxa"/>
            <w:right w:w="0" w:type="dxa"/>
          </w:tblCellMar>
        </w:tblPrEx>
        <w:trPr>
          <w:cantSplit/>
          <w:trHeight w:val="285"/>
        </w:trPr>
        <w:tc>
          <w:tcPr>
            <w:tcW w:w="7655" w:type="dxa"/>
            <w:gridSpan w:val="3"/>
          </w:tcPr>
          <w:p w:rsidR="00BD6168" w:rsidRPr="00BD6168" w:rsidRDefault="00BD6168">
            <w:pPr>
              <w:pStyle w:val="Departement"/>
              <w:rPr>
                <w:sz w:val="28"/>
              </w:rPr>
            </w:pPr>
            <w:r w:rsidRPr="00BD6168">
              <w:t>Näringsdepartementet</w:t>
            </w:r>
          </w:p>
        </w:tc>
      </w:tr>
      <w:tr w:rsidR="00000000" w:rsidRPr="00BD6168">
        <w:tblPrEx>
          <w:tblCellMar>
            <w:top w:w="0" w:type="dxa"/>
            <w:left w:w="0" w:type="dxa"/>
            <w:bottom w:w="0" w:type="dxa"/>
            <w:right w:w="0" w:type="dxa"/>
          </w:tblCellMar>
        </w:tblPrEx>
        <w:trPr>
          <w:cantSplit/>
          <w:trHeight w:val="240"/>
        </w:trPr>
        <w:tc>
          <w:tcPr>
            <w:tcW w:w="7655" w:type="dxa"/>
            <w:gridSpan w:val="3"/>
          </w:tcPr>
          <w:p w:rsidR="00BD6168" w:rsidRPr="00BD6168" w:rsidRDefault="00BD6168">
            <w:pPr>
              <w:pStyle w:val="Dokumentdatum"/>
            </w:pPr>
            <w:r w:rsidRPr="00BD6168">
              <w:t>2009-10-30</w:t>
            </w:r>
          </w:p>
        </w:tc>
      </w:tr>
      <w:tr w:rsidR="00000000" w:rsidRPr="00BD6168">
        <w:tblPrEx>
          <w:tblCellMar>
            <w:top w:w="0" w:type="dxa"/>
            <w:left w:w="0" w:type="dxa"/>
            <w:bottom w:w="0" w:type="dxa"/>
            <w:right w:w="0" w:type="dxa"/>
          </w:tblCellMar>
        </w:tblPrEx>
        <w:trPr>
          <w:cantSplit/>
          <w:trHeight w:val="726"/>
        </w:trPr>
        <w:tc>
          <w:tcPr>
            <w:tcW w:w="7655" w:type="dxa"/>
            <w:gridSpan w:val="3"/>
            <w:vAlign w:val="bottom"/>
          </w:tcPr>
          <w:p w:rsidR="00BD6168" w:rsidRPr="00BD6168" w:rsidRDefault="00BD6168">
            <w:pPr>
              <w:pStyle w:val="Dokumentbeteckning"/>
            </w:pPr>
            <w:r w:rsidRPr="00BD6168">
              <w:t>Dokumentbeteckning</w:t>
            </w:r>
          </w:p>
        </w:tc>
      </w:tr>
      <w:tr w:rsidR="00000000" w:rsidRPr="00BD6168">
        <w:tblPrEx>
          <w:tblCellMar>
            <w:top w:w="0" w:type="dxa"/>
            <w:left w:w="0" w:type="dxa"/>
            <w:bottom w:w="0" w:type="dxa"/>
            <w:right w:w="0" w:type="dxa"/>
          </w:tblCellMar>
        </w:tblPrEx>
        <w:trPr>
          <w:gridAfter w:val="1"/>
          <w:wAfter w:w="1560" w:type="dxa"/>
          <w:trHeight w:val="120"/>
        </w:trPr>
        <w:tc>
          <w:tcPr>
            <w:tcW w:w="6095" w:type="dxa"/>
            <w:gridSpan w:val="2"/>
          </w:tcPr>
          <w:p w:rsidR="00BD6168" w:rsidRPr="00BD6168" w:rsidRDefault="00BD6168">
            <w:bookmarkStart w:id="0" w:name="KomNr"/>
            <w:bookmarkEnd w:id="0"/>
            <w:r w:rsidRPr="00BD6168">
              <w:t>KOM (2009) 490</w:t>
            </w:r>
          </w:p>
        </w:tc>
      </w:tr>
      <w:tr w:rsidR="00000000" w:rsidRPr="00BD6168">
        <w:tblPrEx>
          <w:tblCellMar>
            <w:top w:w="0" w:type="dxa"/>
            <w:left w:w="0" w:type="dxa"/>
            <w:bottom w:w="0" w:type="dxa"/>
            <w:right w:w="0" w:type="dxa"/>
          </w:tblCellMar>
        </w:tblPrEx>
        <w:trPr>
          <w:gridAfter w:val="1"/>
          <w:wAfter w:w="1560" w:type="dxa"/>
          <w:trHeight w:val="120"/>
        </w:trPr>
        <w:tc>
          <w:tcPr>
            <w:tcW w:w="6095" w:type="dxa"/>
            <w:gridSpan w:val="2"/>
          </w:tcPr>
          <w:p w:rsidR="00BD6168" w:rsidRPr="00BD6168" w:rsidRDefault="00BD6168">
            <w:pPr>
              <w:pStyle w:val="Dokumentbeteckning-titel"/>
            </w:pPr>
            <w:r w:rsidRPr="00BD6168">
              <w:t>Meddelande från kommissionen till Europaparlamentet, rådet, Europeiska ekonomiska och sociala kommittén samt Regionkommittén Handlingsplan för rörlighet i städer</w:t>
            </w:r>
          </w:p>
        </w:tc>
      </w:tr>
    </w:tbl>
    <w:p w:rsidR="00BD6168" w:rsidRPr="00BD6168" w:rsidRDefault="00BD6168"/>
    <w:p w:rsidR="00BD6168" w:rsidRPr="00BD6168" w:rsidRDefault="00BD6168">
      <w:pPr>
        <w:pStyle w:val="Rubrik1"/>
        <w:numPr>
          <w:ilvl w:val="0"/>
          <w:numId w:val="0"/>
        </w:numPr>
      </w:pPr>
      <w:r w:rsidRPr="00BD6168">
        <w:t>Sammanfattning</w:t>
      </w:r>
    </w:p>
    <w:p w:rsidR="00BD6168" w:rsidRPr="00BD6168" w:rsidRDefault="00BD6168">
      <w:r w:rsidRPr="00BD6168">
        <w:t>Handlingsplanen innehåller 20 åtgärder som är utformade för att främja utvecklingen av hållbara stadstransporter. Ansvaret för hur politik på området utformas ligger primärt hos lokala, regionala och nationella myndigheter. EU:s roll är främst att stimulera och stödja myndigheter att bedriva en politik för stadstransporter som verkar för att nå målen om minskad klimatpåverkan, skapa ett effektivt transportsystem och att stärka social sammanhållning. Åtgärderna består främst av att sprida erfarenheter och k</w:t>
      </w:r>
      <w:r w:rsidRPr="00BD6168">
        <w:t xml:space="preserve">unskap, stärka finansiering och utge riktlinjer för viktiga aspekter. Regeringen välkomnar handlingsplanen eftersom den innebär ett stöd i arbetet med att förbättra städernas transportsituation samtidigt som ansvaret fortfarande finns lokalt, regionalt och nationellt. </w:t>
      </w:r>
    </w:p>
    <w:p w:rsidR="00BD6168" w:rsidRPr="00BD6168" w:rsidRDefault="00BD6168"/>
    <w:p w:rsidR="00BD6168" w:rsidRPr="00BD6168" w:rsidRDefault="00BD6168">
      <w:pPr>
        <w:pStyle w:val="Rubrik1"/>
      </w:pPr>
      <w:r w:rsidRPr="00BD6168">
        <w:t>Förslaget</w:t>
      </w:r>
    </w:p>
    <w:p w:rsidR="00BD6168" w:rsidRPr="00BD6168" w:rsidRDefault="00BD6168">
      <w:pPr>
        <w:pStyle w:val="Rubrik2"/>
      </w:pPr>
      <w:r w:rsidRPr="00BD6168">
        <w:t>Ärendets bakgrund</w:t>
      </w:r>
    </w:p>
    <w:p w:rsidR="00BD6168" w:rsidRPr="00BD6168" w:rsidRDefault="00BD6168">
      <w:r w:rsidRPr="00BD6168">
        <w:t xml:space="preserve">Kommissionen beslutade om en grönbok om stadstrafik den 25 september 2007 – ”Mot en ny kultur av rörlighet i städer”. Sverige yttrade sig över grönboken i mars 2008 och uttalade sitt stöd för att en europeisk strategi utarbetas, men att EU:s roll bör begränsas till att vara stödjande. Meddelandet presenterades den 30 september 2009. </w:t>
      </w:r>
    </w:p>
    <w:p w:rsidR="00BD6168" w:rsidRPr="00BD6168" w:rsidRDefault="00BD6168"/>
    <w:p w:rsidR="00BD6168" w:rsidRPr="00BD6168" w:rsidRDefault="00BD6168">
      <w:pPr>
        <w:pStyle w:val="Rubrik2"/>
      </w:pPr>
      <w:r w:rsidRPr="00BD6168">
        <w:t>Förslagets innehåll</w:t>
      </w:r>
    </w:p>
    <w:p w:rsidR="00BD6168" w:rsidRPr="00BD6168" w:rsidRDefault="00BD6168">
      <w:r w:rsidRPr="00BD6168">
        <w:t xml:space="preserve">Kommissionen konstaterar att en stor andel av EU:s befolkning bor i städer  och att en ännu större andel av dess BNP genereras i städer. De europeiska städerna präglas dock av ett antal trafikproblem som behöver åtgärdas för att  kunna åstadkomma ett hållbart transportsystem. </w:t>
      </w:r>
    </w:p>
    <w:p w:rsidR="00BD6168" w:rsidRPr="00BD6168" w:rsidRDefault="00BD6168">
      <w:r w:rsidRPr="00BD6168">
        <w:t xml:space="preserve">Kommissionen fastslår att ansvaret för hur politik utformas avseende stadstransporter primärt ligger hos lokala, regionala och nationella myndigheter. Politiken på lokal nivå sker dock inom ramen för de styrmedel och lagstiftning som beslutats på nationell, regional och EU-nivå. </w:t>
      </w:r>
    </w:p>
    <w:p w:rsidR="00BD6168" w:rsidRPr="00BD6168" w:rsidRDefault="00BD6168"/>
    <w:p w:rsidR="00BD6168" w:rsidRPr="00BD6168" w:rsidRDefault="00BD6168">
      <w:r w:rsidRPr="00BD6168">
        <w:t xml:space="preserve">Handlingsprogrammet består av 20 åtgärder som är indelade i sex stycken teman. Tema 1: Stödja framtagandet av olika typer av planer för hållbar rörlighet i städer. Tema 2: Fokusera på medborgarna genom att bl.a. starta en dialog med berörda parter om passagerarrättigheter i kollektivtrafik, att förbättra tillgängligheten för personer med funktionsnedsättning, att förbättra trafikinformation och att studera villkoren för gröna zoner (miljözoner) som finns i Europa. </w:t>
      </w:r>
    </w:p>
    <w:p w:rsidR="00BD6168" w:rsidRPr="00BD6168" w:rsidRDefault="00BD6168"/>
    <w:p w:rsidR="00BD6168" w:rsidRPr="00BD6168" w:rsidRDefault="00BD6168">
      <w:r w:rsidRPr="00BD6168">
        <w:t xml:space="preserve">Tema 3: Göra stadstransporter mer miljövänliga främst genom att minska skadliga utsläpp som påverkar luftkvalitet och klimat negativt. Åtgärderna är att stödja forskningsprojekt som syftar till att minska skadliga utsläpp från stadstransporter, att utveckla en Internetguide om rena och energieffektiva fordon, studera frågan om hur konsumenter och producenter kan tvingas att ta hänsyn till alla samhällsekonomiska kostnader förorsakade av stadstransporter och informationsutbyte om metoder att prissätta. Tema </w:t>
      </w:r>
      <w:r w:rsidRPr="00BD6168">
        <w:t>4: Stärka finansieringen genom att optimera existerande resurser och att analysera det framtida behovet av finansiering.</w:t>
      </w:r>
    </w:p>
    <w:p w:rsidR="00BD6168" w:rsidRPr="00BD6168" w:rsidRDefault="00BD6168"/>
    <w:p w:rsidR="00BD6168" w:rsidRPr="00BD6168" w:rsidRDefault="00BD6168">
      <w:r w:rsidRPr="00BD6168">
        <w:t xml:space="preserve">Tema 5: Sprida erfarenheter och kunskap genom att förbättra statistiktillgången, etablera ett observatorium för praktiker och att bidra till internationell dialog och informationsutbyte. Tema 6: Optimera rörlighet i städer genom att erbjuda hjälp för effektiv logistik i städer och att erbjuda hjälp att använda ITS i stadstransporter. </w:t>
      </w:r>
    </w:p>
    <w:p w:rsidR="00BD6168" w:rsidRPr="00BD6168" w:rsidRDefault="00BD6168"/>
    <w:p w:rsidR="00BD6168" w:rsidRPr="00BD6168" w:rsidRDefault="00BD6168">
      <w:r w:rsidRPr="00BD6168">
        <w:t>Handlingsplanen ska löpa under åren 2009-2012. Vid utgången av perioden ska kommissionen följa upp genomförandet av planen och undersöka behovet av ytterligare åtgärder.</w:t>
      </w:r>
    </w:p>
    <w:p w:rsidR="00BD6168" w:rsidRPr="00BD6168" w:rsidRDefault="00BD6168"/>
    <w:p w:rsidR="00BD6168" w:rsidRPr="00BD6168" w:rsidRDefault="00BD6168">
      <w:pPr>
        <w:pStyle w:val="Rubrik2"/>
      </w:pPr>
      <w:r w:rsidRPr="00BD6168">
        <w:t>Gällande svenska regler och förslagets effekt på dessa</w:t>
      </w:r>
    </w:p>
    <w:p w:rsidR="00BD6168" w:rsidRPr="00BD6168" w:rsidRDefault="00BD6168">
      <w:r w:rsidRPr="00BD6168">
        <w:t>Ingen effekt.</w:t>
      </w:r>
    </w:p>
    <w:p w:rsidR="00BD6168" w:rsidRPr="00BD6168" w:rsidRDefault="00BD6168"/>
    <w:p w:rsidR="00BD6168" w:rsidRPr="00BD6168" w:rsidRDefault="00BD6168">
      <w:pPr>
        <w:pStyle w:val="Rubrik2"/>
      </w:pPr>
      <w:r w:rsidRPr="00BD6168">
        <w:t>Budgetära konsekvenser / Konsekvensanalys</w:t>
      </w:r>
    </w:p>
    <w:p w:rsidR="00BD6168" w:rsidRPr="00BD6168" w:rsidRDefault="00BD6168">
      <w:r w:rsidRPr="00BD6168">
        <w:t>Inga budgetära konsekvenser.</w:t>
      </w:r>
    </w:p>
    <w:p w:rsidR="00BD6168" w:rsidRPr="00BD6168" w:rsidRDefault="00BD6168"/>
    <w:p w:rsidR="00BD6168" w:rsidRPr="00BD6168" w:rsidRDefault="00BD6168">
      <w:pPr>
        <w:pStyle w:val="Rubrik1"/>
      </w:pPr>
      <w:r w:rsidRPr="00BD6168">
        <w:t>Ståndpunkter</w:t>
      </w:r>
    </w:p>
    <w:p w:rsidR="00BD6168" w:rsidRPr="00BD6168" w:rsidRDefault="00BD6168">
      <w:pPr>
        <w:pStyle w:val="Rubrik2"/>
      </w:pPr>
      <w:r w:rsidRPr="00BD6168">
        <w:t>Preliminär svensk ståndpunkt</w:t>
      </w:r>
    </w:p>
    <w:p w:rsidR="00BD6168" w:rsidRPr="00BD6168" w:rsidRDefault="00BD6168">
      <w:r w:rsidRPr="00BD6168">
        <w:t xml:space="preserve">Regeringen är positiv till att EU främjar bättre stadstransporter genom åtgärder som spridning av information, kunskap och att ta fram riktlinjer. Det innebär ett stöd för lokala, regionala och nationella myndigheter i arbetet med att förbättra städernas transportsituation, bland annat för att förbättra städernas luftkvalitet. EU bör särskilt ha en roll i arbetet med att minska variationen i utformningen av gröna zoner genom att främja gemensamma standarder.  </w:t>
      </w:r>
    </w:p>
    <w:p w:rsidR="00BD6168" w:rsidRPr="00BD6168" w:rsidRDefault="00BD6168">
      <w:pPr>
        <w:pStyle w:val="Rubrik2"/>
      </w:pPr>
      <w:r w:rsidRPr="00BD6168">
        <w:t>Medlemsstaternas ståndpunkter</w:t>
      </w:r>
    </w:p>
    <w:p w:rsidR="00BD6168" w:rsidRPr="00BD6168" w:rsidRDefault="00BD6168">
      <w:r w:rsidRPr="00BD6168">
        <w:t>Många medlemsstater, däribland Sverige, förespråkar att åtgärderna inte ska inkludera överstatlig lagstiftning.</w:t>
      </w:r>
    </w:p>
    <w:p w:rsidR="00BD6168" w:rsidRPr="00BD6168" w:rsidRDefault="00BD6168">
      <w:r w:rsidRPr="00BD6168">
        <w:t xml:space="preserve"> </w:t>
      </w:r>
    </w:p>
    <w:p w:rsidR="00BD6168" w:rsidRPr="00BD6168" w:rsidRDefault="00BD6168">
      <w:pPr>
        <w:pStyle w:val="Rubrik2"/>
      </w:pPr>
      <w:r w:rsidRPr="00BD6168">
        <w:t>Institutionernas ståndpunkter</w:t>
      </w:r>
    </w:p>
    <w:p w:rsidR="00BD6168" w:rsidRPr="00BD6168" w:rsidRDefault="00BD6168">
      <w:r w:rsidRPr="00BD6168">
        <w:t xml:space="preserve">Kommissionens handlingsplan för stadstransporter har efterfrågats av Europaparlamentet (INI/2008/2217).  </w:t>
      </w:r>
    </w:p>
    <w:p w:rsidR="00BD6168" w:rsidRPr="00BD6168" w:rsidRDefault="00BD6168"/>
    <w:p w:rsidR="00BD6168" w:rsidRPr="00BD6168" w:rsidRDefault="00BD6168">
      <w:pPr>
        <w:pStyle w:val="Rubrik2"/>
      </w:pPr>
      <w:r w:rsidRPr="00BD6168">
        <w:t>Remissinstansernas ståndpunkter</w:t>
      </w:r>
    </w:p>
    <w:p w:rsidR="00BD6168" w:rsidRPr="00BD6168" w:rsidRDefault="00BD6168">
      <w:r w:rsidRPr="00BD6168">
        <w:t>Inget remissförfarande har ägt rum.</w:t>
      </w:r>
    </w:p>
    <w:p w:rsidR="00BD6168" w:rsidRPr="00BD6168" w:rsidRDefault="00BD6168"/>
    <w:p w:rsidR="00BD6168" w:rsidRPr="00BD6168" w:rsidRDefault="00BD6168">
      <w:pPr>
        <w:pStyle w:val="Rubrik1"/>
      </w:pPr>
      <w:r w:rsidRPr="00BD6168">
        <w:t>Förslagets förutsättningar</w:t>
      </w:r>
    </w:p>
    <w:p w:rsidR="00BD6168" w:rsidRPr="00BD6168" w:rsidRDefault="00BD6168">
      <w:pPr>
        <w:pStyle w:val="Rubrik2"/>
      </w:pPr>
      <w:r w:rsidRPr="00BD6168">
        <w:t>Rättslig grund och beslutsförfarande</w:t>
      </w:r>
    </w:p>
    <w:p w:rsidR="00BD6168" w:rsidRPr="00BD6168" w:rsidRDefault="00BD6168">
      <w:r w:rsidRPr="00BD6168">
        <w:t>Inte aktuellt.</w:t>
      </w:r>
    </w:p>
    <w:p w:rsidR="00BD6168" w:rsidRPr="00BD6168" w:rsidRDefault="00BD6168">
      <w:pPr>
        <w:pStyle w:val="Rubrik2"/>
      </w:pPr>
      <w:r w:rsidRPr="00BD6168">
        <w:t>Subsidiaritets- och proportionalitetsprincipen</w:t>
      </w:r>
    </w:p>
    <w:p w:rsidR="00BD6168" w:rsidRPr="00BD6168" w:rsidRDefault="00BD6168">
      <w:r w:rsidRPr="00BD6168">
        <w:t>Inte aktuellt.</w:t>
      </w:r>
    </w:p>
    <w:p w:rsidR="00BD6168" w:rsidRPr="00BD6168" w:rsidRDefault="00BD6168">
      <w:pPr>
        <w:pStyle w:val="Rubrik1"/>
      </w:pPr>
      <w:r w:rsidRPr="00BD6168">
        <w:t>Övrigt</w:t>
      </w:r>
    </w:p>
    <w:p w:rsidR="00BD6168" w:rsidRPr="00BD6168" w:rsidRDefault="00BD6168">
      <w:pPr>
        <w:pStyle w:val="Rubrik2"/>
      </w:pPr>
      <w:r w:rsidRPr="00BD6168">
        <w:t>Fortsatt behandling av ärendet</w:t>
      </w:r>
    </w:p>
    <w:p w:rsidR="00BD6168" w:rsidRPr="00BD6168" w:rsidRDefault="00BD6168">
      <w:r w:rsidRPr="00BD6168">
        <w:t>Det är okänt hur ärendet fortsatt kommer att behandlas.</w:t>
      </w:r>
    </w:p>
    <w:p w:rsidR="00BD6168" w:rsidRPr="00BD6168" w:rsidRDefault="00BD6168">
      <w:pPr>
        <w:pStyle w:val="Rubrik2"/>
      </w:pPr>
      <w:r w:rsidRPr="00BD6168">
        <w:t>Fackuttryck/termer</w:t>
      </w:r>
    </w:p>
    <w:p w:rsidR="00BD6168" w:rsidRPr="00BD6168" w:rsidRDefault="00BD6168">
      <w:r w:rsidRPr="00BD6168">
        <w:t>-</w:t>
      </w:r>
    </w:p>
    <w:sectPr w:rsidR="00000000" w:rsidRPr="00BD616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6168" w:rsidRPr="00BD6168" w:rsidRDefault="00BD6168">
      <w:r w:rsidRPr="00BD6168">
        <w:separator/>
      </w:r>
    </w:p>
  </w:endnote>
  <w:endnote w:type="continuationSeparator" w:id="0">
    <w:p w:rsidR="00BD6168" w:rsidRPr="00BD6168" w:rsidRDefault="00BD6168">
      <w:r w:rsidRPr="00BD61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168" w:rsidRPr="00BD6168" w:rsidRDefault="00BD616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168" w:rsidRPr="00BD6168" w:rsidRDefault="00BD6168">
    <w:pPr>
      <w:pStyle w:val="SidfotH"/>
      <w:framePr w:wrap="around"/>
    </w:pPr>
    <w:r w:rsidRPr="00BD6168">
      <w:t>4</w:t>
    </w:r>
  </w:p>
  <w:p w:rsidR="00BD6168" w:rsidRPr="00BD6168" w:rsidRDefault="00BD616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168" w:rsidRPr="00BD6168" w:rsidRDefault="00BD6168">
    <w:pPr>
      <w:pStyle w:val="SidfotH"/>
      <w:framePr w:wrap="around"/>
    </w:pPr>
    <w:r w:rsidRPr="00BD6168">
      <w:t>1</w:t>
    </w:r>
  </w:p>
  <w:p w:rsidR="00BD6168" w:rsidRPr="00BD6168" w:rsidRDefault="00BD61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6168" w:rsidRPr="00BD6168" w:rsidRDefault="00BD6168">
      <w:r w:rsidRPr="00BD6168">
        <w:separator/>
      </w:r>
    </w:p>
  </w:footnote>
  <w:footnote w:type="continuationSeparator" w:id="0">
    <w:p w:rsidR="00BD6168" w:rsidRPr="00BD6168" w:rsidRDefault="00BD6168">
      <w:r w:rsidRPr="00BD61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168" w:rsidRPr="00BD6168" w:rsidRDefault="00BD616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168" w:rsidRPr="00BD6168" w:rsidRDefault="00BD6168">
    <w:pPr>
      <w:pStyle w:val="Kantrubrik"/>
      <w:framePr w:h="1157" w:hRule="exact" w:wrap="around" w:y="738"/>
    </w:pPr>
    <w:r w:rsidRPr="00BD6168">
      <w:t>2009/10:FPM26</w:t>
    </w:r>
  </w:p>
  <w:p w:rsidR="00BD6168" w:rsidRPr="00BD6168" w:rsidRDefault="00BD616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168" w:rsidRPr="00BD6168" w:rsidRDefault="00BD6168">
    <w:pPr>
      <w:pStyle w:val="Sidhuvud"/>
    </w:pPr>
    <w:r w:rsidRPr="00BD616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789656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168" w:rsidRDefault="00BD616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29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D6168" w:rsidRDefault="00BD6168">
                    <w:pPr>
                      <w:pStyle w:val="Logo"/>
                    </w:pPr>
                    <w:r>
                      <w:object w:dxaOrig="840" w:dyaOrig="1545">
                        <v:shape id="_x0000_i1025" type="#_x0000_t75" style="width:42pt;height:77.5pt" filled="t">
                          <v:imagedata r:id="rId1" o:title=""/>
                        </v:shape>
                        <o:OLEObject Type="Embed" ProgID="Word.Picture.8" ShapeID="_x0000_i1025" DrawAspect="Content" ObjectID="_182753029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04642405">
    <w:abstractNumId w:val="4"/>
  </w:num>
  <w:num w:numId="2" w16cid:durableId="349989230">
    <w:abstractNumId w:val="1"/>
  </w:num>
  <w:num w:numId="3" w16cid:durableId="1642156348">
    <w:abstractNumId w:val="2"/>
  </w:num>
  <w:num w:numId="4" w16cid:durableId="818695254">
    <w:abstractNumId w:val="3"/>
  </w:num>
  <w:num w:numId="5" w16cid:durableId="1195196101">
    <w:abstractNumId w:val="5"/>
  </w:num>
  <w:num w:numId="6" w16cid:durableId="1095855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0-30"/>
    <w:docVar w:name="Ar" w:val="2009/10"/>
    <w:docVar w:name="Dep" w:val="Näringsdepartementet"/>
    <w:docVar w:name="DepWeb" w:val="Näringsdepartementet"/>
    <w:docVar w:name="GDB1" w:val="KOM (2009) 49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Handlingsplan för rörlighet i städ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490"/>
    <w:docVar w:name="Nr" w:val="26"/>
    <w:docVar w:name="RD_APPVERSION" w:val="3.00"/>
    <w:docVar w:name="Rub" w:val="Handlingsplan för rörlighet i städer"/>
    <w:docVar w:name="UppDat" w:val="2009-10-30"/>
    <w:docVar w:name="Utsk" w:val="Trafikutskottet"/>
  </w:docVars>
  <w:rsids>
    <w:rsidRoot w:val="00A763EF"/>
    <w:rsid w:val="00A763EF"/>
    <w:rsid w:val="00BD616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E096793-96CB-453A-8E8C-6BED7B84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656</Words>
  <Characters>4277</Characters>
  <Application>Microsoft Office Word</Application>
  <DocSecurity>4</DocSecurity>
  <Lines>106</Lines>
  <Paragraphs>49</Paragraphs>
  <ScaleCrop>false</ScaleCrop>
  <HeadingPairs>
    <vt:vector size="2" baseType="variant">
      <vt:variant>
        <vt:lpstr>Rubrik</vt:lpstr>
      </vt:variant>
      <vt:variant>
        <vt:i4>1</vt:i4>
      </vt:variant>
    </vt:vector>
  </HeadingPairs>
  <TitlesOfParts>
    <vt:vector size="1" baseType="lpstr">
      <vt:lpstr>FPM_200910__26</vt:lpstr>
    </vt:vector>
  </TitlesOfParts>
  <Company>RD-DTSL</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FPM_200910__26</dc:title>
  <dc:subject>FPM_200910__26</dc:subject>
  <dc:creator>Riksdagen</dc:creator>
  <cp:keywords>Riksdagen</cp:keywords>
  <dc:description>KP2004-version.  Ändringarna påverkar enbart användningen inom Riksdagen. 050429 nya departement DTSL.</dc:description>
  <cp:lastModifiedBy>Lars Brink</cp:lastModifiedBy>
  <cp:revision>2</cp:revision>
  <cp:lastPrinted>2009-11-02T10:02:00Z</cp:lastPrinted>
  <dcterms:created xsi:type="dcterms:W3CDTF">2025-12-17T23:19:00Z</dcterms:created>
  <dcterms:modified xsi:type="dcterms:W3CDTF">2025-12-17T23:19:00Z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26</vt:lpwstr>
  </property>
  <property fmtid="{D5CDD505-2E9C-101B-9397-08002B2CF9AE}" pid="4" name="GDB1">
    <vt:lpwstr>KOM (2009) 490</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Handlingsplan för rörlighet i städer</vt:lpwstr>
  </property>
  <property fmtid="{D5CDD505-2E9C-101B-9397-08002B2CF9AE}" pid="8" name="UppDat">
    <vt:lpwstr>2009-10-30</vt:lpwstr>
  </property>
  <property fmtid="{D5CDD505-2E9C-101B-9397-08002B2CF9AE}" pid="9" name="AnkDat">
    <vt:lpwstr>2009-10-30</vt:lpwstr>
  </property>
  <property fmtid="{D5CDD505-2E9C-101B-9397-08002B2CF9AE}" pid="10" name="Utsk">
    <vt:lpwstr>Trafikutskottet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10;0;0;467</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Justitiedepartementet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