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E147E7" w:rsidRDefault="002962E8" w:rsidP="00467F32">
      <w:pPr>
        <w:spacing w:line="300" w:lineRule="exact"/>
        <w:ind w:right="-193"/>
        <w:jc w:val="both"/>
        <w:rPr>
          <w:color w:val="000000"/>
          <w:sz w:val="22"/>
        </w:rPr>
      </w:pPr>
      <w:r w:rsidRPr="00E147E7">
        <w:rPr>
          <w:b/>
          <w:bCs/>
          <w:color w:val="000000"/>
          <w:sz w:val="22"/>
        </w:rPr>
        <w:t>REGERINGSKANSLIET</w:t>
      </w:r>
      <w:r w:rsidR="00467F32" w:rsidRPr="00E147E7">
        <w:rPr>
          <w:color w:val="000000"/>
          <w:sz w:val="22"/>
        </w:rPr>
        <w:tab/>
      </w:r>
      <w:r w:rsidR="00467F32" w:rsidRPr="00E147E7">
        <w:rPr>
          <w:color w:val="000000"/>
          <w:sz w:val="22"/>
        </w:rPr>
        <w:tab/>
      </w:r>
      <w:r w:rsidR="00467F32" w:rsidRPr="00E147E7">
        <w:rPr>
          <w:color w:val="000000"/>
          <w:sz w:val="22"/>
        </w:rPr>
        <w:tab/>
      </w:r>
      <w:r w:rsidR="00467F32" w:rsidRPr="00E147E7">
        <w:rPr>
          <w:color w:val="000000"/>
          <w:sz w:val="22"/>
        </w:rPr>
        <w:tab/>
        <w:t xml:space="preserve">Kommenterad </w:t>
      </w:r>
      <w:r w:rsidRPr="00E147E7">
        <w:rPr>
          <w:color w:val="000000"/>
          <w:sz w:val="22"/>
        </w:rPr>
        <w:t>dagordning</w:t>
      </w:r>
      <w:r w:rsidR="00467F32" w:rsidRPr="00E147E7">
        <w:rPr>
          <w:b/>
          <w:color w:val="000000"/>
          <w:sz w:val="22"/>
        </w:rPr>
        <w:t xml:space="preserve"> </w:t>
      </w:r>
    </w:p>
    <w:p w:rsidR="002962E8" w:rsidRPr="00E147E7" w:rsidRDefault="002962E8">
      <w:pPr>
        <w:spacing w:line="300" w:lineRule="exact"/>
        <w:jc w:val="both"/>
        <w:rPr>
          <w:color w:val="000000"/>
          <w:sz w:val="22"/>
        </w:rPr>
      </w:pPr>
      <w:r w:rsidRPr="00E147E7">
        <w:rPr>
          <w:color w:val="000000"/>
          <w:sz w:val="22"/>
        </w:rPr>
        <w:t>Utrikesdepartementet</w:t>
      </w:r>
      <w:r w:rsidRPr="00E147E7">
        <w:rPr>
          <w:color w:val="000000"/>
          <w:sz w:val="22"/>
        </w:rPr>
        <w:tab/>
      </w:r>
      <w:r w:rsidRPr="00E147E7">
        <w:rPr>
          <w:color w:val="000000"/>
          <w:sz w:val="22"/>
        </w:rPr>
        <w:tab/>
      </w:r>
      <w:r w:rsidRPr="00E147E7">
        <w:rPr>
          <w:color w:val="000000"/>
          <w:sz w:val="22"/>
        </w:rPr>
        <w:tab/>
      </w:r>
      <w:r w:rsidRPr="00E147E7">
        <w:rPr>
          <w:color w:val="000000"/>
          <w:sz w:val="22"/>
        </w:rPr>
        <w:tab/>
      </w:r>
      <w:r w:rsidRPr="00E147E7">
        <w:rPr>
          <w:color w:val="000000"/>
          <w:sz w:val="22"/>
        </w:rPr>
        <w:tab/>
        <w:t>Ministerrådet</w:t>
      </w:r>
      <w:r w:rsidR="00467F32" w:rsidRPr="00E147E7">
        <w:rPr>
          <w:b/>
          <w:color w:val="000000"/>
          <w:sz w:val="22"/>
        </w:rPr>
        <w:t xml:space="preserve"> </w:t>
      </w:r>
    </w:p>
    <w:p w:rsidR="002962E8" w:rsidRPr="00E147E7" w:rsidRDefault="002962E8">
      <w:pPr>
        <w:spacing w:line="300" w:lineRule="exact"/>
        <w:jc w:val="both"/>
        <w:rPr>
          <w:color w:val="000000"/>
        </w:rPr>
      </w:pPr>
    </w:p>
    <w:p w:rsidR="002962E8" w:rsidRPr="00E147E7" w:rsidRDefault="002962E8">
      <w:pPr>
        <w:spacing w:line="300" w:lineRule="exact"/>
        <w:jc w:val="both"/>
        <w:rPr>
          <w:color w:val="000000"/>
        </w:rPr>
      </w:pPr>
      <w:r w:rsidRPr="00E147E7">
        <w:rPr>
          <w:color w:val="000000"/>
        </w:rPr>
        <w:tab/>
      </w:r>
      <w:r w:rsidRPr="00E147E7">
        <w:rPr>
          <w:color w:val="000000"/>
        </w:rPr>
        <w:tab/>
      </w:r>
      <w:r w:rsidRPr="00E147E7">
        <w:rPr>
          <w:color w:val="000000"/>
        </w:rPr>
        <w:tab/>
      </w:r>
      <w:r w:rsidRPr="00E147E7">
        <w:rPr>
          <w:color w:val="000000"/>
        </w:rPr>
        <w:tab/>
      </w:r>
      <w:r w:rsidRPr="00E147E7">
        <w:rPr>
          <w:color w:val="000000"/>
        </w:rPr>
        <w:tab/>
      </w:r>
      <w:r w:rsidRPr="00E147E7">
        <w:rPr>
          <w:color w:val="000000"/>
        </w:rPr>
        <w:tab/>
      </w:r>
      <w:r w:rsidRPr="00E147E7">
        <w:rPr>
          <w:color w:val="000000"/>
        </w:rPr>
        <w:tab/>
      </w:r>
      <w:r w:rsidR="00DD3017" w:rsidRPr="00E147E7">
        <w:rPr>
          <w:color w:val="000000"/>
        </w:rPr>
        <w:t>2007-0</w:t>
      </w:r>
      <w:r w:rsidR="00364C95" w:rsidRPr="00E147E7">
        <w:rPr>
          <w:color w:val="000000"/>
        </w:rPr>
        <w:t>6-11</w:t>
      </w:r>
    </w:p>
    <w:p w:rsidR="002962E8" w:rsidRPr="00E147E7" w:rsidRDefault="002962E8">
      <w:pPr>
        <w:spacing w:line="300" w:lineRule="exact"/>
        <w:jc w:val="both"/>
        <w:rPr>
          <w:color w:val="000000"/>
          <w:sz w:val="18"/>
        </w:rPr>
      </w:pPr>
      <w:r w:rsidRPr="00E147E7">
        <w:rPr>
          <w:color w:val="000000"/>
          <w:sz w:val="18"/>
        </w:rPr>
        <w:t>Enheten för Europeiska unionen</w:t>
      </w:r>
    </w:p>
    <w:p w:rsidR="002962E8" w:rsidRPr="00E147E7" w:rsidRDefault="002962E8">
      <w:pPr>
        <w:spacing w:line="300" w:lineRule="exact"/>
        <w:jc w:val="both"/>
        <w:rPr>
          <w:color w:val="000000"/>
        </w:rPr>
      </w:pPr>
    </w:p>
    <w:p w:rsidR="002962E8" w:rsidRPr="00E147E7" w:rsidRDefault="002962E8">
      <w:pPr>
        <w:spacing w:line="300" w:lineRule="exact"/>
        <w:jc w:val="both"/>
        <w:rPr>
          <w:color w:val="000000"/>
        </w:rPr>
      </w:pPr>
    </w:p>
    <w:p w:rsidR="002962E8" w:rsidRPr="00E147E7" w:rsidRDefault="002962E8">
      <w:pPr>
        <w:spacing w:line="300" w:lineRule="exact"/>
        <w:jc w:val="both"/>
        <w:rPr>
          <w:color w:val="000000"/>
        </w:rPr>
      </w:pPr>
    </w:p>
    <w:p w:rsidR="002962E8" w:rsidRPr="00E147E7" w:rsidRDefault="002962E8">
      <w:pPr>
        <w:spacing w:line="300" w:lineRule="exact"/>
        <w:ind w:left="1418"/>
        <w:jc w:val="both"/>
        <w:rPr>
          <w:color w:val="000000"/>
          <w:sz w:val="24"/>
        </w:rPr>
      </w:pPr>
    </w:p>
    <w:p w:rsidR="002962E8" w:rsidRPr="00E147E7" w:rsidRDefault="002962E8">
      <w:pPr>
        <w:spacing w:line="300" w:lineRule="exact"/>
        <w:ind w:left="1418"/>
        <w:jc w:val="both"/>
        <w:rPr>
          <w:color w:val="000000"/>
          <w:sz w:val="24"/>
        </w:rPr>
      </w:pPr>
    </w:p>
    <w:p w:rsidR="002962E8" w:rsidRPr="00E147E7" w:rsidRDefault="002962E8">
      <w:pPr>
        <w:spacing w:line="300" w:lineRule="exact"/>
        <w:ind w:left="1418"/>
        <w:jc w:val="both"/>
        <w:rPr>
          <w:color w:val="000000"/>
          <w:sz w:val="24"/>
        </w:rPr>
      </w:pPr>
    </w:p>
    <w:p w:rsidR="002962E8" w:rsidRPr="00E147E7" w:rsidRDefault="002962E8">
      <w:pPr>
        <w:spacing w:line="300" w:lineRule="exact"/>
        <w:ind w:left="1418"/>
        <w:jc w:val="both"/>
        <w:rPr>
          <w:color w:val="000000"/>
          <w:sz w:val="24"/>
        </w:rPr>
      </w:pPr>
    </w:p>
    <w:p w:rsidR="002962E8" w:rsidRPr="00E147E7" w:rsidRDefault="002962E8">
      <w:pPr>
        <w:tabs>
          <w:tab w:val="left" w:pos="5103"/>
        </w:tabs>
        <w:spacing w:line="300" w:lineRule="exact"/>
        <w:jc w:val="both"/>
        <w:rPr>
          <w:rFonts w:ascii="Garamond" w:hAnsi="Garamond"/>
          <w:b/>
          <w:sz w:val="28"/>
          <w:u w:val="single"/>
        </w:rPr>
      </w:pPr>
    </w:p>
    <w:p w:rsidR="002962E8" w:rsidRPr="00E147E7" w:rsidRDefault="002962E8">
      <w:pPr>
        <w:tabs>
          <w:tab w:val="left" w:pos="5103"/>
        </w:tabs>
        <w:spacing w:line="300" w:lineRule="exact"/>
        <w:jc w:val="both"/>
        <w:rPr>
          <w:rFonts w:ascii="Garamond" w:hAnsi="Garamond"/>
          <w:b/>
          <w:sz w:val="28"/>
          <w:u w:val="single"/>
        </w:rPr>
      </w:pPr>
    </w:p>
    <w:p w:rsidR="002962E8" w:rsidRPr="00E147E7" w:rsidRDefault="002962E8">
      <w:pPr>
        <w:pStyle w:val="UDrubrik"/>
        <w:ind w:left="1418"/>
        <w:rPr>
          <w:sz w:val="24"/>
          <w:u w:val="single"/>
        </w:rPr>
      </w:pPr>
      <w:r w:rsidRPr="00E147E7">
        <w:rPr>
          <w:sz w:val="24"/>
          <w:u w:val="single"/>
        </w:rPr>
        <w:t xml:space="preserve">Kommenterad dagordning för rådet för allmänna frågor och yttre förbindelser den </w:t>
      </w:r>
      <w:r w:rsidR="00361EBD" w:rsidRPr="00E147E7">
        <w:rPr>
          <w:sz w:val="24"/>
          <w:u w:val="single"/>
        </w:rPr>
        <w:t>18</w:t>
      </w:r>
      <w:r w:rsidR="00DD3017" w:rsidRPr="00E147E7">
        <w:rPr>
          <w:sz w:val="24"/>
          <w:u w:val="single"/>
        </w:rPr>
        <w:t xml:space="preserve"> </w:t>
      </w:r>
      <w:r w:rsidR="00361EBD" w:rsidRPr="00E147E7">
        <w:rPr>
          <w:sz w:val="24"/>
          <w:u w:val="single"/>
        </w:rPr>
        <w:t>juni</w:t>
      </w:r>
      <w:r w:rsidR="00DD3017" w:rsidRPr="00E147E7">
        <w:rPr>
          <w:sz w:val="24"/>
          <w:u w:val="single"/>
        </w:rPr>
        <w:t xml:space="preserve"> 2007</w:t>
      </w:r>
    </w:p>
    <w:p w:rsidR="00E919DE" w:rsidRPr="00E147E7" w:rsidRDefault="00E919DE" w:rsidP="00E919DE">
      <w:pPr>
        <w:pStyle w:val="Rubrik1"/>
        <w:spacing w:before="60"/>
        <w:ind w:left="1418"/>
        <w:rPr>
          <w:sz w:val="28"/>
        </w:rPr>
      </w:pPr>
      <w:bookmarkStart w:id="0" w:name="_Toc128393595"/>
    </w:p>
    <w:p w:rsidR="00E919DE" w:rsidRPr="00E147E7" w:rsidRDefault="000863A6" w:rsidP="00E919DE">
      <w:pPr>
        <w:pStyle w:val="Rubrik1"/>
        <w:spacing w:before="60"/>
        <w:ind w:left="1418"/>
        <w:rPr>
          <w:sz w:val="28"/>
        </w:rPr>
      </w:pPr>
      <w:r w:rsidRPr="00E147E7">
        <w:rPr>
          <w:sz w:val="28"/>
        </w:rPr>
        <w:t xml:space="preserve">ALLMÄNNA RÅDET </w:t>
      </w:r>
      <w:r w:rsidR="00BE1AA4" w:rsidRPr="00E147E7">
        <w:rPr>
          <w:sz w:val="28"/>
        </w:rPr>
        <w:t>18</w:t>
      </w:r>
      <w:r w:rsidR="00DD3017" w:rsidRPr="00E147E7">
        <w:rPr>
          <w:sz w:val="28"/>
        </w:rPr>
        <w:t xml:space="preserve"> </w:t>
      </w:r>
      <w:r w:rsidR="00BE1AA4" w:rsidRPr="00E147E7">
        <w:rPr>
          <w:sz w:val="28"/>
        </w:rPr>
        <w:t>juni</w:t>
      </w:r>
      <w:r w:rsidR="00DD3017" w:rsidRPr="00E147E7">
        <w:rPr>
          <w:sz w:val="28"/>
        </w:rPr>
        <w:t xml:space="preserve"> 2007</w:t>
      </w:r>
    </w:p>
    <w:p w:rsidR="004C4093" w:rsidRPr="00E147E7" w:rsidRDefault="004C4093" w:rsidP="004C4093">
      <w:pPr>
        <w:ind w:left="698" w:firstLine="720"/>
        <w:rPr>
          <w:rFonts w:ascii="Garamond" w:hAnsi="Garamond"/>
          <w:b/>
          <w:bCs/>
          <w:sz w:val="24"/>
        </w:rPr>
      </w:pPr>
      <w:bookmarkStart w:id="1" w:name="_Toc150242347"/>
    </w:p>
    <w:p w:rsidR="004C4093" w:rsidRPr="00E147E7" w:rsidRDefault="004C4093" w:rsidP="004C4093">
      <w:pPr>
        <w:ind w:left="698" w:firstLine="720"/>
        <w:rPr>
          <w:rFonts w:ascii="Garamond" w:hAnsi="Garamond"/>
          <w:sz w:val="24"/>
        </w:rPr>
      </w:pPr>
      <w:r w:rsidRPr="00E147E7">
        <w:rPr>
          <w:rFonts w:ascii="Garamond" w:hAnsi="Garamond"/>
          <w:b/>
          <w:bCs/>
          <w:sz w:val="24"/>
        </w:rPr>
        <w:t>1. Godkännande av den preliminära dagordningen</w:t>
      </w:r>
      <w:bookmarkEnd w:id="1"/>
    </w:p>
    <w:p w:rsidR="004C4093" w:rsidRPr="00E147E7" w:rsidRDefault="004C4093" w:rsidP="004C4093">
      <w:pPr>
        <w:rPr>
          <w:rFonts w:ascii="Garamond" w:hAnsi="Garamond"/>
          <w:sz w:val="24"/>
        </w:rPr>
      </w:pPr>
    </w:p>
    <w:p w:rsidR="004C4093" w:rsidRPr="00E147E7" w:rsidRDefault="004C4093" w:rsidP="004C4093">
      <w:pPr>
        <w:ind w:left="698" w:firstLine="720"/>
        <w:rPr>
          <w:rFonts w:ascii="Garamond" w:hAnsi="Garamond"/>
          <w:b/>
          <w:bCs/>
          <w:sz w:val="24"/>
        </w:rPr>
      </w:pPr>
      <w:bookmarkStart w:id="2" w:name="_Toc150242348"/>
      <w:r w:rsidRPr="00E147E7">
        <w:rPr>
          <w:rFonts w:ascii="Garamond" w:hAnsi="Garamond"/>
          <w:b/>
          <w:bCs/>
          <w:sz w:val="24"/>
        </w:rPr>
        <w:t>2. Godkännande av A-punkterna</w:t>
      </w:r>
      <w:bookmarkEnd w:id="2"/>
    </w:p>
    <w:p w:rsidR="004C4093" w:rsidRPr="00E147E7" w:rsidRDefault="004C4093" w:rsidP="004C4093">
      <w:pPr>
        <w:rPr>
          <w:rFonts w:ascii="Garamond" w:hAnsi="Garamond"/>
          <w:sz w:val="24"/>
        </w:rPr>
      </w:pPr>
    </w:p>
    <w:p w:rsidR="004C4093" w:rsidRPr="00E147E7" w:rsidRDefault="004C4093" w:rsidP="004C4093">
      <w:pPr>
        <w:ind w:left="1440"/>
        <w:rPr>
          <w:rFonts w:ascii="Garamond" w:hAnsi="Garamond"/>
          <w:b/>
          <w:bCs/>
          <w:sz w:val="24"/>
        </w:rPr>
      </w:pPr>
      <w:r w:rsidRPr="00E147E7">
        <w:rPr>
          <w:rFonts w:ascii="Garamond" w:hAnsi="Garamond"/>
          <w:b/>
          <w:bCs/>
          <w:sz w:val="24"/>
        </w:rPr>
        <w:t>3. Resolutioner och beslut antagna av Europaparlamentet 9-10 och 21-24 maj 2007</w:t>
      </w:r>
    </w:p>
    <w:p w:rsidR="004C4093" w:rsidRPr="00E147E7" w:rsidRDefault="004C4093" w:rsidP="004C4093">
      <w:pPr>
        <w:ind w:left="1440"/>
        <w:rPr>
          <w:rFonts w:ascii="Garamond" w:hAnsi="Garamond"/>
          <w:b/>
          <w:bCs/>
          <w:sz w:val="24"/>
        </w:rPr>
      </w:pPr>
    </w:p>
    <w:p w:rsidR="004C4093" w:rsidRPr="00E147E7" w:rsidRDefault="004C4093" w:rsidP="004C4093">
      <w:pPr>
        <w:overflowPunct/>
        <w:spacing w:line="240" w:lineRule="atLeast"/>
        <w:ind w:left="1440"/>
        <w:textAlignment w:val="auto"/>
        <w:rPr>
          <w:rFonts w:ascii="Garamond" w:hAnsi="Garamond" w:cs="Garamond"/>
          <w:color w:val="000000"/>
          <w:sz w:val="24"/>
          <w:szCs w:val="24"/>
          <w:lang w:eastAsia="sv-SE"/>
        </w:rPr>
      </w:pPr>
      <w:r w:rsidRPr="00E147E7">
        <w:rPr>
          <w:rFonts w:ascii="Garamond" w:hAnsi="Garamond" w:cs="Garamond"/>
          <w:color w:val="000000"/>
          <w:sz w:val="24"/>
          <w:szCs w:val="24"/>
          <w:lang w:eastAsia="sv-SE"/>
        </w:rPr>
        <w:t xml:space="preserve">Dagordningspunkten är en standardpunkt för anmälan av beslut m.m. från </w:t>
      </w:r>
    </w:p>
    <w:p w:rsidR="004C4093" w:rsidRPr="00E147E7" w:rsidRDefault="004C4093" w:rsidP="004C4093">
      <w:pPr>
        <w:overflowPunct/>
        <w:spacing w:line="240" w:lineRule="atLeast"/>
        <w:ind w:left="1440"/>
        <w:textAlignment w:val="auto"/>
        <w:rPr>
          <w:rFonts w:ascii="Garamond" w:hAnsi="Garamond" w:cs="Garamond"/>
          <w:color w:val="000000"/>
          <w:sz w:val="24"/>
          <w:szCs w:val="24"/>
          <w:lang w:eastAsia="sv-SE"/>
        </w:rPr>
      </w:pPr>
      <w:r w:rsidRPr="00E147E7">
        <w:rPr>
          <w:rFonts w:ascii="Garamond" w:hAnsi="Garamond" w:cs="Garamond"/>
          <w:color w:val="000000"/>
          <w:sz w:val="24"/>
          <w:szCs w:val="24"/>
          <w:lang w:eastAsia="sv-SE"/>
        </w:rPr>
        <w:t>Europaparlamentets sessioner. Punkten avser sammanträdesperioderna</w:t>
      </w:r>
    </w:p>
    <w:p w:rsidR="004C4093" w:rsidRPr="00E147E7" w:rsidRDefault="004C4093" w:rsidP="004C4093">
      <w:pPr>
        <w:overflowPunct/>
        <w:spacing w:line="240" w:lineRule="atLeast"/>
        <w:ind w:left="1440"/>
        <w:textAlignment w:val="auto"/>
        <w:rPr>
          <w:rFonts w:ascii="Garamond" w:hAnsi="Garamond" w:cs="Garamond"/>
          <w:color w:val="000000"/>
          <w:sz w:val="24"/>
          <w:szCs w:val="24"/>
          <w:lang w:eastAsia="sv-SE"/>
        </w:rPr>
      </w:pPr>
      <w:r w:rsidRPr="00E147E7">
        <w:rPr>
          <w:rFonts w:ascii="Garamond" w:hAnsi="Garamond" w:cs="Garamond"/>
          <w:color w:val="000000"/>
          <w:sz w:val="24"/>
          <w:szCs w:val="24"/>
          <w:lang w:eastAsia="sv-SE"/>
        </w:rPr>
        <w:t>9-10 maj 2007 och 21-24 maj 2007 och omfattar bl.a.</w:t>
      </w:r>
    </w:p>
    <w:p w:rsidR="004C4093" w:rsidRPr="00E147E7" w:rsidRDefault="004C4093" w:rsidP="004C4093">
      <w:pPr>
        <w:ind w:left="1440"/>
        <w:rPr>
          <w:rFonts w:ascii="Garamond" w:hAnsi="Garamond"/>
          <w:b/>
          <w:bCs/>
          <w:sz w:val="24"/>
        </w:rPr>
      </w:pPr>
      <w:r w:rsidRPr="00E147E7">
        <w:rPr>
          <w:rFonts w:ascii="Garamond" w:hAnsi="Garamond" w:cs="Garamond"/>
          <w:color w:val="000000"/>
          <w:sz w:val="24"/>
          <w:szCs w:val="24"/>
          <w:lang w:eastAsia="sv-SE"/>
        </w:rPr>
        <w:t>Afrikas horn och EU:s handelsrelaterade bistånd.</w:t>
      </w:r>
    </w:p>
    <w:p w:rsidR="004C4093" w:rsidRPr="00E147E7" w:rsidRDefault="004C4093" w:rsidP="004C4093">
      <w:pPr>
        <w:ind w:left="1440"/>
        <w:rPr>
          <w:rFonts w:ascii="Garamond" w:hAnsi="Garamond"/>
          <w:b/>
          <w:sz w:val="24"/>
        </w:rPr>
      </w:pPr>
    </w:p>
    <w:p w:rsidR="004C4093" w:rsidRPr="00E147E7" w:rsidRDefault="004C4093" w:rsidP="004C4093">
      <w:pPr>
        <w:ind w:left="1440"/>
        <w:rPr>
          <w:rFonts w:ascii="Garamond" w:hAnsi="Garamond"/>
          <w:b/>
          <w:sz w:val="24"/>
        </w:rPr>
      </w:pPr>
      <w:r w:rsidRPr="00E147E7">
        <w:rPr>
          <w:rFonts w:ascii="Garamond" w:hAnsi="Garamond"/>
          <w:b/>
          <w:sz w:val="24"/>
        </w:rPr>
        <w:t>4. Fördragsprocessen</w:t>
      </w:r>
    </w:p>
    <w:p w:rsidR="004C4093" w:rsidRPr="00E147E7" w:rsidRDefault="004C4093" w:rsidP="004C4093">
      <w:pPr>
        <w:ind w:left="1440"/>
        <w:rPr>
          <w:rFonts w:ascii="Garamond" w:hAnsi="Garamond"/>
          <w:bCs/>
          <w:i/>
          <w:sz w:val="24"/>
        </w:rPr>
      </w:pPr>
    </w:p>
    <w:p w:rsidR="004C4093" w:rsidRPr="00E147E7" w:rsidRDefault="004C4093" w:rsidP="004C4093">
      <w:pPr>
        <w:ind w:left="1440"/>
        <w:rPr>
          <w:rFonts w:ascii="Garamond" w:hAnsi="Garamond"/>
          <w:bCs/>
          <w:i/>
          <w:sz w:val="24"/>
        </w:rPr>
      </w:pPr>
      <w:r w:rsidRPr="00E147E7">
        <w:rPr>
          <w:rFonts w:ascii="Garamond" w:hAnsi="Garamond"/>
          <w:bCs/>
          <w:i/>
          <w:sz w:val="24"/>
        </w:rPr>
        <w:t>Diskussionspunkt</w:t>
      </w:r>
    </w:p>
    <w:p w:rsidR="004C4093" w:rsidRPr="00E147E7" w:rsidRDefault="004C4093" w:rsidP="004C4093">
      <w:pPr>
        <w:ind w:left="1440"/>
        <w:rPr>
          <w:rFonts w:ascii="Garamond" w:hAnsi="Garamond"/>
          <w:bCs/>
          <w:i/>
          <w:sz w:val="24"/>
        </w:rPr>
      </w:pP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r w:rsidRPr="00E147E7">
        <w:rPr>
          <w:rFonts w:ascii="OrigGarmnd BT" w:hAnsi="OrigGarmnd BT"/>
          <w:bCs/>
          <w:color w:val="000000"/>
          <w:sz w:val="24"/>
          <w:szCs w:val="24"/>
          <w:lang w:eastAsia="sv-SE"/>
        </w:rPr>
        <w:t>Punkten kommer att diskuteras söndag 17/6, separat från den övriga diskussionen om toppmötesslutsatserna. . Slutsatstext väntas först inför Europeiska rådets möte.</w:t>
      </w: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r w:rsidRPr="00E147E7">
        <w:rPr>
          <w:rFonts w:ascii="OrigGarmnd BT" w:hAnsi="OrigGarmnd BT"/>
          <w:bCs/>
          <w:color w:val="000000"/>
          <w:sz w:val="24"/>
          <w:szCs w:val="24"/>
          <w:lang w:eastAsia="sv-SE"/>
        </w:rPr>
        <w:t xml:space="preserve">Fördragsfrågan kommer att dominera Europeiska rådets möte. Ordförandeskapets målsättning är att nå politisk enighet om hur ett nytt fördrag ska se ut och om mandatet för en regeringskonferens under hösten. Den av ordförandeskapet föreslagna inriktningen innebär att de viktiga reformer som det konstitutionella fördraget innehåller bevaras genom att tillägg görs i befintliga fördrag. Samtidigt är avsikten att avstå från vissa av det konstitutionella fördragets symboliska element, såsom unionens flagga och hymn. Eventuellt kan vissa tillägg aktualiseras under förutsättning att de bidrar till att stärka enigheten mellan </w:t>
      </w:r>
      <w:r w:rsidRPr="00E147E7">
        <w:rPr>
          <w:rFonts w:ascii="OrigGarmnd BT" w:hAnsi="OrigGarmnd BT"/>
          <w:bCs/>
          <w:color w:val="000000"/>
          <w:sz w:val="24"/>
          <w:szCs w:val="24"/>
          <w:lang w:eastAsia="sv-SE"/>
        </w:rPr>
        <w:lastRenderedPageBreak/>
        <w:t>medlemsstaterna om ett nytt fördrag. I diskussionerna har bland annat nämnts en markering av klimatfrågan, men även migration och förutsättningar för unionens utvidgning. Även andra tillägg kan komma att aktualiseras för att möta önskemål från enskilda medlemsländer. Merparten av dessa kan väntas utformas som politiska förklaringar och kommer inte att innebära att nya befogenheter tillförs unionen.</w:t>
      </w: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p>
    <w:p w:rsidR="004C4093" w:rsidRPr="00E147E7" w:rsidRDefault="004C4093" w:rsidP="004C4093">
      <w:pPr>
        <w:tabs>
          <w:tab w:val="left" w:pos="2835"/>
        </w:tabs>
        <w:spacing w:line="240" w:lineRule="atLeast"/>
        <w:ind w:left="1440"/>
        <w:rPr>
          <w:rFonts w:ascii="OrigGarmnd BT" w:hAnsi="OrigGarmnd BT"/>
          <w:b/>
          <w:bCs/>
          <w:color w:val="000000"/>
          <w:sz w:val="24"/>
          <w:szCs w:val="24"/>
          <w:lang w:eastAsia="sv-SE"/>
        </w:rPr>
      </w:pPr>
      <w:r w:rsidRPr="00E147E7">
        <w:rPr>
          <w:rFonts w:ascii="OrigGarmnd BT" w:hAnsi="OrigGarmnd BT"/>
          <w:b/>
          <w:bCs/>
          <w:color w:val="000000"/>
          <w:sz w:val="24"/>
          <w:szCs w:val="24"/>
          <w:lang w:eastAsia="sv-SE"/>
        </w:rPr>
        <w:t>Svensk ståndpunkt</w:t>
      </w: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r w:rsidRPr="00E147E7">
        <w:rPr>
          <w:rFonts w:ascii="OrigGarmnd BT" w:hAnsi="OrigGarmnd BT"/>
          <w:bCs/>
          <w:color w:val="000000"/>
          <w:sz w:val="24"/>
          <w:szCs w:val="24"/>
          <w:lang w:eastAsia="sv-SE"/>
        </w:rPr>
        <w:t>Regeringen vill verka för att unionen får ett nytt fördrag, som bevarar den helhetslösning och balans som finns i det konstitutionella fördraget. En reform av institutioner och viktiga politikområden behövs för att göra unionens funktionssätt mer effektivt och demokratiskt. Regeringens menar att tillägg i förhållande till den paketlösning som finns i det konstitutionella fördraget bör komma i fråga endast om de kan bidra till att stärka enigheten mellan medlemsstaterna i fördragsfrågan.</w:t>
      </w: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p>
    <w:p w:rsidR="004C4093" w:rsidRPr="00E147E7" w:rsidRDefault="004C4093" w:rsidP="004C4093">
      <w:pPr>
        <w:ind w:left="1440"/>
        <w:rPr>
          <w:rFonts w:ascii="Garamond" w:hAnsi="Garamond"/>
          <w:bCs/>
          <w:i/>
          <w:sz w:val="24"/>
        </w:rPr>
      </w:pPr>
    </w:p>
    <w:p w:rsidR="004C4093" w:rsidRPr="00E147E7" w:rsidRDefault="004C4093" w:rsidP="004C4093">
      <w:pPr>
        <w:ind w:left="1440"/>
        <w:rPr>
          <w:rFonts w:ascii="Garamond" w:hAnsi="Garamond"/>
          <w:b/>
          <w:bCs/>
          <w:sz w:val="24"/>
        </w:rPr>
      </w:pPr>
    </w:p>
    <w:p w:rsidR="004C4093" w:rsidRPr="00E147E7" w:rsidRDefault="004C4093" w:rsidP="004C4093">
      <w:pPr>
        <w:ind w:left="1440"/>
        <w:rPr>
          <w:rFonts w:ascii="Garamond" w:hAnsi="Garamond"/>
          <w:b/>
          <w:bCs/>
          <w:sz w:val="24"/>
        </w:rPr>
      </w:pPr>
      <w:r w:rsidRPr="00E147E7">
        <w:rPr>
          <w:rFonts w:ascii="Garamond" w:hAnsi="Garamond"/>
          <w:b/>
          <w:bCs/>
          <w:sz w:val="24"/>
        </w:rPr>
        <w:t>5. Inför Europeiska rådet juni 2007 – utkast till slutsatser</w:t>
      </w:r>
    </w:p>
    <w:p w:rsidR="004C4093" w:rsidRPr="00E147E7" w:rsidRDefault="004C4093" w:rsidP="004C4093">
      <w:pPr>
        <w:spacing w:line="240" w:lineRule="atLeast"/>
        <w:ind w:left="1440"/>
        <w:rPr>
          <w:rFonts w:ascii="Garamond" w:hAnsi="Garamond"/>
          <w:bCs/>
          <w:i/>
          <w:sz w:val="24"/>
        </w:rPr>
      </w:pPr>
    </w:p>
    <w:p w:rsidR="004C4093" w:rsidRPr="00E147E7" w:rsidRDefault="004C4093" w:rsidP="004C4093">
      <w:pPr>
        <w:spacing w:line="240" w:lineRule="atLeast"/>
        <w:ind w:left="1440"/>
        <w:rPr>
          <w:rFonts w:ascii="OrigGarmnd BT" w:hAnsi="OrigGarmnd BT"/>
          <w:i/>
          <w:iCs/>
          <w:color w:val="000000"/>
          <w:sz w:val="24"/>
          <w:szCs w:val="24"/>
          <w:lang w:eastAsia="sv-SE"/>
        </w:rPr>
      </w:pPr>
      <w:r w:rsidRPr="00E147E7">
        <w:rPr>
          <w:rFonts w:ascii="OrigGarmnd BT" w:hAnsi="OrigGarmnd BT"/>
          <w:i/>
          <w:iCs/>
          <w:color w:val="000000"/>
          <w:sz w:val="24"/>
          <w:szCs w:val="24"/>
          <w:lang w:eastAsia="sv-SE"/>
        </w:rPr>
        <w:t>Diskussionspunkt</w:t>
      </w:r>
    </w:p>
    <w:p w:rsidR="004C4093" w:rsidRPr="00E147E7" w:rsidRDefault="004C4093" w:rsidP="004C4093">
      <w:pPr>
        <w:spacing w:line="240" w:lineRule="atLeast"/>
        <w:ind w:left="1440"/>
        <w:rPr>
          <w:rFonts w:ascii="OrigGarmnd BT" w:hAnsi="OrigGarmnd BT"/>
          <w:i/>
          <w:iCs/>
          <w:color w:val="000000"/>
          <w:sz w:val="24"/>
          <w:szCs w:val="24"/>
          <w:lang w:eastAsia="sv-SE"/>
        </w:rPr>
      </w:pPr>
    </w:p>
    <w:p w:rsidR="004C4093" w:rsidRPr="00E147E7" w:rsidRDefault="004C4093" w:rsidP="004C4093">
      <w:pPr>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 xml:space="preserve">En diskussion om utkastet till slutsatser från Europeiska rådet den 21-22 juni kommer äga rum. </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Ordförandeskapet har presenterat slutsatsutkast som innehåller fyra rubriker:</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 xml:space="preserve">1. fördraget </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 xml:space="preserve">2. rättsliga och inrikesfrågor, </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 xml:space="preserve">3. ekonomiska, sociala och miljöfrågor samt </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 xml:space="preserve">4. yttre förbindelser. </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r w:rsidRPr="00E147E7">
        <w:rPr>
          <w:rFonts w:ascii="OrigGarmnd BT" w:hAnsi="OrigGarmnd BT"/>
          <w:color w:val="000000"/>
          <w:sz w:val="24"/>
          <w:szCs w:val="24"/>
          <w:lang w:eastAsia="sv-SE"/>
        </w:rPr>
        <w:t xml:space="preserve">Slutsatsutkastet kommer successivt att uppdateras mot bakgrund av de rådsmöten som äger rum liksom den fortsatta behandlingen i Coreper. </w:t>
      </w:r>
      <w:r w:rsidRPr="00E147E7">
        <w:rPr>
          <w:rFonts w:ascii="OrigGarmnd BT" w:hAnsi="OrigGarmnd BT"/>
          <w:bCs/>
          <w:color w:val="000000"/>
          <w:sz w:val="24"/>
          <w:szCs w:val="24"/>
          <w:lang w:eastAsia="sv-SE"/>
        </w:rPr>
        <w:t>Samtal väntas också mellan medlemsstaternas kontaktpunkter i fördragsfrågan.</w:t>
      </w: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p>
    <w:p w:rsidR="004C4093" w:rsidRPr="00E147E7" w:rsidRDefault="004C4093" w:rsidP="004C4093">
      <w:pPr>
        <w:tabs>
          <w:tab w:val="left" w:pos="2835"/>
        </w:tabs>
        <w:spacing w:line="240" w:lineRule="atLeast"/>
        <w:ind w:left="1440"/>
        <w:rPr>
          <w:rFonts w:ascii="OrigGarmnd BT" w:hAnsi="OrigGarmnd BT"/>
          <w:bCs/>
          <w:color w:val="000000"/>
          <w:sz w:val="24"/>
          <w:szCs w:val="24"/>
          <w:lang w:eastAsia="sv-SE"/>
        </w:rPr>
      </w:pPr>
      <w:r w:rsidRPr="00E147E7">
        <w:rPr>
          <w:rFonts w:ascii="OrigGarmnd BT" w:hAnsi="OrigGarmnd BT"/>
          <w:bCs/>
          <w:color w:val="000000"/>
          <w:sz w:val="24"/>
          <w:szCs w:val="24"/>
          <w:lang w:eastAsia="sv-SE"/>
        </w:rPr>
        <w:t xml:space="preserve">Fördragsfrågan kommer att dominera Europeiska rådets möte. Slutsatstext väntas först inför Europeiska rådets möte. </w:t>
      </w:r>
      <w:r w:rsidRPr="00E147E7">
        <w:rPr>
          <w:rFonts w:ascii="OrigGarmnd BT" w:hAnsi="OrigGarmnd BT"/>
          <w:bCs/>
          <w:i/>
          <w:color w:val="000000"/>
          <w:sz w:val="24"/>
          <w:szCs w:val="24"/>
          <w:lang w:eastAsia="sv-SE"/>
        </w:rPr>
        <w:t>(Se punkt 4, fördraget)</w:t>
      </w:r>
    </w:p>
    <w:p w:rsidR="004C4093" w:rsidRPr="00E147E7" w:rsidRDefault="004C4093" w:rsidP="004C4093">
      <w:pPr>
        <w:tabs>
          <w:tab w:val="left" w:pos="2835"/>
        </w:tabs>
        <w:spacing w:line="240" w:lineRule="atLeast"/>
        <w:ind w:left="1440"/>
        <w:rPr>
          <w:rFonts w:ascii="OrigGarmnd BT" w:hAnsi="OrigGarmnd BT"/>
          <w:b/>
          <w:bCs/>
          <w:color w:val="000000"/>
          <w:sz w:val="24"/>
          <w:szCs w:val="24"/>
          <w:lang w:eastAsia="sv-SE"/>
        </w:rPr>
      </w:pP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I avsnittet om rättsliga och inrikesfrågor föreslås slutsatser om migration. Europeiska rådet avser välkomna KOM:s meddelande om ”Global Approach” med fokus på migrationsströmmar från öst och sydöst samt ställa sig bakom de prioriterade åtgärder som RIF-rådet väntas anta den 12 juni. Vidare bekräftas EU:s behov av att ytterligare bidra till att hantera de yttre gränserna och stärka FRONTEX kapacitet. Överenskommelsen om att etablera snabbinsatsgrupper, lansera kustpatrull och att skapa en centraliserad verktygslåda/toolbox för tillgänglig teknisk utrustning välkomnas. Överenskommelserna om Visa Information System, utbyte av data om korttidsvisa och konsultationer framhålls också som viktiga, liksom även ansträngningarna för att fördjupa samarbetet vad gäller integrationspolitiken genom utbyte av erfarenheter. Genomförandet av migrationspolitiken kommer föreslås följas upp vid Europeiska rådet i december 2007.</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p>
    <w:p w:rsidR="004C4093" w:rsidRPr="00E147E7" w:rsidRDefault="004C4093" w:rsidP="004C4093">
      <w:pPr>
        <w:spacing w:line="240" w:lineRule="atLeast"/>
        <w:ind w:left="1440"/>
        <w:rPr>
          <w:rFonts w:ascii="OrigGarmnd BT" w:hAnsi="OrigGarmnd BT"/>
          <w:i/>
          <w:iCs/>
          <w:color w:val="000000"/>
          <w:sz w:val="24"/>
          <w:szCs w:val="24"/>
          <w:lang w:eastAsia="sv-SE"/>
        </w:rPr>
      </w:pPr>
      <w:r w:rsidRPr="00E147E7">
        <w:rPr>
          <w:rFonts w:ascii="OrigGarmnd BT" w:hAnsi="OrigGarmnd BT"/>
          <w:color w:val="000000"/>
          <w:sz w:val="24"/>
          <w:szCs w:val="24"/>
          <w:lang w:eastAsia="sv-SE"/>
        </w:rPr>
        <w:t xml:space="preserve">Vidare kommer Europeiska rådet betona vikten av att hela Schengenacquin genomförs samt uppmuntra rådet att fullborda arbetet med SIS II. Samarbetet mot terrorism följs sedvanligt upp och fortsatta ansträngningar för att stärka polissamarbetet och det rättsliga arbetet betonas. Införlivandet av Prümkonventionen noteras och Europeiska rådet föreslås understryka behovet av att stärka Europols operationella kapacitet. Rådet uppmanas nå en överenskommelse om ramverksbeslutet om dataskydd innan 2008. Vikten av att slutföra arbetet med ett ramverk för processuella rättigheter respektive underhållsbidrag samt Rom I och II betonas. På det avstalsrättsliga området noteras målsättningen att etablera ett icke-bindande ramverk för europeisk avtalsrätt. Europeiska rådet föreslås notera framstegen med att utveckla </w:t>
      </w:r>
      <w:r w:rsidRPr="00E147E7">
        <w:rPr>
          <w:rFonts w:ascii="OrigGarmnd BT" w:hAnsi="OrigGarmnd BT"/>
          <w:i/>
          <w:iCs/>
          <w:color w:val="000000"/>
          <w:sz w:val="24"/>
          <w:szCs w:val="24"/>
          <w:lang w:eastAsia="sv-SE"/>
        </w:rPr>
        <w:t xml:space="preserve"> </w:t>
      </w:r>
      <w:r w:rsidRPr="00E147E7">
        <w:rPr>
          <w:rFonts w:ascii="OrigGarmnd BT" w:hAnsi="OrigGarmnd BT"/>
          <w:color w:val="000000"/>
          <w:sz w:val="24"/>
          <w:szCs w:val="24"/>
          <w:lang w:eastAsia="sv-SE"/>
        </w:rPr>
        <w:t xml:space="preserve">lagstiftning för utbyte av information om fällande brottsdomar. Vidare föreslås att ett policyramverk för kampen mot cyber crime utvecklas. </w:t>
      </w:r>
      <w:r w:rsidRPr="00E147E7">
        <w:rPr>
          <w:rFonts w:ascii="OrigGarmnd BT" w:hAnsi="OrigGarmnd BT"/>
          <w:i/>
          <w:iCs/>
          <w:color w:val="000000"/>
          <w:sz w:val="24"/>
          <w:szCs w:val="24"/>
          <w:lang w:eastAsia="sv-SE"/>
        </w:rPr>
        <w:t xml:space="preserve"> </w:t>
      </w:r>
    </w:p>
    <w:p w:rsidR="004C4093" w:rsidRPr="00E147E7" w:rsidRDefault="004C4093" w:rsidP="004C4093">
      <w:pPr>
        <w:spacing w:line="240" w:lineRule="atLeast"/>
        <w:ind w:left="1440"/>
        <w:rPr>
          <w:rFonts w:ascii="OrigGarmnd BT" w:hAnsi="OrigGarmnd BT"/>
          <w:i/>
          <w:iCs/>
          <w:color w:val="000000"/>
          <w:sz w:val="24"/>
          <w:szCs w:val="24"/>
          <w:lang w:eastAsia="sv-SE"/>
        </w:rPr>
      </w:pPr>
    </w:p>
    <w:p w:rsidR="004C4093" w:rsidRPr="00E147E7" w:rsidRDefault="004C4093" w:rsidP="004C4093">
      <w:pPr>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 xml:space="preserve">I avsnittet om ekonomiska, sociala och miljöfrågor uppmanas rådet och Europaparlamentet att göra snabba framsteg på inre marknadsområdet, särskilt vad gäller ömsesidigt erkännande och den nya metoden. Slutsatser om liberalisering av postsektorn väntas. Innovationsfrågorna framhålls. Rådet inbjuds att anta de första två förslagen till Joint Technology Initiatives och att nå en överenskommelse om EIT. Vidare välkomnas initiativet till en europeisk charter för användningen av intellektuella rättigheter i syfte att förbättra kunskapsöverföringen mellan forskning och industri.  I slutsatsutkastet framhålls att arbetet med de sociala trygghetssystem måste påskyndas. Rådet inbjuds att nå en överenskommelse innan årets slut om flyttbarheten av tjänstepensioner och medlemsstaterna uppmanas att genomföra strategin om hälsa och säkerhet på arbetet. Arbetet mot HIV/AIDS betonas och åtgärder inkluderar förebyggande arbete, utbildning, ökat medvetande, och behandlingskostnader. KOM inbjuds att genomföra sin handlingsplan mot HIV/AIDS och handlingsprogrammet för att bekämpa HIV/AIDS, malaria och tuberkulos genom externa åtgärder. </w:t>
      </w:r>
    </w:p>
    <w:p w:rsidR="004C4093" w:rsidRPr="00E147E7" w:rsidRDefault="004C4093" w:rsidP="004C4093">
      <w:pPr>
        <w:spacing w:line="240" w:lineRule="atLeast"/>
        <w:ind w:left="1440"/>
        <w:rPr>
          <w:rFonts w:ascii="OrigGarmnd BT" w:hAnsi="OrigGarmnd BT"/>
          <w:color w:val="000000"/>
          <w:sz w:val="24"/>
          <w:szCs w:val="24"/>
          <w:lang w:eastAsia="sv-SE"/>
        </w:rPr>
      </w:pPr>
    </w:p>
    <w:p w:rsidR="004C4093" w:rsidRPr="00E147E7" w:rsidRDefault="004C4093" w:rsidP="004C4093">
      <w:pPr>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Vad gäller klimatarbetet ser Europeiska rådet fram mot presentation av förslag till reviderat direktiv om handeln med utsläppsrätter och bekräftar intentionen att inkludera utsläpp från flyg i handelssystemet. Europeiska rådet föreslås understryka vikten av effektivt genomförande av energihandlingsplanen. Europeiska rådet inbjuder kommissionen att presentera en handlingsplan för den maritima politiken.</w:t>
      </w:r>
    </w:p>
    <w:p w:rsidR="004C4093" w:rsidRPr="00E147E7" w:rsidRDefault="004C4093" w:rsidP="004C4093">
      <w:pPr>
        <w:spacing w:line="240" w:lineRule="atLeast"/>
        <w:ind w:left="1440"/>
        <w:rPr>
          <w:rFonts w:ascii="OrigGarmnd BT" w:hAnsi="OrigGarmnd BT"/>
          <w:color w:val="000000"/>
          <w:sz w:val="24"/>
          <w:szCs w:val="24"/>
          <w:lang w:eastAsia="sv-SE"/>
        </w:rPr>
      </w:pPr>
    </w:p>
    <w:p w:rsidR="004C4093" w:rsidRPr="00E147E7" w:rsidRDefault="004C4093" w:rsidP="004C4093">
      <w:pPr>
        <w:spacing w:line="240" w:lineRule="atLeast"/>
        <w:ind w:left="1440"/>
        <w:rPr>
          <w:rFonts w:ascii="OrigGarmnd BT" w:hAnsi="OrigGarmnd BT"/>
          <w:color w:val="000000"/>
          <w:sz w:val="24"/>
          <w:szCs w:val="24"/>
          <w:lang w:eastAsia="sv-SE"/>
        </w:rPr>
      </w:pPr>
      <w:r w:rsidRPr="00E147E7">
        <w:rPr>
          <w:rFonts w:ascii="OrigGarmnd BT" w:hAnsi="OrigGarmnd BT"/>
          <w:color w:val="000000"/>
          <w:sz w:val="24"/>
          <w:szCs w:val="24"/>
          <w:lang w:eastAsia="sv-SE"/>
        </w:rPr>
        <w:t>I avsnittet om yttre förbindelser väntas slutsatstext om den europeiska grannskapspolitiken. Europeiska rådet avser också anta en Centralasienstrategi som ska tjäna som ett ramverk för dels samarbetet med regionen, dels enskilda stater. Rådet ska regelbundet se över arbetet och uppmanas lämna en första rapport till Europeiska rådet vid toppmötet i juni 2008.</w:t>
      </w:r>
    </w:p>
    <w:p w:rsidR="004C4093" w:rsidRPr="00E147E7" w:rsidRDefault="004C4093" w:rsidP="004C4093">
      <w:pPr>
        <w:tabs>
          <w:tab w:val="left" w:pos="2835"/>
        </w:tabs>
        <w:spacing w:line="240" w:lineRule="atLeast"/>
        <w:ind w:left="1440"/>
        <w:rPr>
          <w:rFonts w:ascii="OrigGarmnd BT" w:hAnsi="OrigGarmnd BT"/>
          <w:color w:val="000000"/>
          <w:sz w:val="24"/>
          <w:szCs w:val="24"/>
          <w:lang w:eastAsia="sv-SE"/>
        </w:rPr>
      </w:pPr>
    </w:p>
    <w:p w:rsidR="004C4093" w:rsidRPr="00E147E7" w:rsidRDefault="004C4093" w:rsidP="004C4093">
      <w:pPr>
        <w:pStyle w:val="RKnormal"/>
        <w:ind w:left="1440"/>
        <w:rPr>
          <w:i/>
          <w:szCs w:val="24"/>
        </w:rPr>
      </w:pPr>
      <w:r w:rsidRPr="00E147E7">
        <w:rPr>
          <w:lang w:eastAsia="sv-SE"/>
        </w:rPr>
        <w:t xml:space="preserve">Regeringen välkomnar särskilt att migrationsarbetet utvidgas till att omfatta migration från öst och sydöst och att rådet uppmanas fortsätta arbetet med konkreta åtgärder för att skapa ett område för frihet, säkerhet och rättvisa. Det är viktigt att arbetet med att fördjupa den inre marknaden fortsätter liksom att arbetet mot HIV/AIDS betonas särskilt. Regeringen ser mycket positivt på att klimatfrågorna följs upp samt att Centralasienstrategin antas liksom slutsatser antas om den europeiska grannskapspolitiken. </w:t>
      </w:r>
      <w:r w:rsidRPr="00E147E7">
        <w:rPr>
          <w:i/>
          <w:lang w:eastAsia="sv-SE"/>
        </w:rPr>
        <w:t>(För mer information om fördragsfrågan, se punkt 4).</w:t>
      </w:r>
    </w:p>
    <w:p w:rsidR="004C4093" w:rsidRPr="00E147E7" w:rsidRDefault="004C4093" w:rsidP="004C4093">
      <w:pPr>
        <w:ind w:left="1440"/>
        <w:rPr>
          <w:rFonts w:ascii="Garamond" w:hAnsi="Garamond"/>
          <w:b/>
          <w:bCs/>
          <w:sz w:val="24"/>
        </w:rPr>
      </w:pPr>
    </w:p>
    <w:p w:rsidR="004C4093" w:rsidRPr="00E147E7" w:rsidRDefault="004C4093" w:rsidP="004C4093">
      <w:pPr>
        <w:ind w:left="1440"/>
        <w:rPr>
          <w:rFonts w:ascii="Garamond" w:hAnsi="Garamond"/>
          <w:b/>
          <w:bCs/>
          <w:sz w:val="24"/>
        </w:rPr>
      </w:pPr>
      <w:r w:rsidRPr="00E147E7">
        <w:rPr>
          <w:rFonts w:ascii="Garamond" w:hAnsi="Garamond"/>
          <w:b/>
          <w:bCs/>
          <w:sz w:val="24"/>
        </w:rPr>
        <w:t>6. Slut</w:t>
      </w:r>
      <w:r w:rsidR="005608E9" w:rsidRPr="00E147E7">
        <w:rPr>
          <w:rFonts w:ascii="Garamond" w:hAnsi="Garamond"/>
          <w:b/>
          <w:bCs/>
          <w:sz w:val="24"/>
        </w:rPr>
        <w:t>sats</w:t>
      </w:r>
      <w:r w:rsidRPr="00E147E7">
        <w:rPr>
          <w:rFonts w:ascii="Garamond" w:hAnsi="Garamond"/>
          <w:b/>
          <w:bCs/>
          <w:sz w:val="24"/>
        </w:rPr>
        <w:t>er om övergripande strategi för migration</w:t>
      </w:r>
    </w:p>
    <w:p w:rsidR="004C4093" w:rsidRPr="00E147E7" w:rsidRDefault="004C4093" w:rsidP="004C4093">
      <w:pPr>
        <w:ind w:left="1440"/>
        <w:rPr>
          <w:rFonts w:ascii="Garamond" w:hAnsi="Garamond"/>
          <w:bCs/>
          <w:i/>
          <w:sz w:val="24"/>
        </w:rPr>
      </w:pPr>
    </w:p>
    <w:p w:rsidR="004C4093" w:rsidRPr="00E147E7" w:rsidRDefault="004C4093" w:rsidP="004C4093">
      <w:pPr>
        <w:ind w:left="1440"/>
        <w:rPr>
          <w:rFonts w:ascii="Garamond" w:hAnsi="Garamond"/>
          <w:bCs/>
          <w:i/>
          <w:sz w:val="24"/>
        </w:rPr>
      </w:pPr>
      <w:r w:rsidRPr="00E147E7">
        <w:rPr>
          <w:rFonts w:ascii="Garamond" w:hAnsi="Garamond"/>
          <w:bCs/>
          <w:i/>
          <w:sz w:val="24"/>
        </w:rPr>
        <w:t>Beslutspunkt – antagande av rådslutsatser</w:t>
      </w:r>
    </w:p>
    <w:p w:rsidR="004C4093" w:rsidRPr="00E147E7" w:rsidRDefault="004C4093" w:rsidP="004C4093"/>
    <w:p w:rsidR="004C4093" w:rsidRPr="00E147E7" w:rsidRDefault="004C4093" w:rsidP="004C4093">
      <w:pPr>
        <w:ind w:left="1440"/>
        <w:jc w:val="both"/>
        <w:rPr>
          <w:rFonts w:ascii="OrigGarmnd BT" w:hAnsi="OrigGarmnd BT"/>
          <w:sz w:val="24"/>
          <w:szCs w:val="24"/>
        </w:rPr>
      </w:pPr>
      <w:r w:rsidRPr="00E147E7">
        <w:rPr>
          <w:rFonts w:ascii="OrigGarmnd BT" w:hAnsi="OrigGarmnd BT"/>
          <w:sz w:val="24"/>
          <w:szCs w:val="24"/>
        </w:rPr>
        <w:t>Kommissionen presenterade den 16 maj ett meddelande med titeln "</w:t>
      </w:r>
      <w:r w:rsidRPr="00E147E7">
        <w:rPr>
          <w:rFonts w:ascii="OrigGarmnd BT" w:hAnsi="OrigGarmnd BT"/>
          <w:i/>
          <w:sz w:val="24"/>
          <w:szCs w:val="24"/>
        </w:rPr>
        <w:t>Applying the Global Approach to the Eastern and South Eastern Regions neighbouring the EU</w:t>
      </w:r>
      <w:r w:rsidRPr="00E147E7">
        <w:rPr>
          <w:rFonts w:ascii="OrigGarmnd BT" w:hAnsi="OrigGarmnd BT"/>
          <w:sz w:val="24"/>
          <w:szCs w:val="24"/>
        </w:rPr>
        <w:t xml:space="preserve">". </w:t>
      </w:r>
    </w:p>
    <w:p w:rsidR="004C4093" w:rsidRPr="00E147E7" w:rsidRDefault="004C4093" w:rsidP="004C4093">
      <w:pPr>
        <w:ind w:left="1440"/>
        <w:jc w:val="both"/>
        <w:rPr>
          <w:rFonts w:ascii="OrigGarmnd BT" w:hAnsi="OrigGarmnd BT"/>
          <w:sz w:val="24"/>
          <w:szCs w:val="24"/>
        </w:rPr>
      </w:pPr>
    </w:p>
    <w:p w:rsidR="004C4093" w:rsidRPr="00E147E7" w:rsidRDefault="004C4093" w:rsidP="004C4093">
      <w:pPr>
        <w:ind w:left="1440"/>
        <w:rPr>
          <w:rFonts w:ascii="OrigGarmnd BT" w:hAnsi="OrigGarmnd BT"/>
          <w:sz w:val="24"/>
          <w:szCs w:val="24"/>
        </w:rPr>
      </w:pPr>
      <w:r w:rsidRPr="00E147E7">
        <w:rPr>
          <w:rFonts w:ascii="OrigGarmnd BT" w:hAnsi="OrigGarmnd BT"/>
          <w:sz w:val="24"/>
          <w:szCs w:val="24"/>
        </w:rPr>
        <w:t>Meddelandet behandlar främst migrationssamarbete med Turkiet, västra Balkan, Ukraina, Vitryssland, Moldova, södra Kaukasus, samt Ryssland. För att säkerställa en ansats som beaktar hela migrationskedjan från ursprungs- till destinationsland berör dock kommissionen även länder bortom det östra grannskapet, såsom ENP-länderna Syrien, Jordanien och Libanon, de centralasiatiska staterna samt ett antal asiatiska stater (Kina, Indien, Pakistan, Afghanistan, Bangladesh, Sri Lanka, Vietnam, Filipinerna och Indonesien) och slutligen Iran och Irak.</w:t>
      </w:r>
    </w:p>
    <w:p w:rsidR="004C4093" w:rsidRPr="00E147E7" w:rsidRDefault="004C4093" w:rsidP="004C4093">
      <w:pPr>
        <w:ind w:left="1440"/>
        <w:rPr>
          <w:rFonts w:ascii="OrigGarmnd BT" w:hAnsi="OrigGarmnd BT"/>
          <w:sz w:val="24"/>
          <w:szCs w:val="24"/>
        </w:rPr>
      </w:pPr>
    </w:p>
    <w:p w:rsidR="004C4093" w:rsidRPr="00E147E7" w:rsidRDefault="004C4093" w:rsidP="004C4093">
      <w:pPr>
        <w:ind w:left="1440"/>
        <w:rPr>
          <w:rFonts w:ascii="OrigGarmnd BT" w:hAnsi="OrigGarmnd BT"/>
          <w:sz w:val="24"/>
          <w:szCs w:val="24"/>
        </w:rPr>
      </w:pPr>
      <w:r w:rsidRPr="00E147E7">
        <w:rPr>
          <w:rFonts w:ascii="OrigGarmnd BT" w:hAnsi="OrigGarmnd BT"/>
          <w:sz w:val="24"/>
          <w:szCs w:val="24"/>
        </w:rPr>
        <w:t>Samtidigt presenterade kommissionen ett meddelande om cirkulär migration; ”</w:t>
      </w:r>
      <w:r w:rsidRPr="00E147E7">
        <w:rPr>
          <w:rFonts w:ascii="OrigGarmnd BT" w:hAnsi="OrigGarmnd BT"/>
          <w:i/>
          <w:sz w:val="24"/>
          <w:szCs w:val="24"/>
        </w:rPr>
        <w:t>On circular migration and mobility partnerships between the European Union and third countries</w:t>
      </w:r>
      <w:r w:rsidRPr="00E147E7">
        <w:rPr>
          <w:rFonts w:ascii="OrigGarmnd BT" w:hAnsi="OrigGarmnd BT"/>
          <w:sz w:val="24"/>
          <w:szCs w:val="24"/>
        </w:rPr>
        <w:t xml:space="preserve">” som föreslår ingående av så kallade rörlighetsavtal med tredje land omfattande åtaganden från EU:s sida på området laglig invandring och från samarbetsländernas sida framförallt på området för irreguljär invandring och återtagande. </w:t>
      </w:r>
    </w:p>
    <w:p w:rsidR="004C4093" w:rsidRPr="00E147E7" w:rsidRDefault="004C4093" w:rsidP="004C4093">
      <w:pPr>
        <w:ind w:left="1440"/>
        <w:jc w:val="both"/>
        <w:rPr>
          <w:rFonts w:ascii="OrigGarmnd BT" w:hAnsi="OrigGarmnd BT"/>
          <w:sz w:val="24"/>
          <w:szCs w:val="24"/>
        </w:rPr>
      </w:pPr>
    </w:p>
    <w:p w:rsidR="004C4093" w:rsidRPr="00E147E7" w:rsidRDefault="004C4093" w:rsidP="004C4093">
      <w:pPr>
        <w:ind w:left="1440"/>
        <w:jc w:val="both"/>
        <w:rPr>
          <w:rFonts w:ascii="OrigGarmnd BT" w:hAnsi="OrigGarmnd BT"/>
          <w:sz w:val="24"/>
          <w:szCs w:val="24"/>
        </w:rPr>
      </w:pPr>
      <w:r w:rsidRPr="00E147E7">
        <w:rPr>
          <w:rFonts w:ascii="OrigGarmnd BT" w:hAnsi="OrigGarmnd BT"/>
          <w:sz w:val="24"/>
          <w:szCs w:val="24"/>
        </w:rPr>
        <w:t>I det utkast till rådslutsatser som föreligger föreslås rådet välkomna kommissionens meddelanden och understryka vikten av ett intensifierat samarbete mellan medlemsstaterna för att hantera migrationen österifrån samt att intensifiera dialogen med de östra och sydöstra grannländerna både genom regional dialog och genom bilaterala kontakter med enskilda stater. Förstärkt samarbete på områdena irreguljär invandring, laglig invandring, asyl samt migration och utveckling. Slutsatserna fastlägger också att möjligheterna att ingå rörlighetsavtal med tredje länder skall övervägas och bygga på ömsesidiga åtaganden från EU:s såväl som tredje lands sida. En bred konsultationsprocess i frågan skall inledas med medlemsländerna samt relevanta intresseorganisationer.</w:t>
      </w:r>
    </w:p>
    <w:p w:rsidR="004C4093" w:rsidRPr="00E147E7" w:rsidRDefault="004C4093" w:rsidP="004C4093">
      <w:pPr>
        <w:ind w:left="1440"/>
        <w:rPr>
          <w:rFonts w:ascii="OrigGarmnd BT" w:hAnsi="OrigGarmnd BT"/>
          <w:sz w:val="24"/>
          <w:szCs w:val="24"/>
        </w:rPr>
      </w:pPr>
    </w:p>
    <w:p w:rsidR="004C4093" w:rsidRPr="00E147E7" w:rsidRDefault="004C4093" w:rsidP="004C4093">
      <w:pPr>
        <w:ind w:left="1440"/>
        <w:rPr>
          <w:rFonts w:ascii="OrigGarmnd BT" w:hAnsi="OrigGarmnd BT"/>
          <w:b/>
          <w:i/>
          <w:sz w:val="24"/>
          <w:szCs w:val="24"/>
        </w:rPr>
      </w:pPr>
      <w:r w:rsidRPr="00E147E7">
        <w:rPr>
          <w:rFonts w:ascii="OrigGarmnd BT" w:hAnsi="OrigGarmnd BT"/>
          <w:b/>
          <w:i/>
          <w:sz w:val="24"/>
          <w:szCs w:val="24"/>
        </w:rPr>
        <w:t>Svensk ståndpunkt</w:t>
      </w:r>
    </w:p>
    <w:p w:rsidR="004C4093" w:rsidRPr="00E147E7" w:rsidRDefault="004C4093" w:rsidP="004C4093">
      <w:pPr>
        <w:ind w:left="1440"/>
        <w:jc w:val="both"/>
        <w:rPr>
          <w:rFonts w:ascii="OrigGarmnd BT" w:hAnsi="OrigGarmnd BT"/>
          <w:sz w:val="24"/>
          <w:szCs w:val="24"/>
        </w:rPr>
      </w:pPr>
      <w:r w:rsidRPr="00E147E7">
        <w:rPr>
          <w:rFonts w:ascii="OrigGarmnd BT" w:hAnsi="OrigGarmnd BT"/>
          <w:sz w:val="24"/>
          <w:szCs w:val="24"/>
        </w:rPr>
        <w:t>Sverige välkomnar att den breda och ömsesidigt gynnande ansats som, med fokus på Afrika, lades fast av europeiska rådet i december 2005 i den så kallade övergripande strategin för migration (</w:t>
      </w:r>
      <w:r w:rsidRPr="00E147E7">
        <w:rPr>
          <w:rFonts w:ascii="OrigGarmnd BT" w:hAnsi="OrigGarmnd BT"/>
          <w:i/>
          <w:sz w:val="24"/>
          <w:szCs w:val="24"/>
        </w:rPr>
        <w:t>Global Approach to Migration</w:t>
      </w:r>
      <w:r w:rsidRPr="00E147E7">
        <w:rPr>
          <w:rFonts w:ascii="OrigGarmnd BT" w:hAnsi="OrigGarmnd BT"/>
          <w:sz w:val="24"/>
          <w:szCs w:val="24"/>
        </w:rPr>
        <w:t xml:space="preserve">) breddas till att även innefatta partnerskap med det östra och sydöstra grannskapet samt ursprungsregioner bortom detta. Sverige välkomnar också att diskussionerna om cirkulär migration intensifieras då denna typ av rörlighet är en viktig del i att tillvarata migrationens positiva effekter för EU såväl som för ursprungsländerna. På svenskt initiativ understryks vikten av närmare samarbetet med FN:s flyktingkommissariat, UNHCR, för att hantera den irakiska flyktingsituationen. Sverige ställer sig bakom det utkast till rådslutsatser som föreligger. </w:t>
      </w:r>
    </w:p>
    <w:p w:rsidR="004C4093" w:rsidRPr="00E147E7" w:rsidRDefault="004C4093" w:rsidP="004C4093">
      <w:pPr>
        <w:ind w:left="1440"/>
        <w:rPr>
          <w:rFonts w:ascii="Garamond" w:hAnsi="Garamond"/>
          <w:b/>
          <w:bCs/>
          <w:sz w:val="24"/>
        </w:rPr>
      </w:pPr>
    </w:p>
    <w:p w:rsidR="004C4093" w:rsidRPr="00E147E7" w:rsidRDefault="004C4093" w:rsidP="004C4093">
      <w:pPr>
        <w:ind w:left="1440"/>
        <w:rPr>
          <w:rFonts w:ascii="Garamond" w:hAnsi="Garamond"/>
          <w:b/>
          <w:bCs/>
          <w:sz w:val="24"/>
        </w:rPr>
      </w:pPr>
      <w:r w:rsidRPr="00E147E7">
        <w:rPr>
          <w:rFonts w:ascii="Garamond" w:hAnsi="Garamond"/>
          <w:b/>
          <w:bCs/>
          <w:sz w:val="24"/>
        </w:rPr>
        <w:t>5. Övriga frågor</w:t>
      </w:r>
    </w:p>
    <w:p w:rsidR="004C4093" w:rsidRPr="00E147E7" w:rsidRDefault="004C4093" w:rsidP="004C4093">
      <w:pPr>
        <w:ind w:left="1440"/>
        <w:rPr>
          <w:rFonts w:ascii="Garamond" w:hAnsi="Garamond"/>
          <w:sz w:val="24"/>
        </w:rPr>
      </w:pPr>
    </w:p>
    <w:p w:rsidR="004C4093" w:rsidRPr="00E147E7" w:rsidRDefault="004C4093" w:rsidP="004C4093">
      <w:pPr>
        <w:ind w:left="1440"/>
        <w:rPr>
          <w:rFonts w:ascii="OrigGarmnd BT" w:hAnsi="OrigGarmnd BT"/>
          <w:sz w:val="24"/>
          <w:szCs w:val="24"/>
        </w:rPr>
      </w:pPr>
      <w:r w:rsidRPr="00E147E7">
        <w:rPr>
          <w:rFonts w:ascii="OrigGarmnd BT" w:hAnsi="OrigGarmnd BT"/>
          <w:sz w:val="24"/>
          <w:szCs w:val="24"/>
        </w:rPr>
        <w:t>Inga övriga frågor på dagordningen.</w:t>
      </w:r>
    </w:p>
    <w:p w:rsidR="00E919DE" w:rsidRPr="00E147E7" w:rsidRDefault="00E919DE" w:rsidP="00E919DE">
      <w:pPr>
        <w:rPr>
          <w:rFonts w:ascii="Garamond" w:hAnsi="Garamond"/>
          <w:b/>
          <w:bCs/>
          <w:sz w:val="24"/>
        </w:rPr>
      </w:pPr>
    </w:p>
    <w:p w:rsidR="00E919DE" w:rsidRPr="00E147E7" w:rsidRDefault="00E919DE"/>
    <w:p w:rsidR="002962E8" w:rsidRPr="00E147E7" w:rsidRDefault="002962E8">
      <w:pPr>
        <w:pStyle w:val="Rubrik1"/>
        <w:ind w:left="720" w:firstLine="720"/>
        <w:rPr>
          <w:sz w:val="28"/>
        </w:rPr>
      </w:pPr>
      <w:r w:rsidRPr="00E147E7">
        <w:rPr>
          <w:sz w:val="28"/>
        </w:rPr>
        <w:t>RÅDET FÖR YTTRE FÖRBINDELSER</w:t>
      </w:r>
    </w:p>
    <w:p w:rsidR="002962E8" w:rsidRPr="00E147E7" w:rsidRDefault="002962E8">
      <w:pPr>
        <w:rPr>
          <w:rFonts w:ascii="Garamond" w:hAnsi="Garamond"/>
          <w:sz w:val="24"/>
        </w:rPr>
      </w:pPr>
    </w:p>
    <w:p w:rsidR="002962E8" w:rsidRPr="00E147E7" w:rsidRDefault="002962E8">
      <w:pPr>
        <w:ind w:left="720" w:firstLine="720"/>
        <w:rPr>
          <w:rFonts w:ascii="Garamond" w:hAnsi="Garamond"/>
          <w:b/>
          <w:bCs/>
          <w:sz w:val="24"/>
        </w:rPr>
      </w:pPr>
      <w:bookmarkStart w:id="3" w:name="_Toc150232148"/>
      <w:bookmarkStart w:id="4" w:name="_Toc150242355"/>
      <w:r w:rsidRPr="00E147E7">
        <w:rPr>
          <w:rFonts w:ascii="Garamond" w:hAnsi="Garamond"/>
          <w:b/>
          <w:bCs/>
          <w:sz w:val="24"/>
        </w:rPr>
        <w:t>1. Godkännande av den preliminära dagordningen</w:t>
      </w:r>
      <w:bookmarkEnd w:id="3"/>
      <w:bookmarkEnd w:id="4"/>
    </w:p>
    <w:p w:rsidR="002962E8" w:rsidRPr="00E147E7" w:rsidRDefault="002962E8">
      <w:pPr>
        <w:rPr>
          <w:rFonts w:ascii="Garamond" w:hAnsi="Garamond"/>
          <w:sz w:val="24"/>
        </w:rPr>
      </w:pPr>
      <w:r w:rsidRPr="00E147E7">
        <w:rPr>
          <w:rFonts w:ascii="Garamond" w:hAnsi="Garamond"/>
          <w:sz w:val="24"/>
        </w:rPr>
        <w:tab/>
      </w:r>
      <w:r w:rsidRPr="00E147E7">
        <w:rPr>
          <w:rFonts w:ascii="Garamond" w:hAnsi="Garamond"/>
          <w:sz w:val="24"/>
        </w:rPr>
        <w:tab/>
      </w:r>
    </w:p>
    <w:p w:rsidR="00DA09DA" w:rsidRPr="00E147E7" w:rsidRDefault="002962E8" w:rsidP="00361EBD">
      <w:pPr>
        <w:ind w:left="1418" w:firstLine="22"/>
        <w:rPr>
          <w:rFonts w:ascii="Garamond" w:hAnsi="Garamond"/>
          <w:b/>
          <w:bCs/>
          <w:sz w:val="24"/>
        </w:rPr>
      </w:pPr>
      <w:bookmarkStart w:id="5" w:name="_Toc150232149"/>
      <w:bookmarkStart w:id="6" w:name="_Toc150242356"/>
      <w:r w:rsidRPr="00E147E7">
        <w:rPr>
          <w:rFonts w:ascii="Garamond" w:hAnsi="Garamond"/>
          <w:b/>
          <w:bCs/>
          <w:sz w:val="24"/>
        </w:rPr>
        <w:t xml:space="preserve">2. </w:t>
      </w:r>
      <w:bookmarkEnd w:id="5"/>
      <w:bookmarkEnd w:id="6"/>
      <w:r w:rsidR="00E25C72" w:rsidRPr="00E147E7">
        <w:rPr>
          <w:rFonts w:ascii="Garamond" w:hAnsi="Garamond"/>
          <w:b/>
          <w:bCs/>
          <w:sz w:val="24"/>
          <w:szCs w:val="24"/>
        </w:rPr>
        <w:t>WTO/</w:t>
      </w:r>
      <w:r w:rsidR="00361EBD" w:rsidRPr="00E147E7">
        <w:rPr>
          <w:rFonts w:ascii="Garamond" w:hAnsi="Garamond"/>
          <w:b/>
          <w:bCs/>
          <w:sz w:val="24"/>
        </w:rPr>
        <w:t>DDA</w:t>
      </w:r>
    </w:p>
    <w:p w:rsidR="000C493B" w:rsidRPr="00E147E7" w:rsidRDefault="000C493B" w:rsidP="000C493B">
      <w:pPr>
        <w:ind w:left="1418" w:firstLine="22"/>
        <w:rPr>
          <w:rFonts w:ascii="Garamond" w:hAnsi="Garamond"/>
          <w:b/>
          <w:bCs/>
          <w:sz w:val="24"/>
          <w:szCs w:val="24"/>
        </w:rPr>
      </w:pPr>
    </w:p>
    <w:p w:rsidR="00E43DF7" w:rsidRPr="00E147E7" w:rsidRDefault="00E43DF7" w:rsidP="00E43DF7">
      <w:pPr>
        <w:ind w:left="1418" w:firstLine="22"/>
        <w:rPr>
          <w:rFonts w:ascii="Garamond" w:hAnsi="Garamond"/>
          <w:bCs/>
          <w:sz w:val="24"/>
          <w:szCs w:val="24"/>
        </w:rPr>
      </w:pPr>
      <w:r w:rsidRPr="00E147E7">
        <w:rPr>
          <w:rFonts w:ascii="Garamond" w:hAnsi="Garamond"/>
          <w:bCs/>
          <w:sz w:val="24"/>
          <w:szCs w:val="24"/>
        </w:rPr>
        <w:t>Diskussionspunkt.</w:t>
      </w:r>
    </w:p>
    <w:p w:rsidR="00E43DF7" w:rsidRPr="00E147E7" w:rsidRDefault="00E43DF7" w:rsidP="00E43DF7">
      <w:pPr>
        <w:ind w:left="1418" w:firstLine="22"/>
        <w:rPr>
          <w:rFonts w:ascii="Garamond" w:hAnsi="Garamond"/>
          <w:bCs/>
          <w:sz w:val="24"/>
          <w:szCs w:val="24"/>
        </w:rPr>
      </w:pPr>
    </w:p>
    <w:p w:rsidR="00E43DF7" w:rsidRPr="00E147E7" w:rsidRDefault="00E43DF7" w:rsidP="00E43DF7">
      <w:pPr>
        <w:ind w:left="1418" w:firstLine="22"/>
        <w:rPr>
          <w:rFonts w:ascii="Garamond" w:hAnsi="Garamond"/>
          <w:bCs/>
          <w:sz w:val="24"/>
          <w:szCs w:val="24"/>
        </w:rPr>
      </w:pPr>
      <w:r w:rsidRPr="00E147E7">
        <w:rPr>
          <w:rFonts w:ascii="Garamond" w:hAnsi="Garamond"/>
          <w:bCs/>
          <w:sz w:val="24"/>
          <w:szCs w:val="24"/>
        </w:rPr>
        <w:t xml:space="preserve">Doharundan suspenderades sommaren 2006 eftersom förhandlingarna hade strandat. Informella diskussioner inleddes före årsskiftet och förhandlingarna återupptogs även formellt i början av 2007. För att rundan ska kunna slutföras inom det närmaste året behövs ett genombrott i förhandlingarna senast under  sommaren. För närvarande ligger stort fokus på de diskussioner som sker inom ramen för G4, en informell förhandlingsgrupp som består av Brasilien, EU, Indien och USA. G4 kommer att träffas på ministernivå 19-23 juni med avsikten att få till stånd ett genombrott i förhandlingarna.  </w:t>
      </w:r>
    </w:p>
    <w:p w:rsidR="00E43DF7" w:rsidRPr="00E147E7" w:rsidRDefault="00E43DF7" w:rsidP="00E43DF7">
      <w:pPr>
        <w:ind w:left="1418" w:firstLine="22"/>
        <w:rPr>
          <w:rFonts w:ascii="Garamond" w:hAnsi="Garamond"/>
          <w:bCs/>
          <w:sz w:val="24"/>
          <w:szCs w:val="24"/>
        </w:rPr>
      </w:pPr>
    </w:p>
    <w:p w:rsidR="00E43DF7" w:rsidRPr="00E147E7" w:rsidRDefault="00E43DF7" w:rsidP="00E43DF7">
      <w:pPr>
        <w:ind w:left="1418" w:firstLine="22"/>
        <w:rPr>
          <w:rFonts w:ascii="Garamond" w:hAnsi="Garamond"/>
          <w:bCs/>
          <w:sz w:val="24"/>
          <w:szCs w:val="24"/>
        </w:rPr>
      </w:pPr>
      <w:r w:rsidRPr="00E147E7">
        <w:rPr>
          <w:rFonts w:ascii="Garamond" w:hAnsi="Garamond"/>
          <w:bCs/>
          <w:sz w:val="24"/>
          <w:szCs w:val="24"/>
        </w:rPr>
        <w:t>DDA tas upp på agendan för GAERC den 18</w:t>
      </w:r>
      <w:r w:rsidR="00EB7346" w:rsidRPr="00E147E7">
        <w:rPr>
          <w:rFonts w:ascii="Garamond" w:hAnsi="Garamond"/>
          <w:bCs/>
          <w:sz w:val="24"/>
          <w:szCs w:val="24"/>
        </w:rPr>
        <w:t>:</w:t>
      </w:r>
      <w:r w:rsidRPr="00E147E7">
        <w:rPr>
          <w:rFonts w:ascii="Garamond" w:hAnsi="Garamond"/>
          <w:bCs/>
          <w:sz w:val="24"/>
          <w:szCs w:val="24"/>
        </w:rPr>
        <w:t xml:space="preserve">e </w:t>
      </w:r>
      <w:r w:rsidR="00EB7346" w:rsidRPr="00E147E7">
        <w:rPr>
          <w:rFonts w:ascii="Garamond" w:hAnsi="Garamond"/>
          <w:bCs/>
          <w:sz w:val="24"/>
          <w:szCs w:val="24"/>
        </w:rPr>
        <w:t xml:space="preserve">juni </w:t>
      </w:r>
      <w:r w:rsidRPr="00E147E7">
        <w:rPr>
          <w:rFonts w:ascii="Garamond" w:hAnsi="Garamond"/>
          <w:bCs/>
          <w:sz w:val="24"/>
          <w:szCs w:val="24"/>
        </w:rPr>
        <w:t xml:space="preserve">för att diskutera förhandlingsläget inför ministermötet i G4. I tillägg till detta har ordförandeskapet kallat till ett extrainsatt GAERC den 25e juni. Vid det extrainsatta GAERC är DDA den enda dagordningspunkten och syftet är att kommissionen då ska redogöra för resultatet av G4-mötet. </w:t>
      </w:r>
    </w:p>
    <w:p w:rsidR="00E43DF7" w:rsidRPr="00E147E7" w:rsidRDefault="00E43DF7" w:rsidP="00E43DF7">
      <w:pPr>
        <w:ind w:left="1418" w:firstLine="22"/>
        <w:rPr>
          <w:rFonts w:ascii="Garamond" w:hAnsi="Garamond"/>
          <w:bCs/>
          <w:sz w:val="24"/>
          <w:szCs w:val="24"/>
        </w:rPr>
      </w:pPr>
    </w:p>
    <w:p w:rsidR="00E43DF7" w:rsidRPr="00E147E7" w:rsidRDefault="00E43DF7" w:rsidP="00E43DF7">
      <w:pPr>
        <w:ind w:left="1418" w:firstLine="22"/>
        <w:rPr>
          <w:rFonts w:ascii="Garamond" w:hAnsi="Garamond"/>
          <w:bCs/>
          <w:sz w:val="24"/>
          <w:szCs w:val="24"/>
        </w:rPr>
      </w:pPr>
      <w:r w:rsidRPr="00E147E7">
        <w:rPr>
          <w:rFonts w:ascii="Garamond" w:hAnsi="Garamond"/>
          <w:bCs/>
          <w:sz w:val="24"/>
          <w:szCs w:val="24"/>
        </w:rPr>
        <w:t>Viktigt att notera att ett genombrott i G4 sannolikt är nödvändigt för att DDA ska kunna slutföras senast i början av 2008. Dock måste en uppgörelse bland G4-länderna förankras med WTO:s övriga medlemmar, vilket inte är okomplicerat.</w:t>
      </w:r>
    </w:p>
    <w:p w:rsidR="00E43DF7" w:rsidRPr="00E147E7" w:rsidRDefault="00E43DF7" w:rsidP="00E43DF7">
      <w:pPr>
        <w:ind w:left="1418" w:firstLine="22"/>
        <w:rPr>
          <w:rFonts w:ascii="Garamond" w:hAnsi="Garamond"/>
          <w:bCs/>
          <w:sz w:val="24"/>
          <w:szCs w:val="24"/>
        </w:rPr>
      </w:pPr>
    </w:p>
    <w:p w:rsidR="00E43DF7" w:rsidRPr="00E147E7" w:rsidRDefault="00E43DF7" w:rsidP="00E43DF7">
      <w:pPr>
        <w:ind w:left="1418" w:firstLine="22"/>
        <w:rPr>
          <w:rFonts w:ascii="Garamond" w:hAnsi="Garamond"/>
          <w:bCs/>
          <w:sz w:val="24"/>
          <w:szCs w:val="24"/>
        </w:rPr>
      </w:pPr>
      <w:r w:rsidRPr="00E147E7">
        <w:rPr>
          <w:rFonts w:ascii="Garamond" w:hAnsi="Garamond"/>
          <w:bCs/>
          <w:sz w:val="24"/>
          <w:szCs w:val="24"/>
        </w:rPr>
        <w:t>Regeringens enskilt viktigaste prioritet inom handelspolitiken är att verka för att Doharundan slutförs med ett ambitiöst och långtgående resultat. Sverige kommer därför att verka för att kommissionen ska kunna agera flexibelt och konstruktivt vid mötet i G4 för att underlätta en uppgörelse.</w:t>
      </w:r>
    </w:p>
    <w:p w:rsidR="00E43DF7" w:rsidRPr="00E147E7" w:rsidRDefault="00E43DF7" w:rsidP="000C493B">
      <w:pPr>
        <w:ind w:left="1418" w:firstLine="22"/>
        <w:rPr>
          <w:rFonts w:ascii="Garamond" w:hAnsi="Garamond"/>
          <w:b/>
          <w:bCs/>
          <w:sz w:val="24"/>
          <w:szCs w:val="24"/>
        </w:rPr>
      </w:pPr>
    </w:p>
    <w:p w:rsidR="002962E8" w:rsidRPr="00E147E7" w:rsidRDefault="002962E8" w:rsidP="00DB6853">
      <w:pPr>
        <w:ind w:left="1418" w:firstLine="22"/>
        <w:rPr>
          <w:rFonts w:ascii="Garamond" w:hAnsi="Garamond"/>
          <w:b/>
          <w:bCs/>
          <w:sz w:val="24"/>
          <w:szCs w:val="24"/>
        </w:rPr>
      </w:pPr>
      <w:bookmarkStart w:id="7" w:name="_Toc150232150"/>
      <w:bookmarkStart w:id="8" w:name="_Toc150242357"/>
      <w:r w:rsidRPr="00E147E7">
        <w:rPr>
          <w:rFonts w:ascii="Garamond" w:hAnsi="Garamond"/>
          <w:b/>
          <w:bCs/>
          <w:sz w:val="24"/>
          <w:szCs w:val="24"/>
        </w:rPr>
        <w:t xml:space="preserve">3. </w:t>
      </w:r>
      <w:bookmarkEnd w:id="7"/>
      <w:bookmarkEnd w:id="8"/>
      <w:r w:rsidR="00361EBD" w:rsidRPr="00E147E7">
        <w:rPr>
          <w:rFonts w:ascii="Garamond" w:hAnsi="Garamond"/>
          <w:b/>
          <w:bCs/>
          <w:sz w:val="24"/>
          <w:szCs w:val="24"/>
        </w:rPr>
        <w:t>Kuba</w:t>
      </w:r>
    </w:p>
    <w:p w:rsidR="003E6E95" w:rsidRPr="00E147E7" w:rsidRDefault="003E6E95" w:rsidP="00DB6853">
      <w:pPr>
        <w:ind w:left="1418" w:firstLine="22"/>
        <w:rPr>
          <w:rFonts w:ascii="Garamond" w:hAnsi="Garamond"/>
          <w:b/>
          <w:bCs/>
          <w:sz w:val="24"/>
          <w:szCs w:val="24"/>
        </w:rPr>
      </w:pPr>
    </w:p>
    <w:p w:rsidR="009A1A1F" w:rsidRPr="00E147E7" w:rsidRDefault="009A1A1F" w:rsidP="009A1A1F">
      <w:pPr>
        <w:ind w:left="1418" w:firstLine="22"/>
        <w:rPr>
          <w:rFonts w:ascii="Garamond" w:hAnsi="Garamond"/>
          <w:bCs/>
          <w:sz w:val="24"/>
          <w:szCs w:val="24"/>
        </w:rPr>
      </w:pPr>
      <w:bookmarkStart w:id="9" w:name="_Toc150232151"/>
      <w:bookmarkStart w:id="10" w:name="_Toc150242358"/>
      <w:r w:rsidRPr="00E147E7">
        <w:rPr>
          <w:rFonts w:ascii="Garamond" w:hAnsi="Garamond"/>
          <w:bCs/>
          <w:sz w:val="24"/>
          <w:szCs w:val="24"/>
        </w:rPr>
        <w:t>Beslutspunkt. Ev. diskussionspunkt</w:t>
      </w:r>
    </w:p>
    <w:p w:rsidR="009A1A1F" w:rsidRPr="00E147E7" w:rsidRDefault="009A1A1F" w:rsidP="009A1A1F">
      <w:pPr>
        <w:ind w:left="1418" w:firstLine="22"/>
        <w:rPr>
          <w:rFonts w:ascii="Garamond" w:hAnsi="Garamond"/>
          <w:bCs/>
          <w:sz w:val="24"/>
          <w:szCs w:val="24"/>
        </w:rPr>
      </w:pPr>
      <w:r w:rsidRPr="00E147E7">
        <w:rPr>
          <w:rFonts w:ascii="Garamond" w:hAnsi="Garamond"/>
          <w:bCs/>
          <w:sz w:val="24"/>
          <w:szCs w:val="24"/>
        </w:rPr>
        <w:tab/>
      </w:r>
    </w:p>
    <w:p w:rsidR="009A1A1F" w:rsidRPr="00E147E7" w:rsidRDefault="009A1A1F" w:rsidP="009A1A1F">
      <w:pPr>
        <w:ind w:left="1418" w:firstLine="22"/>
        <w:rPr>
          <w:rFonts w:ascii="Garamond" w:hAnsi="Garamond"/>
          <w:bCs/>
          <w:sz w:val="24"/>
          <w:szCs w:val="24"/>
        </w:rPr>
      </w:pPr>
      <w:r w:rsidRPr="00E147E7">
        <w:rPr>
          <w:rFonts w:ascii="Garamond" w:hAnsi="Garamond"/>
          <w:bCs/>
          <w:sz w:val="24"/>
          <w:szCs w:val="24"/>
        </w:rPr>
        <w:t xml:space="preserve">Rådet förväntas anta slutsatser om Kuba som bekräftar EU:s </w:t>
      </w:r>
      <w:r w:rsidRPr="00E147E7">
        <w:rPr>
          <w:rFonts w:ascii="Garamond" w:hAnsi="Garamond"/>
          <w:bCs/>
          <w:sz w:val="24"/>
          <w:szCs w:val="24"/>
        </w:rPr>
        <w:tab/>
        <w:t xml:space="preserve">gemensamma ståndpunkt  från 1996 och utvärderar den tillfälliga </w:t>
      </w:r>
      <w:r w:rsidRPr="00E147E7">
        <w:rPr>
          <w:rFonts w:ascii="Garamond" w:hAnsi="Garamond"/>
          <w:bCs/>
          <w:sz w:val="24"/>
          <w:szCs w:val="24"/>
        </w:rPr>
        <w:tab/>
        <w:t xml:space="preserve">suspenderingen av juniåtgärderna. Slutsatserna kommer att bekräfta EU:s öppenhet för en kritisk dialog med kubanska myndigheter, samtidigt som stöd uttrycks för den demokratiska oppositionen. Syftet med den gemensamma ståndpunkten är att uppmuntra en övergångsprocess till pluralistisk demokrati och respekt för mänskliga rättigheter och grundläggande friheter samt en hållbar återhämtning och förbättring av det kubanska folkets levnadsstandard. </w:t>
      </w:r>
      <w:r w:rsidRPr="00E147E7">
        <w:rPr>
          <w:rFonts w:ascii="Garamond" w:hAnsi="Garamond"/>
          <w:bCs/>
          <w:sz w:val="24"/>
          <w:szCs w:val="24"/>
        </w:rPr>
        <w:cr/>
      </w:r>
    </w:p>
    <w:p w:rsidR="005609F0" w:rsidRPr="00E147E7" w:rsidRDefault="009A1A1F" w:rsidP="009A1A1F">
      <w:pPr>
        <w:ind w:left="1418" w:firstLine="22"/>
        <w:rPr>
          <w:rFonts w:ascii="Garamond" w:hAnsi="Garamond"/>
          <w:bCs/>
          <w:sz w:val="24"/>
          <w:szCs w:val="24"/>
        </w:rPr>
      </w:pPr>
      <w:r w:rsidRPr="00E147E7">
        <w:rPr>
          <w:rFonts w:ascii="Garamond" w:hAnsi="Garamond"/>
          <w:bCs/>
          <w:sz w:val="24"/>
          <w:szCs w:val="24"/>
        </w:rPr>
        <w:t>I avsaknad av nämnda framsteg i Kuba bedöms den gemensamma ståndpunkten vara f</w:t>
      </w:r>
      <w:r w:rsidR="0005037C" w:rsidRPr="00E147E7">
        <w:rPr>
          <w:rFonts w:ascii="Garamond" w:hAnsi="Garamond"/>
          <w:bCs/>
          <w:sz w:val="24"/>
          <w:szCs w:val="24"/>
        </w:rPr>
        <w:t>ortsatt relevant, varför regeringen</w:t>
      </w:r>
      <w:r w:rsidRPr="00E147E7">
        <w:rPr>
          <w:rFonts w:ascii="Garamond" w:hAnsi="Garamond"/>
          <w:bCs/>
          <w:sz w:val="24"/>
          <w:szCs w:val="24"/>
        </w:rPr>
        <w:t xml:space="preserve"> stöder en förlängning.</w:t>
      </w:r>
    </w:p>
    <w:p w:rsidR="00B551CF" w:rsidRPr="00E147E7" w:rsidRDefault="00B551CF" w:rsidP="009A1A1F">
      <w:pPr>
        <w:ind w:left="1418" w:firstLine="22"/>
        <w:rPr>
          <w:rFonts w:ascii="Garamond" w:hAnsi="Garamond"/>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4. ENP</w:t>
      </w:r>
    </w:p>
    <w:p w:rsidR="00361EBD" w:rsidRPr="00E147E7" w:rsidRDefault="00361EBD" w:rsidP="00361EBD">
      <w:pPr>
        <w:ind w:left="1418" w:firstLine="22"/>
        <w:rPr>
          <w:rFonts w:ascii="Garamond" w:hAnsi="Garamond"/>
          <w:b/>
          <w:bCs/>
          <w:sz w:val="24"/>
          <w:szCs w:val="24"/>
        </w:rPr>
      </w:pPr>
    </w:p>
    <w:p w:rsidR="007322A5" w:rsidRPr="00E147E7" w:rsidRDefault="007322A5" w:rsidP="007322A5">
      <w:pPr>
        <w:ind w:left="1418" w:firstLine="22"/>
        <w:rPr>
          <w:rFonts w:ascii="Garamond" w:hAnsi="Garamond"/>
          <w:bCs/>
          <w:sz w:val="24"/>
          <w:szCs w:val="24"/>
        </w:rPr>
      </w:pPr>
      <w:r w:rsidRPr="00E147E7">
        <w:rPr>
          <w:rFonts w:ascii="Garamond" w:hAnsi="Garamond"/>
          <w:bCs/>
          <w:sz w:val="24"/>
          <w:szCs w:val="24"/>
        </w:rPr>
        <w:t xml:space="preserve">Enligt ORDF är detta en s.k. ”falsk B-punkt”, dvs ingen diskussion förutses. </w:t>
      </w:r>
    </w:p>
    <w:p w:rsidR="007322A5" w:rsidRPr="00E147E7" w:rsidRDefault="007322A5" w:rsidP="007322A5">
      <w:pPr>
        <w:ind w:left="1418" w:firstLine="22"/>
        <w:rPr>
          <w:rFonts w:ascii="Garamond" w:hAnsi="Garamond"/>
          <w:bCs/>
          <w:sz w:val="24"/>
          <w:szCs w:val="24"/>
        </w:rPr>
      </w:pPr>
    </w:p>
    <w:p w:rsidR="007322A5" w:rsidRPr="00E147E7" w:rsidRDefault="007322A5" w:rsidP="007322A5">
      <w:pPr>
        <w:ind w:left="1418" w:firstLine="22"/>
        <w:rPr>
          <w:rFonts w:ascii="Garamond" w:hAnsi="Garamond"/>
          <w:bCs/>
          <w:sz w:val="24"/>
          <w:szCs w:val="24"/>
        </w:rPr>
      </w:pPr>
      <w:r w:rsidRPr="00E147E7">
        <w:rPr>
          <w:rFonts w:ascii="Garamond" w:hAnsi="Garamond"/>
          <w:bCs/>
          <w:sz w:val="24"/>
          <w:szCs w:val="24"/>
        </w:rPr>
        <w:t xml:space="preserve">Under våren har arbetet med att ta fram policyriktlinjer för ett nytt förstärkt ENP pågått, i vilket Sverige varit starkt pådrivande. DE/Ordf har även lagt fram en framstegsrapport som behandlas i COEST. GAERC väntas nu anta slutsatser om Ordf:s framstegsrapport. </w:t>
      </w:r>
    </w:p>
    <w:p w:rsidR="007322A5" w:rsidRPr="00E147E7" w:rsidRDefault="007322A5" w:rsidP="007322A5">
      <w:pPr>
        <w:ind w:left="1418" w:firstLine="22"/>
        <w:rPr>
          <w:rFonts w:ascii="Garamond" w:hAnsi="Garamond"/>
          <w:bCs/>
          <w:sz w:val="24"/>
          <w:szCs w:val="24"/>
        </w:rPr>
      </w:pPr>
    </w:p>
    <w:p w:rsidR="005609F0" w:rsidRPr="00E147E7" w:rsidRDefault="007322A5" w:rsidP="007322A5">
      <w:pPr>
        <w:ind w:left="1418" w:firstLine="22"/>
        <w:rPr>
          <w:rFonts w:ascii="Garamond" w:hAnsi="Garamond"/>
          <w:bCs/>
          <w:sz w:val="24"/>
          <w:szCs w:val="24"/>
        </w:rPr>
      </w:pPr>
      <w:r w:rsidRPr="00E147E7">
        <w:rPr>
          <w:rFonts w:ascii="Garamond" w:hAnsi="Garamond"/>
          <w:bCs/>
          <w:sz w:val="24"/>
          <w:szCs w:val="24"/>
        </w:rPr>
        <w:t>Regeringen fäster stor vikt vid slutsatserna, men hade gärna sett tydligare positiva referenser till ökat deltagande av ENP-partners i arbetet med att stärka ENP. Vidare förespråkar regeringen starkare skrivningar vad gäller konkretisering av ENP, finansiell förstärkning av den sk Gov</w:t>
      </w:r>
      <w:r w:rsidR="00504D82" w:rsidRPr="00E147E7">
        <w:rPr>
          <w:rFonts w:ascii="Garamond" w:hAnsi="Garamond"/>
          <w:bCs/>
          <w:sz w:val="24"/>
          <w:szCs w:val="24"/>
        </w:rPr>
        <w:t xml:space="preserve">ernance Facility inom </w:t>
      </w:r>
      <w:r w:rsidRPr="00E147E7">
        <w:rPr>
          <w:rFonts w:ascii="Garamond" w:hAnsi="Garamond"/>
          <w:bCs/>
          <w:sz w:val="24"/>
          <w:szCs w:val="24"/>
        </w:rPr>
        <w:t>ENPI samt avseende migration.</w:t>
      </w:r>
    </w:p>
    <w:p w:rsidR="00AC4C15" w:rsidRPr="00E147E7" w:rsidRDefault="00AC4C15" w:rsidP="007322A5">
      <w:pPr>
        <w:ind w:left="1418" w:firstLine="22"/>
        <w:rPr>
          <w:rFonts w:ascii="Garamond" w:hAnsi="Garamond"/>
          <w:b/>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5. EU-strategi för Centralasien</w:t>
      </w:r>
    </w:p>
    <w:p w:rsidR="00361EBD" w:rsidRPr="00E147E7" w:rsidRDefault="00361EBD" w:rsidP="00361EBD">
      <w:pPr>
        <w:ind w:left="1418" w:firstLine="22"/>
        <w:rPr>
          <w:rFonts w:ascii="Garamond" w:hAnsi="Garamond"/>
          <w:b/>
          <w:bCs/>
          <w:sz w:val="24"/>
          <w:szCs w:val="24"/>
        </w:rPr>
      </w:pPr>
    </w:p>
    <w:p w:rsidR="00722F99" w:rsidRPr="00E147E7" w:rsidRDefault="00545348" w:rsidP="00722F99">
      <w:pPr>
        <w:ind w:left="1418" w:firstLine="22"/>
        <w:rPr>
          <w:rFonts w:ascii="Garamond" w:hAnsi="Garamond"/>
          <w:bCs/>
          <w:sz w:val="24"/>
          <w:szCs w:val="24"/>
        </w:rPr>
      </w:pPr>
      <w:r w:rsidRPr="00E147E7">
        <w:rPr>
          <w:rFonts w:ascii="Garamond" w:hAnsi="Garamond"/>
          <w:bCs/>
          <w:sz w:val="24"/>
          <w:szCs w:val="24"/>
        </w:rPr>
        <w:t xml:space="preserve">Sannolikt en s.k. ”falsk B-punkt”, dvs ingen diskussion förutses förutom en kort presentation av ORDF. </w:t>
      </w:r>
      <w:r w:rsidR="00722F99" w:rsidRPr="00E147E7">
        <w:rPr>
          <w:rFonts w:ascii="Garamond" w:hAnsi="Garamond"/>
          <w:bCs/>
          <w:sz w:val="24"/>
          <w:szCs w:val="24"/>
        </w:rPr>
        <w:t>GAERC</w:t>
      </w:r>
      <w:r w:rsidR="009D0F55" w:rsidRPr="00E147E7">
        <w:rPr>
          <w:rFonts w:ascii="Garamond" w:hAnsi="Garamond"/>
          <w:bCs/>
          <w:sz w:val="24"/>
          <w:szCs w:val="24"/>
        </w:rPr>
        <w:t xml:space="preserve"> väntas</w:t>
      </w:r>
      <w:r w:rsidR="00722F99" w:rsidRPr="00E147E7">
        <w:rPr>
          <w:rFonts w:ascii="Garamond" w:hAnsi="Garamond"/>
          <w:bCs/>
          <w:sz w:val="24"/>
          <w:szCs w:val="24"/>
        </w:rPr>
        <w:t xml:space="preserve"> </w:t>
      </w:r>
      <w:r w:rsidR="009D0F55" w:rsidRPr="00E147E7">
        <w:rPr>
          <w:rFonts w:ascii="Garamond" w:hAnsi="Garamond"/>
          <w:bCs/>
          <w:sz w:val="24"/>
          <w:szCs w:val="24"/>
        </w:rPr>
        <w:t xml:space="preserve">genom slutsatser </w:t>
      </w:r>
      <w:r w:rsidR="00722F99" w:rsidRPr="00E147E7">
        <w:rPr>
          <w:rFonts w:ascii="Garamond" w:hAnsi="Garamond"/>
          <w:bCs/>
          <w:sz w:val="24"/>
          <w:szCs w:val="24"/>
        </w:rPr>
        <w:t xml:space="preserve">att ta ställning till frågan om antagande av en strategi för ett nytt partnerskap med Centralasien. </w:t>
      </w:r>
    </w:p>
    <w:p w:rsidR="00722F99" w:rsidRPr="00E147E7" w:rsidRDefault="00722F99" w:rsidP="00722F99">
      <w:pPr>
        <w:ind w:left="1418" w:firstLine="22"/>
        <w:rPr>
          <w:rFonts w:ascii="Garamond" w:hAnsi="Garamond"/>
          <w:bCs/>
          <w:sz w:val="24"/>
          <w:szCs w:val="24"/>
        </w:rPr>
      </w:pPr>
    </w:p>
    <w:p w:rsidR="00722F99" w:rsidRPr="00E147E7" w:rsidRDefault="00722F99" w:rsidP="00722F99">
      <w:pPr>
        <w:ind w:left="1418" w:firstLine="22"/>
        <w:rPr>
          <w:rFonts w:ascii="Garamond" w:hAnsi="Garamond"/>
          <w:bCs/>
          <w:sz w:val="24"/>
          <w:szCs w:val="24"/>
        </w:rPr>
      </w:pPr>
      <w:r w:rsidRPr="00E147E7">
        <w:rPr>
          <w:rFonts w:ascii="Garamond" w:hAnsi="Garamond"/>
          <w:bCs/>
          <w:sz w:val="24"/>
          <w:szCs w:val="24"/>
        </w:rPr>
        <w:t>Strategin betonar Centralasiens historiska roll som knytpunkt mellan Europa och Asien och syftar till att ett ökat samarbete mellan EU och länderna i Centralasien på en rad områden. Resultatinriktade dialogserier om mänskliga rättigheter mellan EU och respektive land skall upprättas. Ekonomisk utveckling, handel och investeringar skall främjas och steg skall tas för att förbättra infrastrukturen på energi- och transportområdet. Arbete för en hållbar utveckling, inte minst vad gäller vattenfrågor, utgör ett annat område för samarbete. Även migrationsfrågor behandlas i strategin liksom arbete för att öka kontakterna mellan invånare i EU:s medlemsstater och de centralasiatiska länderna.</w:t>
      </w:r>
    </w:p>
    <w:p w:rsidR="00722F99" w:rsidRPr="00E147E7" w:rsidRDefault="00722F99" w:rsidP="00722F99">
      <w:pPr>
        <w:ind w:left="1418" w:firstLine="22"/>
        <w:rPr>
          <w:rFonts w:ascii="Garamond" w:hAnsi="Garamond"/>
          <w:bCs/>
          <w:sz w:val="24"/>
          <w:szCs w:val="24"/>
        </w:rPr>
      </w:pPr>
    </w:p>
    <w:p w:rsidR="00361EBD" w:rsidRPr="00E147E7" w:rsidRDefault="00722F99" w:rsidP="00722F99">
      <w:pPr>
        <w:ind w:left="1418" w:firstLine="22"/>
        <w:rPr>
          <w:rFonts w:ascii="Garamond" w:hAnsi="Garamond"/>
          <w:bCs/>
          <w:sz w:val="24"/>
          <w:szCs w:val="24"/>
        </w:rPr>
      </w:pPr>
      <w:r w:rsidRPr="00E147E7">
        <w:rPr>
          <w:rFonts w:ascii="Garamond" w:hAnsi="Garamond"/>
          <w:bCs/>
          <w:sz w:val="24"/>
          <w:szCs w:val="24"/>
        </w:rPr>
        <w:t>Regeringen stödjer strategins allmänna ansats. Centralasien är en strategiskt och geopolitiskt viktig region och det är därför välkommet att EU utvecklar sitt tänkande om regionen. Regeringen har dock uppmärksammat det tyska ordförandeskapet på vikten av att ställa Centralasien i proportion till EU:s resurser och övriga prioriteringar. Det är samtidigt av största vikt att vårt arbete för att stärka respekten för mänskliga rättigheter i Centralasien även fortsatt är kraftfullt och strategin kan här fungera som ett värdefullt verktyg.</w:t>
      </w:r>
    </w:p>
    <w:p w:rsidR="00722F99" w:rsidRPr="00E147E7" w:rsidRDefault="00722F99" w:rsidP="00722F99">
      <w:pPr>
        <w:ind w:left="1418" w:firstLine="22"/>
        <w:rPr>
          <w:rFonts w:ascii="Garamond" w:hAnsi="Garamond"/>
          <w:b/>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6. Västra Balkan</w:t>
      </w:r>
    </w:p>
    <w:p w:rsidR="00361EBD" w:rsidRPr="00E147E7" w:rsidRDefault="00361EBD" w:rsidP="00361EBD">
      <w:pPr>
        <w:ind w:left="1418" w:firstLine="22"/>
        <w:rPr>
          <w:rFonts w:ascii="Garamond" w:hAnsi="Garamond"/>
          <w:b/>
          <w:bCs/>
          <w:sz w:val="24"/>
          <w:szCs w:val="24"/>
        </w:rPr>
      </w:pPr>
    </w:p>
    <w:p w:rsidR="008C5B03" w:rsidRPr="00E147E7" w:rsidRDefault="008C5B03" w:rsidP="008C5B03">
      <w:pPr>
        <w:ind w:left="1418" w:firstLine="22"/>
        <w:rPr>
          <w:rFonts w:ascii="Garamond" w:hAnsi="Garamond"/>
          <w:bCs/>
          <w:sz w:val="24"/>
          <w:szCs w:val="24"/>
        </w:rPr>
      </w:pPr>
      <w:r w:rsidRPr="00E147E7">
        <w:rPr>
          <w:rFonts w:ascii="Garamond" w:hAnsi="Garamond"/>
          <w:bCs/>
          <w:sz w:val="24"/>
          <w:szCs w:val="24"/>
        </w:rPr>
        <w:t>Diskussions- och beslutspunkt</w:t>
      </w:r>
    </w:p>
    <w:p w:rsidR="008C5B03" w:rsidRPr="00E147E7" w:rsidRDefault="008C5B03" w:rsidP="008C5B03">
      <w:pPr>
        <w:ind w:left="1418" w:firstLine="22"/>
        <w:rPr>
          <w:rFonts w:ascii="Garamond" w:hAnsi="Garamond"/>
          <w:bCs/>
          <w:sz w:val="24"/>
          <w:szCs w:val="24"/>
        </w:rPr>
      </w:pPr>
    </w:p>
    <w:p w:rsidR="008C5B03" w:rsidRPr="00E147E7" w:rsidRDefault="008C5B03" w:rsidP="008C5B03">
      <w:pPr>
        <w:ind w:left="1418" w:firstLine="22"/>
        <w:rPr>
          <w:rFonts w:ascii="Garamond" w:hAnsi="Garamond"/>
          <w:bCs/>
          <w:sz w:val="24"/>
          <w:szCs w:val="24"/>
        </w:rPr>
      </w:pPr>
      <w:r w:rsidRPr="00E147E7">
        <w:rPr>
          <w:rFonts w:ascii="Garamond" w:hAnsi="Garamond"/>
          <w:bCs/>
          <w:sz w:val="24"/>
          <w:szCs w:val="24"/>
        </w:rPr>
        <w:t xml:space="preserve">Ordföranden har aviserat att Västra Balkan kommer att diskuteras i begränsat format. Huvudsaklig fokus i diskussionen kommer att ligga på Kosovo och Serbien. </w:t>
      </w:r>
    </w:p>
    <w:p w:rsidR="008C5B03" w:rsidRPr="00E147E7" w:rsidRDefault="008C5B03" w:rsidP="008C5B03">
      <w:pPr>
        <w:ind w:left="1418" w:firstLine="22"/>
        <w:rPr>
          <w:rFonts w:ascii="Garamond" w:hAnsi="Garamond"/>
          <w:bCs/>
          <w:sz w:val="24"/>
          <w:szCs w:val="24"/>
        </w:rPr>
      </w:pPr>
    </w:p>
    <w:p w:rsidR="008C5B03" w:rsidRPr="00E147E7" w:rsidRDefault="008C5B03" w:rsidP="008C5B03">
      <w:pPr>
        <w:ind w:left="1418" w:firstLine="22"/>
        <w:rPr>
          <w:rFonts w:ascii="Garamond" w:hAnsi="Garamond"/>
          <w:bCs/>
          <w:sz w:val="24"/>
          <w:szCs w:val="24"/>
        </w:rPr>
      </w:pPr>
      <w:r w:rsidRPr="00E147E7">
        <w:rPr>
          <w:rFonts w:ascii="Garamond" w:hAnsi="Garamond"/>
          <w:bCs/>
          <w:sz w:val="24"/>
          <w:szCs w:val="24"/>
        </w:rPr>
        <w:t>Rörande Kosovo kan diskussionen förväntas beröra de pågående förhandlingarna i säkerhetsrådet om Ahtisaaris förslag till statuslösning liksom EU:s förberedelser inför ett övertagande av den internationella mission som i enlighet med Ahtisaaris förslag förväntas i Kosovo efter ett statusbeslut. Utvecklingen i säkerhetsrådet är i stor</w:t>
      </w:r>
      <w:r w:rsidR="00575B00" w:rsidRPr="00E147E7">
        <w:rPr>
          <w:rFonts w:ascii="Garamond" w:hAnsi="Garamond"/>
          <w:bCs/>
          <w:sz w:val="24"/>
          <w:szCs w:val="24"/>
        </w:rPr>
        <w:t>a</w:t>
      </w:r>
      <w:r w:rsidRPr="00E147E7">
        <w:rPr>
          <w:rFonts w:ascii="Garamond" w:hAnsi="Garamond"/>
          <w:bCs/>
          <w:sz w:val="24"/>
          <w:szCs w:val="24"/>
        </w:rPr>
        <w:t xml:space="preserve"> drag avhängig diskussionerna vid G8-mötet som genomför</w:t>
      </w:r>
      <w:r w:rsidR="004320FD" w:rsidRPr="00E147E7">
        <w:rPr>
          <w:rFonts w:ascii="Garamond" w:hAnsi="Garamond"/>
          <w:bCs/>
          <w:sz w:val="24"/>
          <w:szCs w:val="24"/>
        </w:rPr>
        <w:t>de</w:t>
      </w:r>
      <w:r w:rsidRPr="00E147E7">
        <w:rPr>
          <w:rFonts w:ascii="Garamond" w:hAnsi="Garamond"/>
          <w:bCs/>
          <w:sz w:val="24"/>
          <w:szCs w:val="24"/>
        </w:rPr>
        <w:t xml:space="preserve">s den 7-8 juni. </w:t>
      </w:r>
    </w:p>
    <w:p w:rsidR="008C5B03" w:rsidRPr="00E147E7" w:rsidRDefault="008C5B03" w:rsidP="008C5B03">
      <w:pPr>
        <w:ind w:left="1418" w:firstLine="22"/>
        <w:rPr>
          <w:rFonts w:ascii="Garamond" w:hAnsi="Garamond"/>
          <w:bCs/>
          <w:sz w:val="24"/>
          <w:szCs w:val="24"/>
        </w:rPr>
      </w:pPr>
    </w:p>
    <w:p w:rsidR="008C5B03" w:rsidRPr="00E147E7" w:rsidRDefault="008C5B03" w:rsidP="008C5B03">
      <w:pPr>
        <w:ind w:left="1418" w:firstLine="22"/>
        <w:rPr>
          <w:rFonts w:ascii="Garamond" w:hAnsi="Garamond"/>
          <w:bCs/>
          <w:sz w:val="24"/>
          <w:szCs w:val="24"/>
        </w:rPr>
      </w:pPr>
      <w:r w:rsidRPr="00E147E7">
        <w:rPr>
          <w:rFonts w:ascii="Garamond" w:hAnsi="Garamond"/>
          <w:bCs/>
          <w:sz w:val="24"/>
          <w:szCs w:val="24"/>
        </w:rPr>
        <w:t xml:space="preserve">Diskussionen om Serbien kommer sannolikt </w:t>
      </w:r>
      <w:r w:rsidR="00613815" w:rsidRPr="00E147E7">
        <w:rPr>
          <w:rFonts w:ascii="Garamond" w:hAnsi="Garamond"/>
          <w:bCs/>
          <w:sz w:val="24"/>
          <w:szCs w:val="24"/>
        </w:rPr>
        <w:t xml:space="preserve">att kretsa kring </w:t>
      </w:r>
      <w:r w:rsidRPr="00E147E7">
        <w:rPr>
          <w:rFonts w:ascii="Garamond" w:hAnsi="Garamond"/>
          <w:bCs/>
          <w:sz w:val="24"/>
          <w:szCs w:val="24"/>
        </w:rPr>
        <w:t xml:space="preserve">beslutet från kommissionen att återuppta förhandlingar om ett Stabiliserings- och Associeringsavtal med Serbien i ljuset av landets förbättrade samarbete med krigsförbrytartribunalen i Haag, ICTY. </w:t>
      </w:r>
    </w:p>
    <w:p w:rsidR="008C5B03" w:rsidRPr="00E147E7" w:rsidRDefault="008C5B03" w:rsidP="008C5B03">
      <w:pPr>
        <w:ind w:left="1418" w:firstLine="22"/>
        <w:rPr>
          <w:rFonts w:ascii="Garamond" w:hAnsi="Garamond"/>
          <w:bCs/>
          <w:sz w:val="24"/>
          <w:szCs w:val="24"/>
        </w:rPr>
      </w:pPr>
    </w:p>
    <w:p w:rsidR="00361EBD" w:rsidRPr="00E147E7" w:rsidRDefault="008C5B03" w:rsidP="008C5B03">
      <w:pPr>
        <w:ind w:left="1418" w:firstLine="22"/>
        <w:rPr>
          <w:rFonts w:ascii="Garamond" w:hAnsi="Garamond"/>
          <w:bCs/>
          <w:sz w:val="24"/>
          <w:szCs w:val="24"/>
        </w:rPr>
      </w:pPr>
      <w:r w:rsidRPr="00E147E7">
        <w:rPr>
          <w:rFonts w:ascii="Garamond" w:hAnsi="Garamond"/>
          <w:bCs/>
          <w:sz w:val="24"/>
          <w:szCs w:val="24"/>
        </w:rPr>
        <w:t>Rådsslutsatser är att vänta om Serbien och återupptagandet av SAA-förhandlingarna, ett välkomnande av att paraferingen av viseringsförenklings- och återtagandeavtalen nu har slutförts för samtliga länder på västra Balkan. Det är ännu oklart om slutsatser kommer att utarbetas avseende Kosovo.</w:t>
      </w:r>
    </w:p>
    <w:p w:rsidR="000C51F3" w:rsidRPr="00E147E7" w:rsidRDefault="000C51F3" w:rsidP="008C5B03">
      <w:pPr>
        <w:ind w:left="1418" w:firstLine="22"/>
        <w:rPr>
          <w:rFonts w:ascii="Garamond" w:hAnsi="Garamond"/>
          <w:bCs/>
          <w:sz w:val="24"/>
          <w:szCs w:val="24"/>
        </w:rPr>
      </w:pPr>
    </w:p>
    <w:p w:rsidR="000C51F3" w:rsidRPr="00E147E7" w:rsidRDefault="000C51F3" w:rsidP="008C5B03">
      <w:pPr>
        <w:ind w:left="1418" w:firstLine="22"/>
        <w:rPr>
          <w:rFonts w:ascii="Garamond" w:hAnsi="Garamond"/>
          <w:bCs/>
          <w:sz w:val="24"/>
          <w:szCs w:val="24"/>
        </w:rPr>
      </w:pPr>
      <w:r w:rsidRPr="00E147E7">
        <w:rPr>
          <w:rFonts w:ascii="Garamond" w:hAnsi="Garamond"/>
          <w:bCs/>
          <w:sz w:val="24"/>
          <w:szCs w:val="24"/>
        </w:rPr>
        <w:t>Regeringen stöder ett snart återupptagande av förhandlingar om ett Stabiliserings- och Associeringsavtal med Serbien. Det är viktigt för stabiliteten i regionen. Vad gäller Kosovo avser regeringen fortsatt verka för att ett enigt agerande från EU:s sida kan säkerställas. EU måste tala med en röst både i förhållande till viktiga säkerhetsrådsaktörer som Ryssland och USA men också i relation till länderna i regionen.</w:t>
      </w:r>
    </w:p>
    <w:p w:rsidR="008C5B03" w:rsidRPr="00E147E7" w:rsidRDefault="008C5B03" w:rsidP="008C5B03">
      <w:pPr>
        <w:ind w:left="1418" w:firstLine="22"/>
        <w:rPr>
          <w:rFonts w:ascii="Garamond" w:hAnsi="Garamond"/>
          <w:b/>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7. Fredsprocessen i Mellanöstern</w:t>
      </w:r>
    </w:p>
    <w:p w:rsidR="00361EBD" w:rsidRPr="00E147E7" w:rsidRDefault="00361EBD" w:rsidP="00361EBD">
      <w:pPr>
        <w:ind w:left="1418" w:firstLine="22"/>
        <w:rPr>
          <w:rFonts w:ascii="Garamond" w:hAnsi="Garamond"/>
          <w:b/>
          <w:bCs/>
          <w:sz w:val="24"/>
          <w:szCs w:val="24"/>
        </w:rPr>
      </w:pPr>
    </w:p>
    <w:p w:rsidR="00576620" w:rsidRPr="00E147E7" w:rsidRDefault="00576620" w:rsidP="00576620">
      <w:pPr>
        <w:ind w:left="1418" w:firstLine="22"/>
        <w:rPr>
          <w:rFonts w:ascii="Garamond" w:hAnsi="Garamond"/>
          <w:bCs/>
          <w:sz w:val="24"/>
          <w:szCs w:val="24"/>
        </w:rPr>
      </w:pPr>
      <w:r w:rsidRPr="00E147E7">
        <w:rPr>
          <w:rFonts w:ascii="Garamond" w:hAnsi="Garamond"/>
          <w:bCs/>
          <w:sz w:val="24"/>
          <w:szCs w:val="24"/>
        </w:rPr>
        <w:t>Diskussions- och beslutspunkt.</w:t>
      </w:r>
    </w:p>
    <w:p w:rsidR="00576620" w:rsidRPr="00E147E7" w:rsidRDefault="00576620" w:rsidP="00576620">
      <w:pPr>
        <w:ind w:left="1418" w:firstLine="22"/>
        <w:rPr>
          <w:rFonts w:ascii="Garamond" w:hAnsi="Garamond"/>
          <w:bCs/>
          <w:sz w:val="24"/>
          <w:szCs w:val="24"/>
        </w:rPr>
      </w:pPr>
    </w:p>
    <w:p w:rsidR="00576620" w:rsidRPr="00E147E7" w:rsidRDefault="00576620" w:rsidP="00576620">
      <w:pPr>
        <w:ind w:left="1418" w:firstLine="22"/>
        <w:rPr>
          <w:rFonts w:ascii="Garamond" w:hAnsi="Garamond"/>
          <w:bCs/>
          <w:sz w:val="24"/>
          <w:szCs w:val="24"/>
        </w:rPr>
      </w:pPr>
      <w:r w:rsidRPr="00E147E7">
        <w:rPr>
          <w:rFonts w:ascii="Garamond" w:hAnsi="Garamond"/>
          <w:bCs/>
          <w:sz w:val="24"/>
          <w:szCs w:val="24"/>
        </w:rPr>
        <w:t xml:space="preserve">Rådet kommer att diskutera situationen i Mellanöstern under lunchen och förväntas anta slutsatser.   </w:t>
      </w:r>
    </w:p>
    <w:p w:rsidR="00576620" w:rsidRPr="00E147E7" w:rsidRDefault="00576620" w:rsidP="00576620">
      <w:pPr>
        <w:ind w:left="1418" w:firstLine="22"/>
        <w:rPr>
          <w:rFonts w:ascii="Garamond" w:hAnsi="Garamond"/>
          <w:bCs/>
          <w:sz w:val="24"/>
          <w:szCs w:val="24"/>
        </w:rPr>
      </w:pPr>
    </w:p>
    <w:p w:rsidR="00576620" w:rsidRPr="00E147E7" w:rsidRDefault="00FB3836" w:rsidP="00576620">
      <w:pPr>
        <w:ind w:left="1418" w:firstLine="22"/>
        <w:rPr>
          <w:rFonts w:ascii="Garamond" w:hAnsi="Garamond"/>
          <w:bCs/>
          <w:sz w:val="24"/>
          <w:szCs w:val="24"/>
        </w:rPr>
      </w:pPr>
      <w:r w:rsidRPr="00E147E7">
        <w:rPr>
          <w:rFonts w:ascii="Garamond" w:hAnsi="Garamond"/>
          <w:bCs/>
          <w:sz w:val="24"/>
          <w:szCs w:val="24"/>
        </w:rPr>
        <w:t xml:space="preserve">Diskussionen torde komma att handla om situationen i de palestinska områdena och förberedelser inför kommande möten med kvartetten och representanter för Arabförbundet. Rådet förväntas även ge sitt stöd till en förlängning av den tillfälliga internationella mekanismen för bistånd till palestinierna (TIM). Regeringens förhoppning är att EU:s påbörjade kontakter med samlingsregeringen i förening med dess politik kan leda till att samarbetet </w:t>
      </w:r>
      <w:r w:rsidR="00EA1A58" w:rsidRPr="00E147E7">
        <w:rPr>
          <w:rFonts w:ascii="Garamond" w:hAnsi="Garamond"/>
          <w:bCs/>
          <w:sz w:val="24"/>
          <w:szCs w:val="24"/>
        </w:rPr>
        <w:t xml:space="preserve">på sikt </w:t>
      </w:r>
      <w:r w:rsidRPr="00E147E7">
        <w:rPr>
          <w:rFonts w:ascii="Garamond" w:hAnsi="Garamond"/>
          <w:bCs/>
          <w:sz w:val="24"/>
          <w:szCs w:val="24"/>
        </w:rPr>
        <w:t>kan återupptas till fullo.</w:t>
      </w:r>
      <w:r w:rsidR="00EA1A58" w:rsidRPr="00E147E7">
        <w:rPr>
          <w:rFonts w:ascii="Garamond" w:hAnsi="Garamond"/>
          <w:bCs/>
          <w:sz w:val="24"/>
          <w:szCs w:val="24"/>
        </w:rPr>
        <w:t xml:space="preserve"> För närvarande tas inga kontakter med Hamasministrar.</w:t>
      </w:r>
      <w:r w:rsidRPr="00E147E7">
        <w:rPr>
          <w:rFonts w:ascii="Garamond" w:hAnsi="Garamond"/>
          <w:bCs/>
          <w:sz w:val="24"/>
          <w:szCs w:val="24"/>
        </w:rPr>
        <w:t xml:space="preserve"> Troligen kommer rådet också att diskutera situationen i Libanon med anledning av de senaste veckornas våldsamheter i de palestinska flyktinglägren. Därutöver är ett möte med Israels utrikesminister Tzipi Livni inplanerat.</w:t>
      </w:r>
    </w:p>
    <w:p w:rsidR="00FB3836" w:rsidRPr="00E147E7" w:rsidRDefault="00FB3836" w:rsidP="00576620">
      <w:pPr>
        <w:ind w:left="1418" w:firstLine="22"/>
        <w:rPr>
          <w:rFonts w:ascii="Garamond" w:hAnsi="Garamond"/>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8. Initiativ EU-Arabförbundet</w:t>
      </w:r>
    </w:p>
    <w:p w:rsidR="00361EBD" w:rsidRPr="00E147E7" w:rsidRDefault="00361EBD" w:rsidP="00361EBD">
      <w:pPr>
        <w:ind w:left="1418" w:firstLine="22"/>
        <w:rPr>
          <w:rFonts w:ascii="Garamond" w:hAnsi="Garamond"/>
          <w:b/>
          <w:bCs/>
          <w:sz w:val="24"/>
          <w:szCs w:val="24"/>
        </w:rPr>
      </w:pPr>
    </w:p>
    <w:p w:rsidR="0063344D" w:rsidRPr="00E147E7" w:rsidRDefault="0063344D" w:rsidP="0063344D">
      <w:pPr>
        <w:ind w:left="1418" w:firstLine="22"/>
        <w:rPr>
          <w:rFonts w:ascii="Garamond" w:hAnsi="Garamond"/>
          <w:bCs/>
          <w:sz w:val="24"/>
          <w:szCs w:val="24"/>
        </w:rPr>
      </w:pPr>
      <w:r w:rsidRPr="00E147E7">
        <w:rPr>
          <w:rFonts w:ascii="Garamond" w:hAnsi="Garamond"/>
          <w:bCs/>
          <w:sz w:val="24"/>
          <w:szCs w:val="24"/>
        </w:rPr>
        <w:t xml:space="preserve">Diskussions- och beslutspunkt. </w:t>
      </w:r>
    </w:p>
    <w:p w:rsidR="0063344D" w:rsidRPr="00E147E7" w:rsidRDefault="0063344D" w:rsidP="0063344D">
      <w:pPr>
        <w:ind w:left="1418" w:firstLine="22"/>
        <w:rPr>
          <w:rFonts w:ascii="Garamond" w:hAnsi="Garamond"/>
          <w:bCs/>
          <w:sz w:val="24"/>
          <w:szCs w:val="24"/>
        </w:rPr>
      </w:pPr>
    </w:p>
    <w:p w:rsidR="00361EBD" w:rsidRPr="00E147E7" w:rsidRDefault="0063344D" w:rsidP="0063344D">
      <w:pPr>
        <w:ind w:left="1418" w:firstLine="22"/>
        <w:rPr>
          <w:rFonts w:ascii="Garamond" w:hAnsi="Garamond"/>
          <w:bCs/>
          <w:sz w:val="24"/>
          <w:szCs w:val="24"/>
        </w:rPr>
      </w:pPr>
      <w:r w:rsidRPr="00E147E7">
        <w:rPr>
          <w:rFonts w:ascii="Garamond" w:hAnsi="Garamond"/>
          <w:bCs/>
          <w:sz w:val="24"/>
          <w:szCs w:val="24"/>
        </w:rPr>
        <w:t xml:space="preserve">Punkten fanns med på dagordningen även vid det senaste GAERC men hanns ej med då. Rådet kommer att diskutera ett initiativ som Malta presenterat rörande en fördjupad dialog mellan EU och Arabförbundet. Malta föreslog från början ett möte på ministernivå, men det tyska ordförandeskapet har i stället föreslagit att ett trojkamöte hålls på tjänstemannanivå med representanter för Arabförbundet i Berlin i maj eller juni 2007. Ett sådant möte skulle ha två syften; dels att få igång en dialog mellan EU och Arabförbundet om frågor av gemensamt intresse, inklusive regionala frågor och dels att undersöka utsikterna till ett utökat samarbete med Arabförbundet. Regeringen stödjer ORDF:s förslag samtidigt som det är angeläget att undvika duplicering av redan existerande dialogfora som t ex Barcelonaprocessen.      </w:t>
      </w:r>
    </w:p>
    <w:p w:rsidR="0063344D" w:rsidRPr="00E147E7" w:rsidRDefault="0063344D" w:rsidP="0063344D">
      <w:pPr>
        <w:ind w:left="1418" w:firstLine="22"/>
        <w:rPr>
          <w:rFonts w:ascii="Garamond" w:hAnsi="Garamond"/>
          <w:b/>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9. Iran</w:t>
      </w:r>
    </w:p>
    <w:p w:rsidR="00361EBD" w:rsidRPr="00E147E7" w:rsidRDefault="00361EBD" w:rsidP="00361EBD">
      <w:pPr>
        <w:ind w:left="1418" w:firstLine="22"/>
        <w:rPr>
          <w:rFonts w:ascii="Garamond" w:hAnsi="Garamond"/>
          <w:b/>
          <w:bCs/>
          <w:sz w:val="24"/>
          <w:szCs w:val="24"/>
        </w:rPr>
      </w:pPr>
    </w:p>
    <w:p w:rsidR="00497B70" w:rsidRPr="00E147E7" w:rsidRDefault="00497B70" w:rsidP="00497B70">
      <w:pPr>
        <w:ind w:left="1418" w:firstLine="22"/>
        <w:rPr>
          <w:rFonts w:ascii="Garamond" w:hAnsi="Garamond"/>
          <w:bCs/>
          <w:sz w:val="24"/>
          <w:szCs w:val="24"/>
        </w:rPr>
      </w:pPr>
      <w:r w:rsidRPr="00E147E7">
        <w:rPr>
          <w:rFonts w:ascii="Garamond" w:hAnsi="Garamond"/>
          <w:bCs/>
          <w:sz w:val="24"/>
          <w:szCs w:val="24"/>
        </w:rPr>
        <w:t>Diskussions- och ev</w:t>
      </w:r>
      <w:r w:rsidR="00A05AC5" w:rsidRPr="00E147E7">
        <w:rPr>
          <w:rFonts w:ascii="Garamond" w:hAnsi="Garamond"/>
          <w:bCs/>
          <w:sz w:val="24"/>
          <w:szCs w:val="24"/>
        </w:rPr>
        <w:t>.</w:t>
      </w:r>
      <w:r w:rsidRPr="00E147E7">
        <w:rPr>
          <w:rFonts w:ascii="Garamond" w:hAnsi="Garamond"/>
          <w:bCs/>
          <w:sz w:val="24"/>
          <w:szCs w:val="24"/>
        </w:rPr>
        <w:t xml:space="preserve"> beslutspunkt.</w:t>
      </w:r>
    </w:p>
    <w:p w:rsidR="00497B70" w:rsidRPr="00E147E7" w:rsidRDefault="00497B70" w:rsidP="00497B70">
      <w:pPr>
        <w:ind w:left="1418" w:firstLine="22"/>
        <w:rPr>
          <w:rFonts w:ascii="Garamond" w:hAnsi="Garamond"/>
          <w:bCs/>
          <w:sz w:val="24"/>
          <w:szCs w:val="24"/>
        </w:rPr>
      </w:pPr>
    </w:p>
    <w:p w:rsidR="00361EBD" w:rsidRPr="00E147E7" w:rsidRDefault="00497B70" w:rsidP="00497B70">
      <w:pPr>
        <w:ind w:left="1418" w:firstLine="22"/>
        <w:rPr>
          <w:rFonts w:ascii="Garamond" w:hAnsi="Garamond"/>
          <w:bCs/>
          <w:sz w:val="24"/>
          <w:szCs w:val="24"/>
        </w:rPr>
      </w:pPr>
      <w:r w:rsidRPr="00E147E7">
        <w:rPr>
          <w:rFonts w:ascii="Garamond" w:hAnsi="Garamond"/>
          <w:bCs/>
          <w:sz w:val="24"/>
          <w:szCs w:val="24"/>
        </w:rPr>
        <w:t>Diskussionen kan i första hand och på nytt väntas handla om den kärntekniska frågan. Den torde ta sin utgångspunkt i rapporter om frågans behandling vid G8-toppmötet, inte minst när det gäller det internationella samfundets och FN:s säkerhetsråds reaktion på beskedet att Iran inte efterlevt rådets resolution 1747.  Till utgångspunkterna hör också Javier Solanas väntade redogörelse för läget i den serie konsultationer som han genomför med Irans chefsförhandlare.  Nytt sedan den senaste GAERC-diskussionen är också att USA och Iran haft direktkontakt, dock utan att den kärntekniska frågan stått på dagordningen.</w:t>
      </w:r>
      <w:r w:rsidR="00B03548" w:rsidRPr="00E147E7">
        <w:rPr>
          <w:rFonts w:ascii="Garamond" w:hAnsi="Garamond"/>
          <w:bCs/>
          <w:sz w:val="24"/>
          <w:szCs w:val="24"/>
        </w:rPr>
        <w:t xml:space="preserve"> </w:t>
      </w:r>
    </w:p>
    <w:p w:rsidR="00372509" w:rsidRPr="00E147E7" w:rsidRDefault="00372509" w:rsidP="00497B70">
      <w:pPr>
        <w:ind w:left="1418" w:firstLine="22"/>
        <w:rPr>
          <w:rFonts w:ascii="Garamond" w:hAnsi="Garamond"/>
          <w:bCs/>
          <w:sz w:val="24"/>
          <w:szCs w:val="24"/>
        </w:rPr>
      </w:pPr>
    </w:p>
    <w:p w:rsidR="00372509" w:rsidRPr="00E147E7" w:rsidRDefault="00372509" w:rsidP="00497B70">
      <w:pPr>
        <w:ind w:left="1418" w:firstLine="22"/>
        <w:rPr>
          <w:rFonts w:ascii="Garamond" w:hAnsi="Garamond"/>
          <w:bCs/>
          <w:sz w:val="24"/>
          <w:szCs w:val="24"/>
        </w:rPr>
      </w:pPr>
      <w:r w:rsidRPr="00E147E7">
        <w:rPr>
          <w:rFonts w:ascii="Garamond" w:hAnsi="Garamond"/>
          <w:bCs/>
          <w:sz w:val="24"/>
          <w:szCs w:val="24"/>
        </w:rPr>
        <w:t xml:space="preserve">Regeringen stöder fortsatt EU:s sk ”dual approach” - dvs fortsatta påtryckningar genom FN-sanktioner så länge Iran vägrar att efterleva kraven på frysning av anrikning, m, kombinerat med erbjudande om samarbete och fördelar om Iran väljer rätt väg. Med rätt väg menar vi ett agerande som på sikt kan återge omvärlden förtroende för att Irans kärntekniska program inte har andra syften än fredlig användning av kärnenergi. Tillgängliga rapporter visar förvisso att Iran hittills gått den motsatta vägen och gjort ytterligare framsteg mot en fullskalig anrikningsförmåga.  Regeringen verkar för att de diplomatiska ansträngningarna fortsätter med oförminskad kraft. Beroende på Irans agerande kan det bli fråga om skärpta sanktioner genom beslut i </w:t>
      </w:r>
      <w:r w:rsidR="001F0CB8" w:rsidRPr="00E147E7">
        <w:rPr>
          <w:rFonts w:ascii="Garamond" w:hAnsi="Garamond"/>
          <w:bCs/>
          <w:sz w:val="24"/>
          <w:szCs w:val="24"/>
        </w:rPr>
        <w:t xml:space="preserve">FN:s </w:t>
      </w:r>
      <w:r w:rsidRPr="00E147E7">
        <w:rPr>
          <w:rFonts w:ascii="Garamond" w:hAnsi="Garamond"/>
          <w:bCs/>
          <w:sz w:val="24"/>
          <w:szCs w:val="24"/>
        </w:rPr>
        <w:t>säkerhetsr</w:t>
      </w:r>
      <w:r w:rsidR="001F0CB8" w:rsidRPr="00E147E7">
        <w:rPr>
          <w:rFonts w:ascii="Garamond" w:hAnsi="Garamond"/>
          <w:bCs/>
          <w:sz w:val="24"/>
          <w:szCs w:val="24"/>
        </w:rPr>
        <w:t>åd</w:t>
      </w:r>
      <w:r w:rsidRPr="00E147E7">
        <w:rPr>
          <w:rFonts w:ascii="Garamond" w:hAnsi="Garamond"/>
          <w:bCs/>
          <w:sz w:val="24"/>
          <w:szCs w:val="24"/>
        </w:rPr>
        <w:t>.</w:t>
      </w:r>
    </w:p>
    <w:p w:rsidR="00497B70" w:rsidRPr="00E147E7" w:rsidRDefault="00497B70" w:rsidP="00497B70">
      <w:pPr>
        <w:ind w:left="1418" w:firstLine="22"/>
        <w:rPr>
          <w:rFonts w:ascii="Garamond" w:hAnsi="Garamond"/>
          <w:b/>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10. Sudan</w:t>
      </w:r>
    </w:p>
    <w:p w:rsidR="00361EBD" w:rsidRPr="00E147E7" w:rsidRDefault="00361EBD" w:rsidP="00361EBD">
      <w:pPr>
        <w:ind w:left="1418" w:firstLine="22"/>
        <w:rPr>
          <w:rFonts w:ascii="Garamond" w:hAnsi="Garamond"/>
          <w:b/>
          <w:bCs/>
          <w:sz w:val="24"/>
          <w:szCs w:val="24"/>
        </w:rPr>
      </w:pPr>
    </w:p>
    <w:p w:rsidR="00983CAD" w:rsidRPr="00E147E7" w:rsidRDefault="00983CAD" w:rsidP="00983CAD">
      <w:pPr>
        <w:ind w:left="1418" w:firstLine="22"/>
        <w:rPr>
          <w:rFonts w:ascii="Garamond" w:hAnsi="Garamond"/>
          <w:bCs/>
          <w:sz w:val="24"/>
          <w:szCs w:val="24"/>
        </w:rPr>
      </w:pPr>
      <w:r w:rsidRPr="00E147E7">
        <w:rPr>
          <w:rFonts w:ascii="Garamond" w:hAnsi="Garamond"/>
          <w:bCs/>
          <w:sz w:val="24"/>
          <w:szCs w:val="24"/>
        </w:rPr>
        <w:t>Diskussions- och beslutspunkt</w:t>
      </w:r>
    </w:p>
    <w:p w:rsidR="00983CAD" w:rsidRPr="00E147E7" w:rsidRDefault="00983CAD" w:rsidP="00983CAD">
      <w:pPr>
        <w:ind w:left="1418" w:firstLine="22"/>
        <w:rPr>
          <w:rFonts w:ascii="Garamond" w:hAnsi="Garamond"/>
          <w:bCs/>
          <w:sz w:val="24"/>
          <w:szCs w:val="24"/>
        </w:rPr>
      </w:pPr>
    </w:p>
    <w:p w:rsidR="00983CAD" w:rsidRPr="00E147E7" w:rsidRDefault="00983CAD" w:rsidP="00983CAD">
      <w:pPr>
        <w:ind w:left="1418" w:firstLine="22"/>
        <w:rPr>
          <w:rFonts w:ascii="Garamond" w:hAnsi="Garamond"/>
          <w:bCs/>
          <w:sz w:val="24"/>
          <w:szCs w:val="24"/>
        </w:rPr>
      </w:pPr>
      <w:r w:rsidRPr="00E147E7">
        <w:rPr>
          <w:rFonts w:ascii="Garamond" w:hAnsi="Garamond"/>
          <w:bCs/>
          <w:sz w:val="24"/>
          <w:szCs w:val="24"/>
        </w:rPr>
        <w:t xml:space="preserve">Rådet förväntas anta slutsatser som behandlar utvecklingen i Sudan med fokus på Darfur. Slutsatserna väntas ge starkt stöd till </w:t>
      </w:r>
      <w:r w:rsidR="0078604F" w:rsidRPr="00E147E7">
        <w:rPr>
          <w:rFonts w:ascii="Garamond" w:hAnsi="Garamond"/>
          <w:bCs/>
          <w:sz w:val="24"/>
          <w:szCs w:val="24"/>
        </w:rPr>
        <w:t xml:space="preserve">Jan </w:t>
      </w:r>
      <w:r w:rsidRPr="00E147E7">
        <w:rPr>
          <w:rFonts w:ascii="Garamond" w:hAnsi="Garamond"/>
          <w:bCs/>
          <w:sz w:val="24"/>
          <w:szCs w:val="24"/>
        </w:rPr>
        <w:t>Eliassons och Salim Salims medlingsarbete samt betona vikten av s</w:t>
      </w:r>
      <w:r w:rsidR="00E43DF7" w:rsidRPr="00E147E7">
        <w:rPr>
          <w:rFonts w:ascii="Garamond" w:hAnsi="Garamond"/>
          <w:bCs/>
          <w:sz w:val="24"/>
          <w:szCs w:val="24"/>
        </w:rPr>
        <w:t>tärkt FN-närvaro till stöd för A</w:t>
      </w:r>
      <w:r w:rsidRPr="00E147E7">
        <w:rPr>
          <w:rFonts w:ascii="Garamond" w:hAnsi="Garamond"/>
          <w:bCs/>
          <w:sz w:val="24"/>
          <w:szCs w:val="24"/>
        </w:rPr>
        <w:t>frikanska unionens insats i Darfur. Slutsatser kan också förväntas behandla den svåra humanitära situationen i Darfur, den hårt utsatta humanitära insatsen och betona behovet av att alla parter följer internationell humanitär rätt.</w:t>
      </w:r>
    </w:p>
    <w:p w:rsidR="00983CAD" w:rsidRPr="00E147E7" w:rsidRDefault="00983CAD" w:rsidP="00983CAD">
      <w:pPr>
        <w:ind w:left="1418" w:firstLine="22"/>
        <w:rPr>
          <w:rFonts w:ascii="Garamond" w:hAnsi="Garamond"/>
          <w:bCs/>
          <w:sz w:val="24"/>
          <w:szCs w:val="24"/>
        </w:rPr>
      </w:pPr>
    </w:p>
    <w:p w:rsidR="00361EBD" w:rsidRPr="00E147E7" w:rsidRDefault="00983CAD" w:rsidP="00983CAD">
      <w:pPr>
        <w:ind w:left="1418" w:firstLine="22"/>
        <w:rPr>
          <w:rFonts w:ascii="Garamond" w:hAnsi="Garamond"/>
          <w:bCs/>
          <w:sz w:val="24"/>
          <w:szCs w:val="24"/>
        </w:rPr>
      </w:pPr>
      <w:r w:rsidRPr="00E147E7">
        <w:rPr>
          <w:rFonts w:ascii="Garamond" w:hAnsi="Garamond"/>
          <w:bCs/>
          <w:sz w:val="24"/>
          <w:szCs w:val="24"/>
        </w:rPr>
        <w:t>Regeringen anser att trycket måste upprätthållas för säkert humanitärt tillträde i Darfur, stärkt fredsfrämjande närvaro och för att alla parter seriöst skall engagera sig i den politiska processen. Vidare anser regeringen att slutsatserna bör betona kravet att Sudan samarbetar med internationella brottsmålsdomstolen. Regeringen fortsätter att betona behovet av internationellt engagemang också till stöd för genomförandet av fredsavtalet mellan norra och södra Sudan.</w:t>
      </w:r>
    </w:p>
    <w:p w:rsidR="00983CAD" w:rsidRPr="00E147E7" w:rsidRDefault="00983CAD" w:rsidP="00983CAD">
      <w:pPr>
        <w:ind w:left="1418" w:firstLine="22"/>
        <w:rPr>
          <w:rFonts w:ascii="Garamond" w:hAnsi="Garamond"/>
          <w:b/>
          <w:bCs/>
          <w:sz w:val="24"/>
          <w:szCs w:val="24"/>
        </w:rPr>
      </w:pPr>
    </w:p>
    <w:p w:rsidR="00361EBD" w:rsidRPr="00E147E7" w:rsidRDefault="00361EBD" w:rsidP="00361EBD">
      <w:pPr>
        <w:ind w:left="1418" w:firstLine="22"/>
        <w:rPr>
          <w:rFonts w:ascii="Garamond" w:hAnsi="Garamond"/>
          <w:b/>
          <w:bCs/>
          <w:sz w:val="24"/>
          <w:szCs w:val="24"/>
        </w:rPr>
      </w:pPr>
      <w:r w:rsidRPr="00E147E7">
        <w:rPr>
          <w:rFonts w:ascii="Garamond" w:hAnsi="Garamond"/>
          <w:b/>
          <w:bCs/>
          <w:sz w:val="24"/>
          <w:szCs w:val="24"/>
        </w:rPr>
        <w:t>11. EU-initiativ mot dödsstraffet</w:t>
      </w:r>
    </w:p>
    <w:p w:rsidR="00361EBD" w:rsidRPr="00E147E7" w:rsidRDefault="00361EBD" w:rsidP="00361EBD">
      <w:pPr>
        <w:ind w:left="1418" w:firstLine="22"/>
        <w:rPr>
          <w:rFonts w:ascii="Garamond" w:hAnsi="Garamond"/>
          <w:b/>
          <w:bCs/>
          <w:sz w:val="24"/>
          <w:szCs w:val="24"/>
        </w:rPr>
      </w:pPr>
    </w:p>
    <w:p w:rsidR="00AA08E4" w:rsidRPr="00E147E7" w:rsidRDefault="00AA08E4" w:rsidP="005609F0">
      <w:pPr>
        <w:ind w:left="1418" w:firstLine="22"/>
        <w:rPr>
          <w:rFonts w:ascii="Garamond" w:hAnsi="Garamond"/>
          <w:bCs/>
          <w:sz w:val="24"/>
          <w:szCs w:val="24"/>
        </w:rPr>
      </w:pPr>
      <w:r w:rsidRPr="00E147E7">
        <w:rPr>
          <w:rFonts w:ascii="Garamond" w:hAnsi="Garamond"/>
          <w:bCs/>
          <w:sz w:val="24"/>
          <w:szCs w:val="24"/>
        </w:rPr>
        <w:t>Diskussions- och ev. beslutspunkt.</w:t>
      </w:r>
    </w:p>
    <w:p w:rsidR="00AA08E4" w:rsidRPr="00E147E7" w:rsidRDefault="00AA08E4" w:rsidP="005609F0">
      <w:pPr>
        <w:ind w:left="1418" w:firstLine="22"/>
        <w:rPr>
          <w:rFonts w:ascii="Garamond" w:hAnsi="Garamond"/>
          <w:bCs/>
          <w:sz w:val="24"/>
          <w:szCs w:val="24"/>
        </w:rPr>
      </w:pPr>
    </w:p>
    <w:p w:rsidR="009769F2" w:rsidRPr="00E147E7" w:rsidRDefault="00CC53ED" w:rsidP="005609F0">
      <w:pPr>
        <w:ind w:left="1418" w:firstLine="22"/>
        <w:rPr>
          <w:rFonts w:ascii="Garamond" w:hAnsi="Garamond"/>
          <w:bCs/>
          <w:sz w:val="24"/>
          <w:szCs w:val="24"/>
        </w:rPr>
      </w:pPr>
      <w:r w:rsidRPr="00E147E7">
        <w:rPr>
          <w:rFonts w:ascii="Garamond" w:hAnsi="Garamond"/>
          <w:bCs/>
          <w:sz w:val="24"/>
          <w:szCs w:val="24"/>
        </w:rPr>
        <w:t>Ordförande väntas föreslå att rådet f</w:t>
      </w:r>
      <w:r w:rsidR="009769F2" w:rsidRPr="00E147E7">
        <w:rPr>
          <w:rFonts w:ascii="Garamond" w:hAnsi="Garamond"/>
          <w:bCs/>
          <w:sz w:val="24"/>
          <w:szCs w:val="24"/>
        </w:rPr>
        <w:t xml:space="preserve">attar ett principbeslut om att </w:t>
      </w:r>
      <w:r w:rsidRPr="00E147E7">
        <w:rPr>
          <w:rFonts w:ascii="Garamond" w:hAnsi="Garamond"/>
          <w:bCs/>
          <w:sz w:val="24"/>
          <w:szCs w:val="24"/>
        </w:rPr>
        <w:t xml:space="preserve">EU ska driva en resolution mot dödsstraffet under kommande höstmöte i FN:s generalförsamling (UNGA 62). Italien insisterar dock att resolutionen läggs fram redan under den innevarande 61:a generalförsamlingen i sommar. Diskussion om tidpunkt förutses i KUSP före GAERC. Resolutionen ska i första hand inriktas på att få till stånd ett moratorium på dödsstraffets tillämpning i alla världens länder. Resolutionen är nästa steg i den världsomfattande kampanj mot dödsstraffet som EU lanserade i början av året, och som diskuterats av utrikesministrarna vid de senaste rådsmötena. Full enighet råder om frågans vikt och om målsättningen att avskaffa dödsstraffet samt att EU skall driva resolution i brett samarbete med andra. Viss oro för att världsopinionen ännu ej är redo att anta en resolution om moratorium föreligger emellertid. </w:t>
      </w:r>
    </w:p>
    <w:p w:rsidR="009769F2" w:rsidRPr="00E147E7" w:rsidRDefault="009769F2" w:rsidP="005609F0">
      <w:pPr>
        <w:ind w:left="1418" w:firstLine="22"/>
        <w:rPr>
          <w:rFonts w:ascii="Garamond" w:hAnsi="Garamond"/>
          <w:bCs/>
          <w:sz w:val="24"/>
          <w:szCs w:val="24"/>
        </w:rPr>
      </w:pPr>
    </w:p>
    <w:p w:rsidR="00361EBD" w:rsidRPr="00E147E7" w:rsidRDefault="00CC53ED" w:rsidP="005609F0">
      <w:pPr>
        <w:ind w:left="1418" w:firstLine="22"/>
        <w:rPr>
          <w:rFonts w:ascii="Garamond" w:hAnsi="Garamond"/>
          <w:bCs/>
          <w:sz w:val="24"/>
          <w:szCs w:val="24"/>
        </w:rPr>
      </w:pPr>
      <w:r w:rsidRPr="00E147E7">
        <w:rPr>
          <w:rFonts w:ascii="Garamond" w:hAnsi="Garamond"/>
          <w:bCs/>
          <w:sz w:val="24"/>
          <w:szCs w:val="24"/>
        </w:rPr>
        <w:t>Regeringen stödjer ett resolutionsförslag i höst, men eftersom en förlorad resolution vore ett stort bakslag är det viktigt med omfattande förberedelser i syfte att vinna brett stöd samt att EU kan ompröva beslutet att lägga fram en resolution, om det under hösten visar sig att motståndet är för stort.</w:t>
      </w:r>
    </w:p>
    <w:p w:rsidR="00CC53ED" w:rsidRPr="00E147E7" w:rsidRDefault="00CC53ED" w:rsidP="005609F0">
      <w:pPr>
        <w:ind w:left="1418" w:firstLine="22"/>
        <w:rPr>
          <w:rFonts w:ascii="Garamond" w:hAnsi="Garamond"/>
          <w:bCs/>
          <w:sz w:val="24"/>
          <w:szCs w:val="24"/>
        </w:rPr>
      </w:pPr>
    </w:p>
    <w:p w:rsidR="00361EBD" w:rsidRPr="00E147E7" w:rsidRDefault="00361EBD" w:rsidP="00361EBD">
      <w:pPr>
        <w:ind w:left="1418" w:firstLine="22"/>
        <w:rPr>
          <w:rFonts w:ascii="Garamond" w:hAnsi="Garamond"/>
          <w:b/>
          <w:bCs/>
          <w:sz w:val="24"/>
          <w:szCs w:val="24"/>
        </w:rPr>
      </w:pPr>
      <w:bookmarkStart w:id="11" w:name="_Toc150232155"/>
      <w:bookmarkStart w:id="12" w:name="_Toc150242362"/>
      <w:bookmarkEnd w:id="9"/>
      <w:bookmarkEnd w:id="10"/>
      <w:r w:rsidRPr="00E147E7">
        <w:rPr>
          <w:rFonts w:ascii="Garamond" w:hAnsi="Garamond"/>
          <w:b/>
          <w:bCs/>
          <w:sz w:val="24"/>
          <w:szCs w:val="24"/>
        </w:rPr>
        <w:t>12. (ev.) Libyen</w:t>
      </w:r>
    </w:p>
    <w:p w:rsidR="00361EBD" w:rsidRPr="00E147E7" w:rsidRDefault="00361EBD" w:rsidP="00361EBD">
      <w:pPr>
        <w:ind w:left="1418" w:firstLine="22"/>
        <w:rPr>
          <w:rFonts w:ascii="Garamond" w:hAnsi="Garamond"/>
          <w:b/>
          <w:bCs/>
          <w:sz w:val="24"/>
          <w:szCs w:val="24"/>
        </w:rPr>
      </w:pPr>
    </w:p>
    <w:p w:rsidR="00123030" w:rsidRPr="00E147E7" w:rsidRDefault="00123030" w:rsidP="00123030">
      <w:pPr>
        <w:ind w:left="1418"/>
        <w:rPr>
          <w:rFonts w:ascii="Garamond" w:hAnsi="Garamond"/>
          <w:bCs/>
          <w:sz w:val="24"/>
          <w:szCs w:val="24"/>
        </w:rPr>
      </w:pPr>
      <w:r w:rsidRPr="00E147E7">
        <w:rPr>
          <w:rFonts w:ascii="Garamond" w:hAnsi="Garamond"/>
          <w:bCs/>
          <w:sz w:val="24"/>
          <w:szCs w:val="24"/>
        </w:rPr>
        <w:t>Diskussionspunkt.</w:t>
      </w:r>
    </w:p>
    <w:p w:rsidR="00123030" w:rsidRPr="00E147E7" w:rsidRDefault="00123030" w:rsidP="00123030">
      <w:pPr>
        <w:ind w:left="1418"/>
        <w:rPr>
          <w:rFonts w:ascii="Garamond" w:hAnsi="Garamond"/>
          <w:bCs/>
          <w:sz w:val="24"/>
          <w:szCs w:val="24"/>
        </w:rPr>
      </w:pPr>
    </w:p>
    <w:p w:rsidR="00E11AE0" w:rsidRPr="00E147E7" w:rsidRDefault="00123030" w:rsidP="00123030">
      <w:pPr>
        <w:ind w:left="1418"/>
        <w:rPr>
          <w:rFonts w:ascii="Garamond" w:hAnsi="Garamond"/>
          <w:bCs/>
          <w:sz w:val="24"/>
          <w:szCs w:val="24"/>
        </w:rPr>
      </w:pPr>
      <w:r w:rsidRPr="00E147E7">
        <w:rPr>
          <w:rFonts w:ascii="Garamond" w:hAnsi="Garamond"/>
          <w:bCs/>
          <w:sz w:val="24"/>
          <w:szCs w:val="24"/>
        </w:rPr>
        <w:t>På begäran av Bulgarien kommer frågan om de i Libyen dödsdömda bulgariska sjuksköterskorna och palestinske läkaren på nytt att diskuteras. Frågan har tidigare diskuterats i GAERC och läget är fortfarande låst.</w:t>
      </w:r>
      <w:r w:rsidR="00274C49" w:rsidRPr="00E147E7">
        <w:rPr>
          <w:rFonts w:ascii="Garamond" w:hAnsi="Garamond"/>
          <w:bCs/>
          <w:sz w:val="24"/>
          <w:szCs w:val="24"/>
        </w:rPr>
        <w:t xml:space="preserve"> Medlemsstaterna förväntas berätta om ev. bidrag till den s.k. Bengazi-fonden. Regeringen ser allvarligt på situationen och hoppas att EU kan bidra konstruktivt till en lösning.</w:t>
      </w:r>
    </w:p>
    <w:bookmarkEnd w:id="11"/>
    <w:bookmarkEnd w:id="12"/>
    <w:p w:rsidR="002962E8" w:rsidRPr="00E147E7" w:rsidRDefault="002962E8">
      <w:pPr>
        <w:pStyle w:val="Rubrik2"/>
        <w:ind w:left="720" w:firstLine="720"/>
        <w:rPr>
          <w:i w:val="0"/>
        </w:rPr>
      </w:pPr>
      <w:r w:rsidRPr="00E147E7">
        <w:t xml:space="preserve">I anslutning till </w:t>
      </w:r>
      <w:r w:rsidR="004A3240" w:rsidRPr="00E147E7">
        <w:t>GAERC-</w:t>
      </w:r>
      <w:r w:rsidRPr="00E147E7">
        <w:t>mötet</w:t>
      </w:r>
    </w:p>
    <w:p w:rsidR="002962E8" w:rsidRPr="00E147E7" w:rsidRDefault="002962E8">
      <w:pPr>
        <w:rPr>
          <w:rFonts w:ascii="Garamond" w:hAnsi="Garamond"/>
          <w:b/>
          <w:bCs/>
          <w:sz w:val="24"/>
        </w:rPr>
      </w:pPr>
    </w:p>
    <w:bookmarkEnd w:id="0"/>
    <w:p w:rsidR="002962E8" w:rsidRPr="00E147E7" w:rsidRDefault="00231161" w:rsidP="006311F6">
      <w:pPr>
        <w:ind w:left="1418"/>
        <w:rPr>
          <w:rFonts w:ascii="Garamond" w:hAnsi="Garamond"/>
          <w:b/>
          <w:bCs/>
          <w:sz w:val="24"/>
        </w:rPr>
      </w:pPr>
      <w:r w:rsidRPr="00E147E7">
        <w:rPr>
          <w:rFonts w:ascii="Garamond" w:hAnsi="Garamond"/>
          <w:b/>
          <w:bCs/>
          <w:sz w:val="24"/>
        </w:rPr>
        <w:t xml:space="preserve">- </w:t>
      </w:r>
      <w:r w:rsidR="00A713CC" w:rsidRPr="00E147E7">
        <w:rPr>
          <w:rFonts w:ascii="Garamond" w:hAnsi="Garamond"/>
          <w:b/>
          <w:bCs/>
          <w:sz w:val="24"/>
        </w:rPr>
        <w:t>Möte mellan EU och Israel</w:t>
      </w:r>
    </w:p>
    <w:p w:rsidR="009A3787" w:rsidRPr="00E147E7" w:rsidRDefault="009A3787" w:rsidP="006311F6">
      <w:pPr>
        <w:ind w:left="1418"/>
        <w:rPr>
          <w:rFonts w:ascii="Garamond" w:hAnsi="Garamond"/>
          <w:b/>
          <w:bCs/>
          <w:sz w:val="24"/>
        </w:rPr>
      </w:pPr>
    </w:p>
    <w:p w:rsidR="00FB3836" w:rsidRPr="00E147E7" w:rsidRDefault="00FB3836" w:rsidP="00650A92">
      <w:pPr>
        <w:ind w:left="1418"/>
        <w:rPr>
          <w:rFonts w:ascii="Garamond" w:hAnsi="Garamond"/>
          <w:sz w:val="24"/>
        </w:rPr>
      </w:pPr>
      <w:r w:rsidRPr="00E147E7">
        <w:rPr>
          <w:rFonts w:ascii="Garamond" w:hAnsi="Garamond"/>
          <w:sz w:val="24"/>
        </w:rPr>
        <w:t xml:space="preserve">I marginalerna till GAERC kommer rådet att träffa Israels utrikesminister Tzipi Livni. Mötet kommer att ha samma format som det möte som hölls med ministrar från olika arabländer vid förra GAERC. Diskussionerna med Livni förväntas handla om situationen på marken och förutsättningarna för att återuppta en fredsprocess. </w:t>
      </w:r>
    </w:p>
    <w:p w:rsidR="00A03245" w:rsidRPr="00E147E7" w:rsidRDefault="00A03245" w:rsidP="00A03245">
      <w:pPr>
        <w:ind w:left="1418"/>
        <w:rPr>
          <w:rFonts w:ascii="Garamond" w:hAnsi="Garamond"/>
          <w:b/>
          <w:bCs/>
          <w:sz w:val="24"/>
        </w:rPr>
      </w:pPr>
    </w:p>
    <w:p w:rsidR="009A3787" w:rsidRPr="00E147E7" w:rsidRDefault="00A713CC" w:rsidP="006311F6">
      <w:pPr>
        <w:ind w:left="1418"/>
        <w:rPr>
          <w:rFonts w:ascii="Garamond" w:hAnsi="Garamond"/>
          <w:b/>
          <w:bCs/>
          <w:sz w:val="24"/>
        </w:rPr>
      </w:pPr>
      <w:r w:rsidRPr="00E147E7">
        <w:rPr>
          <w:rFonts w:ascii="Garamond" w:hAnsi="Garamond"/>
          <w:b/>
          <w:bCs/>
          <w:sz w:val="24"/>
        </w:rPr>
        <w:t>- Samarbetsråd EU-Ukraina</w:t>
      </w:r>
    </w:p>
    <w:p w:rsidR="006311F6" w:rsidRPr="00E147E7" w:rsidRDefault="006311F6" w:rsidP="006311F6">
      <w:pPr>
        <w:ind w:left="1418"/>
        <w:rPr>
          <w:rFonts w:ascii="Garamond" w:hAnsi="Garamond"/>
          <w:sz w:val="24"/>
        </w:rPr>
      </w:pPr>
    </w:p>
    <w:p w:rsidR="006C76A8" w:rsidRPr="00E147E7" w:rsidRDefault="006C76A8" w:rsidP="006C76A8">
      <w:pPr>
        <w:ind w:left="1418"/>
        <w:rPr>
          <w:rFonts w:ascii="Garamond" w:hAnsi="Garamond"/>
          <w:sz w:val="24"/>
        </w:rPr>
      </w:pPr>
      <w:r w:rsidRPr="00E147E7">
        <w:rPr>
          <w:rFonts w:ascii="Garamond" w:hAnsi="Garamond"/>
          <w:sz w:val="24"/>
        </w:rPr>
        <w:t xml:space="preserve">På dagordningen står EU:s position inför det 11:e samarbetsrådet med Ukraina, vilket äger rum inom ramen för det Partnerskaps- och samarbetsavtal som EU har med Ukraina. Vid detta möte (18 juni i Luxemburg) kommer EU att notera de framsteg som gjorts vad gäller EU-Ukraina relationen sedan senaste samarbetsmötet i september 2006 och göra en översyn av genomförandet av ENP-handlingsplanen. </w:t>
      </w:r>
    </w:p>
    <w:p w:rsidR="006C76A8" w:rsidRPr="00E147E7" w:rsidRDefault="006C76A8" w:rsidP="006C76A8">
      <w:pPr>
        <w:ind w:left="1418"/>
        <w:rPr>
          <w:rFonts w:ascii="Garamond" w:hAnsi="Garamond"/>
          <w:sz w:val="24"/>
        </w:rPr>
      </w:pPr>
    </w:p>
    <w:p w:rsidR="006C76A8" w:rsidRPr="00E147E7" w:rsidRDefault="006C76A8" w:rsidP="006C76A8">
      <w:pPr>
        <w:ind w:left="1418"/>
        <w:rPr>
          <w:rFonts w:ascii="Garamond" w:hAnsi="Garamond"/>
          <w:sz w:val="24"/>
        </w:rPr>
      </w:pPr>
      <w:r w:rsidRPr="00E147E7">
        <w:rPr>
          <w:rFonts w:ascii="Garamond" w:hAnsi="Garamond"/>
          <w:sz w:val="24"/>
        </w:rPr>
        <w:t xml:space="preserve">EU kommer att utrycka sin oro över den pågående, långdragna inrikespolitiska och konstitutionella krisen och med kraft understyrka vikten av fortsatta politiska och ekonomiska reformer. Samtidigt kommer EU att välkomna inledandet av förhandlingar om ett nytt Enhanced Agreement och understryka vikten av ett ukrainskt WTO-medlemskap. För att ett frihandelsavtal mellan EU och Ukraina ska kunna förhandlas, vilket är centralt för det nya Enhanced Agreement – krävs nämligen först WTO-medlemskap. Energisamarbete och samverkan på RIF-området kommer också att behandlas. EU välkomnar undertecknandet av viseringsförenklings- och återtagandeavtal mellan EU och Ukraina. </w:t>
      </w:r>
    </w:p>
    <w:p w:rsidR="006C76A8" w:rsidRPr="00E147E7" w:rsidRDefault="006C76A8" w:rsidP="006C76A8">
      <w:pPr>
        <w:ind w:left="1418"/>
        <w:rPr>
          <w:rFonts w:ascii="Garamond" w:hAnsi="Garamond"/>
          <w:sz w:val="24"/>
        </w:rPr>
      </w:pPr>
    </w:p>
    <w:p w:rsidR="006C76A8" w:rsidRPr="00E147E7" w:rsidRDefault="006C76A8" w:rsidP="006C76A8">
      <w:pPr>
        <w:ind w:left="1418"/>
        <w:rPr>
          <w:rFonts w:ascii="Garamond" w:hAnsi="Garamond"/>
          <w:sz w:val="24"/>
        </w:rPr>
      </w:pPr>
      <w:r w:rsidRPr="00E147E7">
        <w:rPr>
          <w:rFonts w:ascii="Garamond" w:hAnsi="Garamond"/>
          <w:sz w:val="24"/>
        </w:rPr>
        <w:t>Regeringen delar oron över den långdragna inrikespolitiska krisen i Ukraina och har i kontakter med ukrainska företrädare utförligt diskuterat situationen. Regeringen välkomnar samtidigt att EU:s förhandlingar med Ukraina om ett nytt samarbetsavtal, ett nytt Enhanced Agreement, har inletts och delar förhoppningen om att Ukraina under året ska möta kraven för ett WTO-medlemskap.</w:t>
      </w:r>
    </w:p>
    <w:p w:rsidR="00535DF4" w:rsidRPr="00E147E7" w:rsidRDefault="00535DF4" w:rsidP="006311F6">
      <w:pPr>
        <w:ind w:left="1418"/>
        <w:rPr>
          <w:rFonts w:ascii="Garamond" w:hAnsi="Garamond"/>
          <w:sz w:val="24"/>
        </w:rPr>
      </w:pPr>
    </w:p>
    <w:p w:rsidR="009A3787" w:rsidRPr="00E147E7" w:rsidRDefault="00361EBD" w:rsidP="006311F6">
      <w:pPr>
        <w:ind w:left="1418"/>
        <w:rPr>
          <w:rFonts w:ascii="Garamond" w:hAnsi="Garamond"/>
          <w:b/>
          <w:sz w:val="24"/>
        </w:rPr>
      </w:pPr>
      <w:r w:rsidRPr="00E147E7">
        <w:rPr>
          <w:rFonts w:ascii="Garamond" w:hAnsi="Garamond"/>
          <w:b/>
          <w:sz w:val="24"/>
        </w:rPr>
        <w:t xml:space="preserve">- </w:t>
      </w:r>
      <w:r w:rsidR="00A713CC" w:rsidRPr="00E147E7">
        <w:rPr>
          <w:rFonts w:ascii="Garamond" w:hAnsi="Garamond"/>
          <w:b/>
          <w:sz w:val="24"/>
        </w:rPr>
        <w:t>Samarbetsråd EU-Moldavien</w:t>
      </w:r>
    </w:p>
    <w:p w:rsidR="00361EBD" w:rsidRPr="00E147E7" w:rsidRDefault="00361EBD" w:rsidP="006311F6">
      <w:pPr>
        <w:ind w:left="1418"/>
        <w:rPr>
          <w:rFonts w:ascii="Garamond" w:hAnsi="Garamond"/>
          <w:sz w:val="24"/>
        </w:rPr>
      </w:pPr>
    </w:p>
    <w:p w:rsidR="007D61DC" w:rsidRPr="00E147E7" w:rsidRDefault="00304E74" w:rsidP="006311F6">
      <w:pPr>
        <w:ind w:left="1418"/>
        <w:rPr>
          <w:rFonts w:ascii="Garamond" w:hAnsi="Garamond"/>
          <w:sz w:val="24"/>
        </w:rPr>
      </w:pPr>
      <w:r w:rsidRPr="00E147E7">
        <w:rPr>
          <w:rFonts w:ascii="Garamond" w:hAnsi="Garamond"/>
          <w:sz w:val="24"/>
        </w:rPr>
        <w:t>Ett s</w:t>
      </w:r>
      <w:r w:rsidR="00205C9D" w:rsidRPr="00E147E7">
        <w:rPr>
          <w:rFonts w:ascii="Garamond" w:hAnsi="Garamond"/>
          <w:sz w:val="24"/>
        </w:rPr>
        <w:t>amarbetsråd mellan Moldavien och EU kommer att äga rum i Luxemburg den 19 juni 2007. EU kommer understryka vikten av att Moldavien fortsätter arbetet med att implementer</w:t>
      </w:r>
      <w:r w:rsidR="00B863FF" w:rsidRPr="00E147E7">
        <w:rPr>
          <w:rFonts w:ascii="Garamond" w:hAnsi="Garamond"/>
          <w:sz w:val="24"/>
        </w:rPr>
        <w:t>a landets ENP-handlingsplan inne</w:t>
      </w:r>
      <w:r w:rsidR="00205C9D" w:rsidRPr="00E147E7">
        <w:rPr>
          <w:rFonts w:ascii="Garamond" w:hAnsi="Garamond"/>
          <w:sz w:val="24"/>
        </w:rPr>
        <w:t>hållande reformåtaganden som Moldavien och EU gemensamt kommit överrens om.  EU kommer även att understryka sin ambition att stödja landets reformsträvanden och implementeringen av handlingsplanen. Områden där Moldavien lyckats väl med reformarbetet lyfts fram, samtidigt som andra områden utpekas där EU efterfrågar större ansträngningar från Moldaviens sida.</w:t>
      </w:r>
    </w:p>
    <w:p w:rsidR="00361EBD" w:rsidRPr="00E147E7" w:rsidRDefault="00361EBD" w:rsidP="006311F6">
      <w:pPr>
        <w:ind w:left="1418"/>
        <w:rPr>
          <w:rFonts w:ascii="Garamond" w:hAnsi="Garamond"/>
          <w:sz w:val="24"/>
        </w:rPr>
      </w:pPr>
    </w:p>
    <w:p w:rsidR="009A3787" w:rsidRPr="00E147E7" w:rsidRDefault="00A713CC" w:rsidP="006311F6">
      <w:pPr>
        <w:ind w:left="1418"/>
        <w:rPr>
          <w:rFonts w:ascii="Garamond" w:hAnsi="Garamond"/>
          <w:b/>
          <w:sz w:val="24"/>
        </w:rPr>
      </w:pPr>
      <w:r w:rsidRPr="00E147E7">
        <w:rPr>
          <w:rFonts w:ascii="Garamond" w:hAnsi="Garamond"/>
          <w:b/>
          <w:sz w:val="24"/>
        </w:rPr>
        <w:t>- Trojkamöte EU-Albanien</w:t>
      </w:r>
    </w:p>
    <w:p w:rsidR="009A3787" w:rsidRPr="00E147E7" w:rsidRDefault="009A3787" w:rsidP="006311F6">
      <w:pPr>
        <w:ind w:left="1418"/>
        <w:rPr>
          <w:rFonts w:ascii="Garamond" w:hAnsi="Garamond"/>
          <w:b/>
          <w:sz w:val="24"/>
        </w:rPr>
      </w:pPr>
    </w:p>
    <w:p w:rsidR="00535DF4" w:rsidRPr="00E147E7" w:rsidRDefault="0006705E" w:rsidP="006311F6">
      <w:pPr>
        <w:ind w:left="1418"/>
        <w:rPr>
          <w:rFonts w:ascii="Garamond" w:hAnsi="Garamond"/>
          <w:sz w:val="24"/>
        </w:rPr>
      </w:pPr>
      <w:r w:rsidRPr="00E147E7">
        <w:rPr>
          <w:rFonts w:ascii="Garamond" w:hAnsi="Garamond"/>
          <w:sz w:val="24"/>
        </w:rPr>
        <w:t>I marginalen till GAERC äger ett trojkamöte med Albanien rum, varvid den nye utrikesministern Lulzim Basha väntas delta. På dagordningen kommer sannolikt den politiska utvecklingen i landet och reformarbetet inom ramen för stabiliserings- och associeringsprocessen att beröras.</w:t>
      </w:r>
    </w:p>
    <w:sectPr w:rsidR="00535DF4" w:rsidRPr="00E147E7">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440A" w:rsidRPr="00E147E7" w:rsidRDefault="0077440A">
      <w:r w:rsidRPr="00E147E7">
        <w:separator/>
      </w:r>
    </w:p>
  </w:endnote>
  <w:endnote w:type="continuationSeparator" w:id="0">
    <w:p w:rsidR="0077440A" w:rsidRPr="00E147E7" w:rsidRDefault="0077440A">
      <w:r w:rsidRPr="00E147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CF6" w:rsidRPr="00E147E7" w:rsidRDefault="00CC3CF6">
    <w:pPr>
      <w:pStyle w:val="Sidfot"/>
      <w:framePr w:wrap="auto" w:vAnchor="text" w:hAnchor="margin" w:xAlign="right" w:y="1"/>
      <w:rPr>
        <w:rStyle w:val="Sidnummer"/>
      </w:rPr>
    </w:pPr>
    <w:r w:rsidRPr="00E147E7">
      <w:rPr>
        <w:rStyle w:val="Sidnummer"/>
      </w:rPr>
      <w:fldChar w:fldCharType="begin" w:fldLock="1"/>
    </w:r>
    <w:r w:rsidRPr="00E147E7">
      <w:rPr>
        <w:rStyle w:val="Sidnummer"/>
      </w:rPr>
      <w:instrText xml:space="preserve">PAGE  </w:instrText>
    </w:r>
    <w:r w:rsidRPr="00E147E7">
      <w:rPr>
        <w:rStyle w:val="Sidnummer"/>
      </w:rPr>
      <w:fldChar w:fldCharType="separate"/>
    </w:r>
    <w:r w:rsidR="0034670F" w:rsidRPr="00E147E7">
      <w:rPr>
        <w:rStyle w:val="Sidnummer"/>
      </w:rPr>
      <w:t>1</w:t>
    </w:r>
    <w:r w:rsidRPr="00E147E7">
      <w:rPr>
        <w:rStyle w:val="Sidnummer"/>
      </w:rPr>
      <w:fldChar w:fldCharType="end"/>
    </w:r>
  </w:p>
  <w:p w:rsidR="00CC3CF6" w:rsidRPr="00E147E7" w:rsidRDefault="00CC3CF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440A" w:rsidRPr="00E147E7" w:rsidRDefault="0077440A">
      <w:r w:rsidRPr="00E147E7">
        <w:separator/>
      </w:r>
    </w:p>
  </w:footnote>
  <w:footnote w:type="continuationSeparator" w:id="0">
    <w:p w:rsidR="0077440A" w:rsidRPr="00E147E7" w:rsidRDefault="0077440A">
      <w:r w:rsidRPr="00E147E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7"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4"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8"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515584782">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1840655204">
    <w:abstractNumId w:val="20"/>
  </w:num>
  <w:num w:numId="3" w16cid:durableId="1354309417">
    <w:abstractNumId w:val="28"/>
  </w:num>
  <w:num w:numId="4" w16cid:durableId="274873152">
    <w:abstractNumId w:val="1"/>
  </w:num>
  <w:num w:numId="5" w16cid:durableId="1184367915">
    <w:abstractNumId w:val="3"/>
  </w:num>
  <w:num w:numId="6" w16cid:durableId="1671641694">
    <w:abstractNumId w:val="19"/>
  </w:num>
  <w:num w:numId="7" w16cid:durableId="1841003952">
    <w:abstractNumId w:val="29"/>
  </w:num>
  <w:num w:numId="8" w16cid:durableId="450167990">
    <w:abstractNumId w:val="23"/>
  </w:num>
  <w:num w:numId="9" w16cid:durableId="1484395111">
    <w:abstractNumId w:val="8"/>
  </w:num>
  <w:num w:numId="10" w16cid:durableId="564755610">
    <w:abstractNumId w:val="6"/>
  </w:num>
  <w:num w:numId="11" w16cid:durableId="1652442962">
    <w:abstractNumId w:val="10"/>
  </w:num>
  <w:num w:numId="12" w16cid:durableId="1779371237">
    <w:abstractNumId w:val="27"/>
  </w:num>
  <w:num w:numId="13" w16cid:durableId="1422022074">
    <w:abstractNumId w:val="16"/>
  </w:num>
  <w:num w:numId="14" w16cid:durableId="2032758249">
    <w:abstractNumId w:val="22"/>
  </w:num>
  <w:num w:numId="15" w16cid:durableId="1607884661">
    <w:abstractNumId w:val="12"/>
  </w:num>
  <w:num w:numId="16" w16cid:durableId="1303730792">
    <w:abstractNumId w:val="4"/>
  </w:num>
  <w:num w:numId="17" w16cid:durableId="540290772">
    <w:abstractNumId w:val="7"/>
  </w:num>
  <w:num w:numId="18" w16cid:durableId="875965022">
    <w:abstractNumId w:val="17"/>
  </w:num>
  <w:num w:numId="19" w16cid:durableId="490367323">
    <w:abstractNumId w:val="24"/>
  </w:num>
  <w:num w:numId="20" w16cid:durableId="380130550">
    <w:abstractNumId w:val="2"/>
  </w:num>
  <w:num w:numId="21" w16cid:durableId="637612779">
    <w:abstractNumId w:val="25"/>
  </w:num>
  <w:num w:numId="22" w16cid:durableId="708535213">
    <w:abstractNumId w:val="21"/>
  </w:num>
  <w:num w:numId="23" w16cid:durableId="1022438841">
    <w:abstractNumId w:val="15"/>
  </w:num>
  <w:num w:numId="24" w16cid:durableId="1019356214">
    <w:abstractNumId w:val="9"/>
  </w:num>
  <w:num w:numId="25" w16cid:durableId="1390231863">
    <w:abstractNumId w:val="5"/>
  </w:num>
  <w:num w:numId="26" w16cid:durableId="731391523">
    <w:abstractNumId w:val="18"/>
  </w:num>
  <w:num w:numId="27" w16cid:durableId="1298681664">
    <w:abstractNumId w:val="14"/>
  </w:num>
  <w:num w:numId="28" w16cid:durableId="107744743">
    <w:abstractNumId w:val="13"/>
  </w:num>
  <w:num w:numId="29" w16cid:durableId="2105690501">
    <w:abstractNumId w:val="11"/>
  </w:num>
  <w:num w:numId="30" w16cid:durableId="76061220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1213C"/>
    <w:rsid w:val="00013CEE"/>
    <w:rsid w:val="00017A2C"/>
    <w:rsid w:val="000231D1"/>
    <w:rsid w:val="00031A39"/>
    <w:rsid w:val="00047281"/>
    <w:rsid w:val="0005037C"/>
    <w:rsid w:val="000515B2"/>
    <w:rsid w:val="000624C7"/>
    <w:rsid w:val="000646F4"/>
    <w:rsid w:val="0006705E"/>
    <w:rsid w:val="00070B61"/>
    <w:rsid w:val="000863A6"/>
    <w:rsid w:val="0009088F"/>
    <w:rsid w:val="00097CCF"/>
    <w:rsid w:val="000A53A0"/>
    <w:rsid w:val="000B23C9"/>
    <w:rsid w:val="000C17DF"/>
    <w:rsid w:val="000C493B"/>
    <w:rsid w:val="000C51F3"/>
    <w:rsid w:val="000C5504"/>
    <w:rsid w:val="000D0FBE"/>
    <w:rsid w:val="00102C6E"/>
    <w:rsid w:val="0010712D"/>
    <w:rsid w:val="0010781B"/>
    <w:rsid w:val="00114E0B"/>
    <w:rsid w:val="00123030"/>
    <w:rsid w:val="00123185"/>
    <w:rsid w:val="001243AA"/>
    <w:rsid w:val="00130695"/>
    <w:rsid w:val="00135667"/>
    <w:rsid w:val="001441DE"/>
    <w:rsid w:val="00147013"/>
    <w:rsid w:val="00171F2E"/>
    <w:rsid w:val="00172BC7"/>
    <w:rsid w:val="00191947"/>
    <w:rsid w:val="001956C5"/>
    <w:rsid w:val="00197E56"/>
    <w:rsid w:val="001B739C"/>
    <w:rsid w:val="001C28A4"/>
    <w:rsid w:val="001C506E"/>
    <w:rsid w:val="001C6DE8"/>
    <w:rsid w:val="001D14E2"/>
    <w:rsid w:val="001D4FB3"/>
    <w:rsid w:val="001D7197"/>
    <w:rsid w:val="001E63FE"/>
    <w:rsid w:val="001F0CB8"/>
    <w:rsid w:val="001F12EC"/>
    <w:rsid w:val="001F720E"/>
    <w:rsid w:val="002030F1"/>
    <w:rsid w:val="00205C9D"/>
    <w:rsid w:val="00207554"/>
    <w:rsid w:val="00216B1E"/>
    <w:rsid w:val="002300A9"/>
    <w:rsid w:val="0023107D"/>
    <w:rsid w:val="00231161"/>
    <w:rsid w:val="0023574B"/>
    <w:rsid w:val="00235CCB"/>
    <w:rsid w:val="002537AB"/>
    <w:rsid w:val="002621FD"/>
    <w:rsid w:val="00272FB9"/>
    <w:rsid w:val="00274C49"/>
    <w:rsid w:val="0027738D"/>
    <w:rsid w:val="002962E8"/>
    <w:rsid w:val="002B11BF"/>
    <w:rsid w:val="002B459B"/>
    <w:rsid w:val="002C29F7"/>
    <w:rsid w:val="002C4224"/>
    <w:rsid w:val="002D535E"/>
    <w:rsid w:val="002D57FE"/>
    <w:rsid w:val="002E06B5"/>
    <w:rsid w:val="002E41CA"/>
    <w:rsid w:val="002E6E42"/>
    <w:rsid w:val="002E7875"/>
    <w:rsid w:val="002F194C"/>
    <w:rsid w:val="003011FA"/>
    <w:rsid w:val="00304C76"/>
    <w:rsid w:val="00304E74"/>
    <w:rsid w:val="003066C3"/>
    <w:rsid w:val="00307DE6"/>
    <w:rsid w:val="00311313"/>
    <w:rsid w:val="003370C4"/>
    <w:rsid w:val="0034670F"/>
    <w:rsid w:val="00355F78"/>
    <w:rsid w:val="00361EBD"/>
    <w:rsid w:val="00364C95"/>
    <w:rsid w:val="00366B6A"/>
    <w:rsid w:val="00370A14"/>
    <w:rsid w:val="00372509"/>
    <w:rsid w:val="0038439B"/>
    <w:rsid w:val="00384648"/>
    <w:rsid w:val="00392BF6"/>
    <w:rsid w:val="00397853"/>
    <w:rsid w:val="00397BA2"/>
    <w:rsid w:val="003A29EE"/>
    <w:rsid w:val="003A5C23"/>
    <w:rsid w:val="003B1514"/>
    <w:rsid w:val="003B5F60"/>
    <w:rsid w:val="003C7BEE"/>
    <w:rsid w:val="003D364D"/>
    <w:rsid w:val="003E6E95"/>
    <w:rsid w:val="003E6EC7"/>
    <w:rsid w:val="00401EBE"/>
    <w:rsid w:val="00427FCF"/>
    <w:rsid w:val="00430E11"/>
    <w:rsid w:val="004320FD"/>
    <w:rsid w:val="00432139"/>
    <w:rsid w:val="0044416A"/>
    <w:rsid w:val="00454775"/>
    <w:rsid w:val="00465766"/>
    <w:rsid w:val="00467F32"/>
    <w:rsid w:val="004741F2"/>
    <w:rsid w:val="00477DE5"/>
    <w:rsid w:val="00482159"/>
    <w:rsid w:val="004857B7"/>
    <w:rsid w:val="00492C2D"/>
    <w:rsid w:val="00494977"/>
    <w:rsid w:val="0049559A"/>
    <w:rsid w:val="00496F5B"/>
    <w:rsid w:val="00497B70"/>
    <w:rsid w:val="004A0B47"/>
    <w:rsid w:val="004A3240"/>
    <w:rsid w:val="004C016D"/>
    <w:rsid w:val="004C4093"/>
    <w:rsid w:val="004E3ED9"/>
    <w:rsid w:val="00504D82"/>
    <w:rsid w:val="0052129D"/>
    <w:rsid w:val="0052424B"/>
    <w:rsid w:val="005255D1"/>
    <w:rsid w:val="005268AD"/>
    <w:rsid w:val="00526945"/>
    <w:rsid w:val="00526A5C"/>
    <w:rsid w:val="0053396A"/>
    <w:rsid w:val="00535DF4"/>
    <w:rsid w:val="00545348"/>
    <w:rsid w:val="0054677C"/>
    <w:rsid w:val="005512DF"/>
    <w:rsid w:val="005608E9"/>
    <w:rsid w:val="005609F0"/>
    <w:rsid w:val="00570A44"/>
    <w:rsid w:val="00575570"/>
    <w:rsid w:val="00575B00"/>
    <w:rsid w:val="00576620"/>
    <w:rsid w:val="0057795B"/>
    <w:rsid w:val="0059570C"/>
    <w:rsid w:val="005B71FC"/>
    <w:rsid w:val="005D0CFA"/>
    <w:rsid w:val="005D1EB9"/>
    <w:rsid w:val="005D5AD0"/>
    <w:rsid w:val="005D64E2"/>
    <w:rsid w:val="005E0B9F"/>
    <w:rsid w:val="00601426"/>
    <w:rsid w:val="00611E14"/>
    <w:rsid w:val="00613815"/>
    <w:rsid w:val="006175F8"/>
    <w:rsid w:val="006307D6"/>
    <w:rsid w:val="006311F6"/>
    <w:rsid w:val="0063344D"/>
    <w:rsid w:val="0063628E"/>
    <w:rsid w:val="00646BCB"/>
    <w:rsid w:val="00650A92"/>
    <w:rsid w:val="00674D5D"/>
    <w:rsid w:val="0069356F"/>
    <w:rsid w:val="006A23ED"/>
    <w:rsid w:val="006A6EF5"/>
    <w:rsid w:val="006B4B06"/>
    <w:rsid w:val="006C76A8"/>
    <w:rsid w:val="006D1EAD"/>
    <w:rsid w:val="006E0264"/>
    <w:rsid w:val="006F17F4"/>
    <w:rsid w:val="00703E95"/>
    <w:rsid w:val="007049ED"/>
    <w:rsid w:val="00706A84"/>
    <w:rsid w:val="00710D95"/>
    <w:rsid w:val="00716E23"/>
    <w:rsid w:val="007178BD"/>
    <w:rsid w:val="0072096A"/>
    <w:rsid w:val="00722F99"/>
    <w:rsid w:val="007322A5"/>
    <w:rsid w:val="00737D55"/>
    <w:rsid w:val="007405A5"/>
    <w:rsid w:val="00751493"/>
    <w:rsid w:val="007562FC"/>
    <w:rsid w:val="007653A7"/>
    <w:rsid w:val="0077440A"/>
    <w:rsid w:val="007814B0"/>
    <w:rsid w:val="0078336C"/>
    <w:rsid w:val="0078503A"/>
    <w:rsid w:val="0078604F"/>
    <w:rsid w:val="00790B95"/>
    <w:rsid w:val="007A3015"/>
    <w:rsid w:val="007C63FA"/>
    <w:rsid w:val="007D59F9"/>
    <w:rsid w:val="007D61DC"/>
    <w:rsid w:val="007D6CDF"/>
    <w:rsid w:val="007E2055"/>
    <w:rsid w:val="007E2E41"/>
    <w:rsid w:val="007F2E78"/>
    <w:rsid w:val="007F533F"/>
    <w:rsid w:val="00800247"/>
    <w:rsid w:val="0080169E"/>
    <w:rsid w:val="00807008"/>
    <w:rsid w:val="008239E8"/>
    <w:rsid w:val="00832CAA"/>
    <w:rsid w:val="00833D37"/>
    <w:rsid w:val="008358F6"/>
    <w:rsid w:val="00856C61"/>
    <w:rsid w:val="0087404D"/>
    <w:rsid w:val="00875CEF"/>
    <w:rsid w:val="00882192"/>
    <w:rsid w:val="00893FA1"/>
    <w:rsid w:val="008972C8"/>
    <w:rsid w:val="008A3030"/>
    <w:rsid w:val="008A37EB"/>
    <w:rsid w:val="008A7115"/>
    <w:rsid w:val="008C01DF"/>
    <w:rsid w:val="008C1303"/>
    <w:rsid w:val="008C5B03"/>
    <w:rsid w:val="008D5D69"/>
    <w:rsid w:val="008E2468"/>
    <w:rsid w:val="008E5058"/>
    <w:rsid w:val="008F27D2"/>
    <w:rsid w:val="008F50AA"/>
    <w:rsid w:val="00906421"/>
    <w:rsid w:val="00907162"/>
    <w:rsid w:val="00912CDB"/>
    <w:rsid w:val="0091369B"/>
    <w:rsid w:val="00920F14"/>
    <w:rsid w:val="009433B4"/>
    <w:rsid w:val="00953D49"/>
    <w:rsid w:val="00955B39"/>
    <w:rsid w:val="00956751"/>
    <w:rsid w:val="00970E47"/>
    <w:rsid w:val="009733B2"/>
    <w:rsid w:val="009769F2"/>
    <w:rsid w:val="00981D87"/>
    <w:rsid w:val="009822B3"/>
    <w:rsid w:val="00983CAD"/>
    <w:rsid w:val="009A0C24"/>
    <w:rsid w:val="009A1A1F"/>
    <w:rsid w:val="009A3787"/>
    <w:rsid w:val="009A7199"/>
    <w:rsid w:val="009D0F55"/>
    <w:rsid w:val="009F7368"/>
    <w:rsid w:val="00A03245"/>
    <w:rsid w:val="00A05AC5"/>
    <w:rsid w:val="00A15435"/>
    <w:rsid w:val="00A23671"/>
    <w:rsid w:val="00A27516"/>
    <w:rsid w:val="00A40751"/>
    <w:rsid w:val="00A43476"/>
    <w:rsid w:val="00A713CC"/>
    <w:rsid w:val="00A76075"/>
    <w:rsid w:val="00A8122F"/>
    <w:rsid w:val="00A84716"/>
    <w:rsid w:val="00A847E8"/>
    <w:rsid w:val="00A944A6"/>
    <w:rsid w:val="00AA08E4"/>
    <w:rsid w:val="00AB205F"/>
    <w:rsid w:val="00AB5720"/>
    <w:rsid w:val="00AB7C3C"/>
    <w:rsid w:val="00AC39A5"/>
    <w:rsid w:val="00AC4C15"/>
    <w:rsid w:val="00AD06C8"/>
    <w:rsid w:val="00AD12B4"/>
    <w:rsid w:val="00AD5D4A"/>
    <w:rsid w:val="00AE12D8"/>
    <w:rsid w:val="00AE7B01"/>
    <w:rsid w:val="00AF67ED"/>
    <w:rsid w:val="00B03548"/>
    <w:rsid w:val="00B05570"/>
    <w:rsid w:val="00B1143E"/>
    <w:rsid w:val="00B14703"/>
    <w:rsid w:val="00B24D3D"/>
    <w:rsid w:val="00B4434C"/>
    <w:rsid w:val="00B47F56"/>
    <w:rsid w:val="00B52EE1"/>
    <w:rsid w:val="00B551CF"/>
    <w:rsid w:val="00B56B7E"/>
    <w:rsid w:val="00B769A6"/>
    <w:rsid w:val="00B85F56"/>
    <w:rsid w:val="00B863FF"/>
    <w:rsid w:val="00BC56EC"/>
    <w:rsid w:val="00BC66C4"/>
    <w:rsid w:val="00BD328B"/>
    <w:rsid w:val="00BD4498"/>
    <w:rsid w:val="00BD61DB"/>
    <w:rsid w:val="00BE1AA4"/>
    <w:rsid w:val="00BE5304"/>
    <w:rsid w:val="00BE55C5"/>
    <w:rsid w:val="00C120D3"/>
    <w:rsid w:val="00C124EF"/>
    <w:rsid w:val="00C12E21"/>
    <w:rsid w:val="00C16706"/>
    <w:rsid w:val="00C43A06"/>
    <w:rsid w:val="00C459BF"/>
    <w:rsid w:val="00C46C08"/>
    <w:rsid w:val="00C56BD6"/>
    <w:rsid w:val="00C63CC3"/>
    <w:rsid w:val="00C67DF1"/>
    <w:rsid w:val="00C76F46"/>
    <w:rsid w:val="00C975C9"/>
    <w:rsid w:val="00CA0753"/>
    <w:rsid w:val="00CA69CE"/>
    <w:rsid w:val="00CA7EDD"/>
    <w:rsid w:val="00CB4703"/>
    <w:rsid w:val="00CC3CF6"/>
    <w:rsid w:val="00CC53ED"/>
    <w:rsid w:val="00CD6318"/>
    <w:rsid w:val="00CE6D7C"/>
    <w:rsid w:val="00CF4DB1"/>
    <w:rsid w:val="00D011BF"/>
    <w:rsid w:val="00D1331C"/>
    <w:rsid w:val="00D13320"/>
    <w:rsid w:val="00D14420"/>
    <w:rsid w:val="00D14C61"/>
    <w:rsid w:val="00D45234"/>
    <w:rsid w:val="00D65FB8"/>
    <w:rsid w:val="00D733B3"/>
    <w:rsid w:val="00D74E37"/>
    <w:rsid w:val="00D752B7"/>
    <w:rsid w:val="00D82695"/>
    <w:rsid w:val="00D9403C"/>
    <w:rsid w:val="00DA09DA"/>
    <w:rsid w:val="00DA320B"/>
    <w:rsid w:val="00DA4E88"/>
    <w:rsid w:val="00DB09A1"/>
    <w:rsid w:val="00DB3DB4"/>
    <w:rsid w:val="00DB6593"/>
    <w:rsid w:val="00DB6853"/>
    <w:rsid w:val="00DC11B9"/>
    <w:rsid w:val="00DC2C05"/>
    <w:rsid w:val="00DC4C86"/>
    <w:rsid w:val="00DC5C20"/>
    <w:rsid w:val="00DD3017"/>
    <w:rsid w:val="00DE240B"/>
    <w:rsid w:val="00DE569A"/>
    <w:rsid w:val="00DF05A7"/>
    <w:rsid w:val="00DF0DA0"/>
    <w:rsid w:val="00DF7D93"/>
    <w:rsid w:val="00E00E17"/>
    <w:rsid w:val="00E075D2"/>
    <w:rsid w:val="00E11AE0"/>
    <w:rsid w:val="00E12986"/>
    <w:rsid w:val="00E147E7"/>
    <w:rsid w:val="00E14B04"/>
    <w:rsid w:val="00E175F6"/>
    <w:rsid w:val="00E2520A"/>
    <w:rsid w:val="00E25C72"/>
    <w:rsid w:val="00E31003"/>
    <w:rsid w:val="00E327A6"/>
    <w:rsid w:val="00E35BD7"/>
    <w:rsid w:val="00E36ADF"/>
    <w:rsid w:val="00E43DF7"/>
    <w:rsid w:val="00E52AA0"/>
    <w:rsid w:val="00E579A6"/>
    <w:rsid w:val="00E6755A"/>
    <w:rsid w:val="00E8045A"/>
    <w:rsid w:val="00E80F27"/>
    <w:rsid w:val="00E83545"/>
    <w:rsid w:val="00E84612"/>
    <w:rsid w:val="00E919DE"/>
    <w:rsid w:val="00E94B97"/>
    <w:rsid w:val="00EA1A58"/>
    <w:rsid w:val="00EB7346"/>
    <w:rsid w:val="00EC0020"/>
    <w:rsid w:val="00EC77DA"/>
    <w:rsid w:val="00EE7ED2"/>
    <w:rsid w:val="00F0080E"/>
    <w:rsid w:val="00F01EF2"/>
    <w:rsid w:val="00F0560D"/>
    <w:rsid w:val="00F255CD"/>
    <w:rsid w:val="00F27D98"/>
    <w:rsid w:val="00F52846"/>
    <w:rsid w:val="00F6137F"/>
    <w:rsid w:val="00F6382B"/>
    <w:rsid w:val="00F839E8"/>
    <w:rsid w:val="00F85574"/>
    <w:rsid w:val="00F96809"/>
    <w:rsid w:val="00FA1A4B"/>
    <w:rsid w:val="00FB1CF2"/>
    <w:rsid w:val="00FB1F7A"/>
    <w:rsid w:val="00FB3836"/>
    <w:rsid w:val="00FC4E42"/>
    <w:rsid w:val="00FD412D"/>
    <w:rsid w:val="00FF2350"/>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E8EA4E-1C2C-4C3C-932A-C900DCE8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paragraph" w:styleId="Ballongtext">
    <w:name w:val="Balloon Text"/>
    <w:basedOn w:val="Normal"/>
    <w:semiHidden/>
    <w:rsid w:val="00346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3450</Words>
  <Characters>21636</Characters>
  <Application>Microsoft Office Word</Application>
  <DocSecurity>4</DocSecurity>
  <Lines>527</Lines>
  <Paragraphs>122</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24964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2007-06-11T10:48:00Z</cp:lastPrinted>
  <dcterms:created xsi:type="dcterms:W3CDTF">2025-12-17T04:11:00Z</dcterms:created>
  <dcterms:modified xsi:type="dcterms:W3CDTF">2025-12-17T04:11:00Z</dcterms:modified>
</cp:coreProperties>
</file>