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2BA" w:rsidRPr="000552BA" w:rsidRDefault="000552BA">
      <w:pPr>
        <w:pStyle w:val="Frslagsrubrik"/>
      </w:pPr>
      <w:r w:rsidRPr="000552BA">
        <w:t>Förslag till riksdagsbeslut</w:t>
      </w:r>
    </w:p>
    <w:p w:rsidR="000552BA" w:rsidRPr="000552BA" w:rsidRDefault="000552BA">
      <w:pPr>
        <w:pStyle w:val="Hemstlatt"/>
        <w:numPr>
          <w:ilvl w:val="0"/>
          <w:numId w:val="1"/>
        </w:numPr>
      </w:pPr>
      <w:r w:rsidRPr="000552BA">
        <w:t>Riksdagen avslår regeringens förslag till i</w:t>
      </w:r>
      <w:r w:rsidRPr="000552BA">
        <w:t>m</w:t>
      </w:r>
      <w:r w:rsidRPr="000552BA">
        <w:t>plementering av datalagringsdirektivet.</w:t>
      </w:r>
    </w:p>
    <w:p w:rsidR="000552BA" w:rsidRPr="000552BA" w:rsidRDefault="000552BA">
      <w:pPr>
        <w:pStyle w:val="Hemstlatt"/>
        <w:numPr>
          <w:ilvl w:val="0"/>
          <w:numId w:val="1"/>
        </w:numPr>
      </w:pPr>
      <w:r w:rsidRPr="000552BA">
        <w:t>Riksdagen tillkännager för regeringen som sin mening vad som anförs i motionen om att regeringen bör förhandla på EU-nivå för datalagringsdirektivets avskaffande.</w:t>
      </w:r>
    </w:p>
    <w:p w:rsidR="000552BA" w:rsidRPr="000552BA" w:rsidRDefault="000552BA">
      <w:pPr>
        <w:pStyle w:val="Hemstlatt"/>
        <w:numPr>
          <w:ilvl w:val="0"/>
          <w:numId w:val="1"/>
        </w:numPr>
      </w:pPr>
      <w:r w:rsidRPr="000552BA">
        <w:t>Riksdagen tillkännager för regeringen som sin mening vad som anförs i motionen om att Sverige bör slå vakt om den personliga integriteten.</w:t>
      </w:r>
    </w:p>
    <w:p w:rsidR="000552BA" w:rsidRPr="000552BA" w:rsidRDefault="000552BA">
      <w:pPr>
        <w:pStyle w:val="Rubrik1"/>
      </w:pPr>
      <w:r w:rsidRPr="000552BA">
        <w:t>Inledning</w:t>
      </w:r>
    </w:p>
    <w:p w:rsidR="000552BA" w:rsidRPr="000552BA" w:rsidRDefault="000552BA">
      <w:r w:rsidRPr="000552BA">
        <w:t>EU:s datalagringsdirektiv</w:t>
      </w:r>
      <w:r w:rsidRPr="000552BA">
        <w:rPr>
          <w:rStyle w:val="Fotnotsreferens"/>
        </w:rPr>
        <w:footnoteReference w:id="2"/>
      </w:r>
      <w:r w:rsidRPr="000552BA">
        <w:t xml:space="preserve"> är en av flera integritetskränkande ”antiterrorl</w:t>
      </w:r>
      <w:r w:rsidRPr="000552BA">
        <w:t>a</w:t>
      </w:r>
      <w:r w:rsidRPr="000552BA">
        <w:t xml:space="preserve">gar” sedan den 11 september 2001. </w:t>
      </w:r>
    </w:p>
    <w:p w:rsidR="000552BA" w:rsidRPr="000552BA" w:rsidRDefault="000552BA">
      <w:pPr>
        <w:pStyle w:val="Normaltindrag"/>
      </w:pPr>
      <w:r w:rsidRPr="000552BA">
        <w:t xml:space="preserve">Med den föreslagna lagstiftningen har det skett ett paradigmskifte i svensk rätt där tvångsmedel nu kan användas mot personer som inte är misstänkta för brott. Rättssäkerheten som har sin grund i att inte bara ge enskilda rätt till en </w:t>
      </w:r>
      <w:r w:rsidRPr="000552BA">
        <w:lastRenderedPageBreak/>
        <w:t>rättvis rättegång utan också i en lagstiftning som är förutsebar och behandlar alla lika inför lagen, är inte längre garanterad.</w:t>
      </w:r>
    </w:p>
    <w:p w:rsidR="000552BA" w:rsidRPr="000552BA" w:rsidRDefault="000552BA">
      <w:pPr>
        <w:pStyle w:val="Normaltindrag"/>
      </w:pPr>
      <w:r w:rsidRPr="000552BA">
        <w:t>Regeringens tolkning av rättssäkerhet verkar vara att sänka gränsen för miniminivån för den personliga integriteten och cementera principen om att alla är skyldiga innan de har bevisats oskyldiga. Denna politik bygger på en skrämseltaktik som sprider rädsla i vårt samhälle. Miljöpartiet motsätter sig datalagringsdirektivet och ser inte hur frånsägandet av vår starkaste rättss</w:t>
      </w:r>
      <w:r w:rsidRPr="000552BA">
        <w:t>ä</w:t>
      </w:r>
      <w:r w:rsidRPr="000552BA">
        <w:t>kerhetsprincip – alla är oskyldiga tills de bevisats skyldiga – kan göra Sverige till ett tryggare land.</w:t>
      </w:r>
    </w:p>
    <w:p w:rsidR="000552BA" w:rsidRPr="000552BA" w:rsidRDefault="000552BA">
      <w:pPr>
        <w:pStyle w:val="Rubrik1"/>
      </w:pPr>
      <w:r w:rsidRPr="000552BA">
        <w:t>Miljöpartiets kritik</w:t>
      </w:r>
    </w:p>
    <w:p w:rsidR="000552BA" w:rsidRPr="000552BA" w:rsidRDefault="000552BA">
      <w:r w:rsidRPr="000552BA">
        <w:t>Alltsedan datalagringsdirektivets tillblivelse i EU har Miljöpartiet kritiserat dess framtagande, därför att ingreppet i den personliga integriteten inte står i proportion till nyttan av lagen. Eventualiteten ”att inte ha rent mjöl i påsen” är nu det preventiva argumentet för att använda tvångsmedel mot medborgarna. Vi riskerar mycket genom att ålägga alla telefoni- och Internetoperatörer att kartlägga användarnas kommunikationsmönster. Den informationen som ansamlas kan komma att användas i andra syften ä</w:t>
      </w:r>
      <w:r w:rsidRPr="000552BA">
        <w:t>n de som är tänkta. Såvitt vi vet finns inget register i världen med uppgifter med integritetskänsliga data som aldrig läckt information. Regeringen sätter svenska folkets medborgerl</w:t>
      </w:r>
      <w:r w:rsidRPr="000552BA">
        <w:t>i</w:t>
      </w:r>
      <w:r w:rsidRPr="000552BA">
        <w:t>ga rättighet till integritet på spel genom att införa denna lag.</w:t>
      </w:r>
    </w:p>
    <w:p w:rsidR="000552BA" w:rsidRPr="000552BA" w:rsidRDefault="000552BA">
      <w:pPr>
        <w:pStyle w:val="Normaltindrag"/>
      </w:pPr>
      <w:r w:rsidRPr="000552BA">
        <w:t>Miljöpartiet förstår att regeringen kan bli tvungen att implementera ett d</w:t>
      </w:r>
      <w:r w:rsidRPr="000552BA">
        <w:t>i</w:t>
      </w:r>
      <w:r w:rsidRPr="000552BA">
        <w:t>rektiv om inte Sverige ska drabbas av dryga böter från kommissionen, men anser att regeringen nu bör agera för att riva upp eller omförhandla direktivet. Men vi ställer oss ändå frågan hur en regering vars justitieminister gjort sig känd för sitt motstånd mot datalagringsdirektivet – nu när hon måste lägga förslaget till riksdagen till och med väljer att gå utöver direktivets minimikrav genom att även låta misslyckade uppringningsförsök och lokalisering av m</w:t>
      </w:r>
      <w:r w:rsidRPr="000552BA">
        <w:t>o</w:t>
      </w:r>
      <w:r w:rsidRPr="000552BA">
        <w:t>bilen vid kommunikationens slut omfattas av de d</w:t>
      </w:r>
      <w:r w:rsidRPr="000552BA">
        <w:t>ata som ska kartläggas av operatörerna.</w:t>
      </w:r>
    </w:p>
    <w:p w:rsidR="000552BA" w:rsidRPr="000552BA" w:rsidRDefault="000552BA">
      <w:pPr>
        <w:pStyle w:val="Normaltindrag"/>
      </w:pPr>
      <w:r w:rsidRPr="000552BA">
        <w:t>En regering som är starkt ideologiskt driven av ideal som leder till privat</w:t>
      </w:r>
      <w:r w:rsidRPr="000552BA">
        <w:t>i</w:t>
      </w:r>
      <w:r w:rsidRPr="000552BA">
        <w:t>sering av den ena statliga verksamheten efter den andra, väljer en pragmatisk väg när det gäller den personliga integriteten. Hur kommer det sig att det är lättare att kompromissa med den personliga integriteten för regeringen?</w:t>
      </w:r>
    </w:p>
    <w:p w:rsidR="000552BA" w:rsidRPr="000552BA" w:rsidRDefault="000552BA">
      <w:pPr>
        <w:pStyle w:val="Rubrik1"/>
      </w:pPr>
      <w:r w:rsidRPr="000552BA">
        <w:t>Möjlighet att häva lagen</w:t>
      </w:r>
    </w:p>
    <w:p w:rsidR="000552BA" w:rsidRPr="000552BA" w:rsidRDefault="000552BA">
      <w:r w:rsidRPr="000552BA">
        <w:t>Tysklands författningsdomstol och Rumäniens högsta domstol har redan stoppat deras respektive version av datalagringsdirektivet. Frågan är nu vad som krävs för att regeringen ska åta sig ett försvar av svenska medborgares personliga integritet? Kommer man driva på förhandlingar i EU? Eller ko</w:t>
      </w:r>
      <w:r w:rsidRPr="000552BA">
        <w:t>m</w:t>
      </w:r>
      <w:r w:rsidRPr="000552BA">
        <w:t>mer regeringen att ducka och oskyldiga riskera att drabbas? I sådant fall är det högst aktuellt att driva ett sådant fall till Europadomstolen eftersom den är så nära en författningsdomstol Sverige kan komma.</w:t>
      </w:r>
    </w:p>
    <w:p w:rsidR="000552BA" w:rsidRPr="000552BA" w:rsidRDefault="000552BA">
      <w:pPr>
        <w:pStyle w:val="Normaltindrag"/>
      </w:pPr>
      <w:r w:rsidRPr="000552BA">
        <w:t>Inom kort blir det möjligt att samla en miljon namnunderskrifter i ett me</w:t>
      </w:r>
      <w:r w:rsidRPr="000552BA">
        <w:t>d</w:t>
      </w:r>
      <w:r w:rsidRPr="000552BA">
        <w:t>borgarinitiativ i EU för att uppmana kommissionen att lyfta fram en fråga. Vi ställer oss mycket positiva till initiativ för att riva upp integritetskränkande EU-lagar.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52BA">
        <w:trPr>
          <w:cantSplit/>
        </w:trPr>
        <w:tc>
          <w:tcPr>
            <w:tcW w:w="3046" w:type="dxa"/>
          </w:tcPr>
          <w:p w:rsidR="000552BA" w:rsidRPr="000552BA" w:rsidRDefault="000552BA">
            <w:pPr>
              <w:pStyle w:val="UnderskriftDatum"/>
              <w:spacing w:before="240"/>
            </w:pPr>
            <w:r w:rsidRPr="000552BA">
              <w:t>Stockholm den 21 december 2010</w:t>
            </w:r>
          </w:p>
        </w:tc>
        <w:tc>
          <w:tcPr>
            <w:tcW w:w="3047" w:type="dxa"/>
          </w:tcPr>
          <w:p w:rsidR="000552BA" w:rsidRPr="000552BA" w:rsidRDefault="000552BA">
            <w:pPr>
              <w:pStyle w:val="Underskrifter"/>
              <w:spacing w:before="240"/>
            </w:pPr>
          </w:p>
        </w:tc>
      </w:tr>
      <w:tr w:rsidR="00000000" w:rsidRPr="000552BA">
        <w:trPr>
          <w:cantSplit/>
        </w:trPr>
        <w:tc>
          <w:tcPr>
            <w:tcW w:w="3046" w:type="dxa"/>
          </w:tcPr>
          <w:p w:rsidR="000552BA" w:rsidRPr="000552BA" w:rsidRDefault="000552BA">
            <w:pPr>
              <w:pStyle w:val="Underskrifter"/>
            </w:pPr>
            <w:r w:rsidRPr="000552BA">
              <w:t>Maria Ferm (MP)</w:t>
            </w:r>
          </w:p>
        </w:tc>
        <w:tc>
          <w:tcPr>
            <w:tcW w:w="3046" w:type="dxa"/>
          </w:tcPr>
          <w:p w:rsidR="000552BA" w:rsidRPr="000552BA" w:rsidRDefault="000552BA">
            <w:pPr>
              <w:pStyle w:val="Underskrifter"/>
            </w:pPr>
          </w:p>
        </w:tc>
      </w:tr>
      <w:tr w:rsidR="00000000" w:rsidRPr="000552BA">
        <w:trPr>
          <w:cantSplit/>
        </w:trPr>
        <w:tc>
          <w:tcPr>
            <w:tcW w:w="3046" w:type="dxa"/>
          </w:tcPr>
          <w:p w:rsidR="000552BA" w:rsidRPr="000552BA" w:rsidRDefault="000552BA">
            <w:pPr>
              <w:pStyle w:val="Underskrifter"/>
            </w:pPr>
            <w:r w:rsidRPr="000552BA">
              <w:t>Mehmet Kaplan (MP)</w:t>
            </w:r>
          </w:p>
        </w:tc>
        <w:tc>
          <w:tcPr>
            <w:tcW w:w="3046" w:type="dxa"/>
          </w:tcPr>
          <w:p w:rsidR="000552BA" w:rsidRPr="000552BA" w:rsidRDefault="000552BA">
            <w:pPr>
              <w:pStyle w:val="Underskrifter"/>
            </w:pPr>
            <w:r w:rsidRPr="000552BA">
              <w:t>Peter Rådberg (MP)</w:t>
            </w:r>
          </w:p>
        </w:tc>
      </w:tr>
      <w:tr w:rsidR="00000000" w:rsidRPr="000552BA">
        <w:trPr>
          <w:cantSplit/>
        </w:trPr>
        <w:tc>
          <w:tcPr>
            <w:tcW w:w="3046" w:type="dxa"/>
          </w:tcPr>
          <w:p w:rsidR="000552BA" w:rsidRPr="000552BA" w:rsidRDefault="000552BA">
            <w:pPr>
              <w:pStyle w:val="Underskrifter"/>
            </w:pPr>
            <w:r w:rsidRPr="000552BA">
              <w:t>Bodil Ceballos (MP)</w:t>
            </w:r>
          </w:p>
        </w:tc>
        <w:tc>
          <w:tcPr>
            <w:tcW w:w="3046" w:type="dxa"/>
          </w:tcPr>
          <w:p w:rsidR="000552BA" w:rsidRPr="000552BA" w:rsidRDefault="000552BA">
            <w:pPr>
              <w:pStyle w:val="Underskrifter"/>
            </w:pPr>
            <w:r w:rsidRPr="000552BA">
              <w:t>Agneta Börjesson (MP)</w:t>
            </w:r>
          </w:p>
        </w:tc>
      </w:tr>
      <w:tr w:rsidR="00000000" w:rsidRPr="000552BA">
        <w:trPr>
          <w:cantSplit/>
        </w:trPr>
        <w:tc>
          <w:tcPr>
            <w:tcW w:w="3046" w:type="dxa"/>
          </w:tcPr>
          <w:p w:rsidR="000552BA" w:rsidRPr="000552BA" w:rsidRDefault="000552BA">
            <w:pPr>
              <w:pStyle w:val="Underskrifter"/>
            </w:pPr>
            <w:r w:rsidRPr="000552BA">
              <w:t>Gustav Fridolin (MP)</w:t>
            </w:r>
          </w:p>
        </w:tc>
        <w:tc>
          <w:tcPr>
            <w:tcW w:w="3046" w:type="dxa"/>
          </w:tcPr>
          <w:p w:rsidR="000552BA" w:rsidRPr="000552BA" w:rsidRDefault="000552BA">
            <w:pPr>
              <w:pStyle w:val="Underskrifter"/>
            </w:pPr>
          </w:p>
        </w:tc>
      </w:tr>
    </w:tbl>
    <w:p w:rsidR="000552BA" w:rsidRPr="000552BA" w:rsidRDefault="000552BA">
      <w:pPr>
        <w:pStyle w:val="Normaltindrag"/>
      </w:pPr>
    </w:p>
    <w:sectPr w:rsidR="00000000" w:rsidRPr="00055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2BA" w:rsidRPr="000552BA" w:rsidRDefault="000552BA">
      <w:r w:rsidRPr="000552BA">
        <w:separator/>
      </w:r>
    </w:p>
  </w:endnote>
  <w:endnote w:type="continuationSeparator" w:id="0">
    <w:p w:rsidR="000552BA" w:rsidRPr="000552BA" w:rsidRDefault="000552BA">
      <w:r w:rsidRPr="00055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2BA" w:rsidRPr="000552BA" w:rsidRDefault="000552BA">
    <w:pPr>
      <w:pStyle w:val="Sidfot"/>
    </w:pPr>
    <w:r w:rsidRPr="00055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323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2BA" w:rsidRDefault="000552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2BA" w:rsidRDefault="000552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2BA" w:rsidRPr="000552BA" w:rsidRDefault="000552BA">
    <w:pPr>
      <w:pStyle w:val="Sidfot"/>
    </w:pPr>
    <w:r w:rsidRPr="00055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4767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2BA" w:rsidRDefault="000552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2BA" w:rsidRDefault="000552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2BA" w:rsidRPr="000552BA" w:rsidRDefault="000552BA">
    <w:pPr>
      <w:pStyle w:val="Sidfot"/>
    </w:pPr>
    <w:r w:rsidRPr="00055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508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2BA" w:rsidRDefault="00055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2BA" w:rsidRDefault="00055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2BA" w:rsidRPr="000552BA" w:rsidRDefault="000552BA">
      <w:pPr>
        <w:pStyle w:val="Sidfot"/>
      </w:pPr>
    </w:p>
  </w:footnote>
  <w:footnote w:type="continuationSeparator" w:id="0">
    <w:p w:rsidR="000552BA" w:rsidRPr="000552BA" w:rsidRDefault="000552BA">
      <w:pPr>
        <w:pStyle w:val="Sidfot"/>
      </w:pPr>
    </w:p>
  </w:footnote>
  <w:footnote w:type="continuationNotice" w:id="1">
    <w:p w:rsidR="000552BA" w:rsidRPr="000552BA" w:rsidRDefault="000552BA">
      <w:pPr>
        <w:pStyle w:val="Sidfot"/>
      </w:pPr>
    </w:p>
  </w:footnote>
  <w:footnote w:id="2">
    <w:p w:rsidR="000552BA" w:rsidRPr="000552BA" w:rsidRDefault="000552BA">
      <w:pPr>
        <w:pStyle w:val="Fotnotstext"/>
        <w:spacing w:line="200" w:lineRule="atLeast"/>
        <w:rPr>
          <w:sz w:val="16"/>
          <w:szCs w:val="16"/>
        </w:rPr>
      </w:pPr>
      <w:r w:rsidRPr="000552BA">
        <w:rPr>
          <w:rStyle w:val="Fotnotsreferens"/>
          <w:sz w:val="18"/>
          <w:szCs w:val="18"/>
        </w:rPr>
        <w:footnoteRef/>
      </w:r>
      <w:r w:rsidRPr="000552BA">
        <w:rPr>
          <w:sz w:val="16"/>
          <w:szCs w:val="16"/>
        </w:rPr>
        <w:t xml:space="preserve"> Europaparlamentets och rådets direktiv 2006/24/EG av den 15 mars 2006  om lagring av uppgifter som genererats eller behandlats i samband med tillhandahållande av allmänt til</w:t>
      </w:r>
      <w:r w:rsidRPr="000552BA">
        <w:rPr>
          <w:sz w:val="16"/>
          <w:szCs w:val="16"/>
        </w:rPr>
        <w:t>l</w:t>
      </w:r>
      <w:r w:rsidRPr="000552BA">
        <w:rPr>
          <w:sz w:val="16"/>
          <w:szCs w:val="16"/>
        </w:rPr>
        <w:t>gängliga elektroniska kommunikationstjänster eller allmänna kommunikationsnät och om ändring av direktiv 2002/58/EG.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2BA" w:rsidRPr="000552BA" w:rsidRDefault="000552BA">
    <w:pPr>
      <w:pStyle w:val="Sidhuvud"/>
    </w:pPr>
    <w:r w:rsidRPr="00055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3063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2BA" w:rsidRDefault="000552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2BA" w:rsidRDefault="000552B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2BA" w:rsidRPr="000552BA" w:rsidRDefault="000552BA">
    <w:pPr>
      <w:pStyle w:val="Sidhuvud"/>
    </w:pPr>
    <w:r w:rsidRPr="00055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50793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2BA" w:rsidRDefault="000552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2BA" w:rsidRDefault="000552B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2BA" w:rsidRPr="000552BA" w:rsidRDefault="000552BA">
    <w:pPr>
      <w:pStyle w:val="FSHNormal"/>
      <w:tabs>
        <w:tab w:val="right" w:pos="5840"/>
      </w:tabs>
    </w:pPr>
    <w:r w:rsidRPr="000552BA">
      <w:br/>
    </w:r>
    <w:r w:rsidRPr="000552BA">
      <w:fldChar w:fldCharType="begin" w:fldLock="1"/>
    </w:r>
    <w:r w:rsidRPr="000552BA">
      <w:instrText xml:space="preserve"> DOCPROPERTY</w:instrText>
    </w:r>
    <w:r w:rsidRPr="000552BA">
      <w:rPr>
        <w:sz w:val="18"/>
      </w:rPr>
      <w:instrText xml:space="preserve"> "YearUser" *\charformat </w:instrText>
    </w:r>
    <w:r w:rsidRPr="000552BA">
      <w:fldChar w:fldCharType="separate"/>
    </w:r>
    <w:r w:rsidRPr="000552BA">
      <w:t>2010/11</w:t>
    </w:r>
    <w:r w:rsidRPr="000552BA">
      <w:fldChar w:fldCharType="end"/>
    </w:r>
    <w:r w:rsidRPr="000552BA">
      <w:t xml:space="preserve"> </w:t>
    </w:r>
    <w:r w:rsidRPr="000552BA">
      <w:tab/>
      <w:t xml:space="preserve">mnr: </w:t>
    </w:r>
    <w:r w:rsidRPr="000552BA">
      <w:fldChar w:fldCharType="begin" w:fldLock="1"/>
    </w:r>
    <w:r w:rsidRPr="000552BA">
      <w:instrText xml:space="preserve"> DOCPROPERTY</w:instrText>
    </w:r>
    <w:r w:rsidRPr="000552BA">
      <w:rPr>
        <w:sz w:val="18"/>
      </w:rPr>
      <w:instrText xml:space="preserve"> "Motionsnummer" *\charformat </w:instrText>
    </w:r>
    <w:r w:rsidRPr="000552BA">
      <w:fldChar w:fldCharType="separate"/>
    </w:r>
    <w:r w:rsidRPr="000552BA">
      <w:t>Ju5</w:t>
    </w:r>
    <w:r w:rsidRPr="000552BA">
      <w:fldChar w:fldCharType="end"/>
    </w:r>
    <w:r w:rsidRPr="000552BA">
      <w:br/>
    </w:r>
    <w:r w:rsidRPr="000552BA">
      <w:fldChar w:fldCharType="begin" w:fldLock="1"/>
    </w:r>
    <w:r w:rsidRPr="000552BA">
      <w:instrText xml:space="preserve"> DOCPROPERTY</w:instrText>
    </w:r>
    <w:r w:rsidRPr="000552BA">
      <w:rPr>
        <w:sz w:val="18"/>
      </w:rPr>
      <w:instrText xml:space="preserve"> "Samling" *\charformat </w:instrText>
    </w:r>
    <w:r w:rsidRPr="000552BA">
      <w:fldChar w:fldCharType="end"/>
    </w:r>
    <w:r w:rsidRPr="000552BA">
      <w:tab/>
      <w:t xml:space="preserve">pnr: </w:t>
    </w:r>
    <w:r w:rsidRPr="000552BA">
      <w:fldChar w:fldCharType="begin" w:fldLock="1"/>
    </w:r>
    <w:r w:rsidRPr="000552BA">
      <w:instrText xml:space="preserve"> DOCPROPERTY</w:instrText>
    </w:r>
    <w:r w:rsidRPr="000552BA">
      <w:rPr>
        <w:sz w:val="18"/>
      </w:rPr>
      <w:instrText xml:space="preserve"> "Partinummer" *\charformat </w:instrText>
    </w:r>
    <w:r w:rsidRPr="000552BA">
      <w:fldChar w:fldCharType="separate"/>
    </w:r>
    <w:r w:rsidRPr="000552BA">
      <w:t>MP10</w:t>
    </w:r>
    <w:r w:rsidRPr="000552BA">
      <w:fldChar w:fldCharType="end"/>
    </w:r>
  </w:p>
  <w:p w:rsidR="000552BA" w:rsidRPr="000552BA" w:rsidRDefault="000552BA">
    <w:pPr>
      <w:pStyle w:val="FSHRub1"/>
    </w:pPr>
    <w:r w:rsidRPr="000552BA">
      <w:t>Motion till riksdagen</w:t>
    </w:r>
    <w:r w:rsidRPr="000552BA">
      <w:br/>
    </w:r>
    <w:r w:rsidRPr="000552BA">
      <w:fldChar w:fldCharType="begin" w:fldLock="1"/>
    </w:r>
    <w:r w:rsidRPr="000552BA">
      <w:instrText xml:space="preserve"> DOCPROPERTY "YearUser" *\charformat </w:instrText>
    </w:r>
    <w:r w:rsidRPr="000552BA">
      <w:fldChar w:fldCharType="separate"/>
    </w:r>
    <w:r w:rsidRPr="000552BA">
      <w:t>2010/11</w:t>
    </w:r>
    <w:r w:rsidRPr="000552BA">
      <w:fldChar w:fldCharType="end"/>
    </w:r>
    <w:r w:rsidRPr="000552BA">
      <w:t>:</w:t>
    </w:r>
    <w:r w:rsidRPr="000552BA">
      <w:fldChar w:fldCharType="begin" w:fldLock="1"/>
    </w:r>
    <w:r w:rsidRPr="000552BA">
      <w:instrText xml:space="preserve"> DOCPROPERTY "Motionsnummer" *\charformat </w:instrText>
    </w:r>
    <w:r w:rsidRPr="000552BA">
      <w:fldChar w:fldCharType="separate"/>
    </w:r>
    <w:r w:rsidRPr="000552BA">
      <w:t>Ju5</w:t>
    </w:r>
    <w:r w:rsidRPr="000552BA">
      <w:fldChar w:fldCharType="end"/>
    </w:r>
  </w:p>
  <w:p w:rsidR="000552BA" w:rsidRPr="000552BA" w:rsidRDefault="000552BA">
    <w:pPr>
      <w:pStyle w:val="FSHNormalS5"/>
    </w:pPr>
    <w:r w:rsidRPr="000552BA">
      <w:fldChar w:fldCharType="begin" w:fldLock="1"/>
    </w:r>
    <w:r w:rsidRPr="000552BA">
      <w:instrText xml:space="preserve"> DOCPROPERTY "MotionarText" *\charformat </w:instrText>
    </w:r>
    <w:r w:rsidRPr="000552BA">
      <w:fldChar w:fldCharType="separate"/>
    </w:r>
    <w:r w:rsidRPr="000552BA">
      <w:t>av Maria Ferm m.fl. (MP)</w:t>
    </w:r>
    <w:r w:rsidRPr="000552BA">
      <w:fldChar w:fldCharType="end"/>
    </w:r>
    <w:r w:rsidRPr="000552BA">
      <w:br/>
    </w:r>
    <w:r w:rsidRPr="000552BA">
      <w:fldChar w:fldCharType="begin" w:fldLock="1"/>
    </w:r>
    <w:r w:rsidRPr="000552BA">
      <w:instrText xml:space="preserve"> DOCPROPERTY "SvarFrasKort" *\charformat </w:instrText>
    </w:r>
    <w:r w:rsidRPr="000552BA">
      <w:fldChar w:fldCharType="separate"/>
    </w:r>
    <w:r w:rsidRPr="000552BA">
      <w:t>med anledning av prop. 2010/11:46</w:t>
    </w:r>
    <w:r w:rsidRPr="000552BA">
      <w:fldChar w:fldCharType="end"/>
    </w:r>
  </w:p>
  <w:p w:rsidR="000552BA" w:rsidRPr="000552BA" w:rsidRDefault="000552BA">
    <w:pPr>
      <w:pStyle w:val="FSHTitel"/>
    </w:pPr>
    <w:r w:rsidRPr="000552BA">
      <w:fldChar w:fldCharType="begin" w:fldLock="1"/>
    </w:r>
    <w:r w:rsidRPr="000552BA">
      <w:instrText xml:space="preserve"> DOCPROPERTY</w:instrText>
    </w:r>
    <w:r w:rsidRPr="000552BA">
      <w:rPr>
        <w:sz w:val="18"/>
      </w:rPr>
      <w:instrText xml:space="preserve"> "RubrikSvar" *\charformat </w:instrText>
    </w:r>
    <w:r w:rsidRPr="000552BA">
      <w:fldChar w:fldCharType="separate"/>
    </w:r>
    <w:r w:rsidRPr="000552BA">
      <w:t xml:space="preserve">Lagring av trafikuppgifter för brottsbekämpande ändamål – genomförande av direktiv 2006/24/EG </w:t>
    </w:r>
    <w:r w:rsidRPr="000552BA">
      <w:fldChar w:fldCharType="end"/>
    </w:r>
  </w:p>
  <w:p w:rsidR="000552BA" w:rsidRPr="000552BA" w:rsidRDefault="000552BA">
    <w:pPr>
      <w:pStyle w:val="Normal00"/>
    </w:pPr>
  </w:p>
  <w:p w:rsidR="000552BA" w:rsidRPr="000552BA" w:rsidRDefault="00055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B060200"/>
    <w:multiLevelType w:val="hybridMultilevel"/>
    <w:tmpl w:val="B94AFDD6"/>
    <w:lvl w:ilvl="0" w:tplc="77E047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1158098">
    <w:abstractNumId w:val="3"/>
  </w:num>
  <w:num w:numId="2" w16cid:durableId="1688865663">
    <w:abstractNumId w:val="2"/>
  </w:num>
  <w:num w:numId="3" w16cid:durableId="1138062800">
    <w:abstractNumId w:val="1"/>
  </w:num>
  <w:num w:numId="4" w16cid:durableId="1856650590">
    <w:abstractNumId w:val="0"/>
  </w:num>
  <w:num w:numId="5" w16cid:durableId="2036613675">
    <w:abstractNumId w:val="7"/>
  </w:num>
  <w:num w:numId="6" w16cid:durableId="993683434">
    <w:abstractNumId w:val="6"/>
  </w:num>
  <w:num w:numId="7" w16cid:durableId="1066731748">
    <w:abstractNumId w:val="5"/>
  </w:num>
  <w:num w:numId="8" w16cid:durableId="1043792883">
    <w:abstractNumId w:val="4"/>
  </w:num>
  <w:num w:numId="9" w16cid:durableId="693728237">
    <w:abstractNumId w:val="8"/>
  </w:num>
  <w:num w:numId="10" w16cid:durableId="719014203">
    <w:abstractNumId w:val="9"/>
  </w:num>
  <w:num w:numId="11" w16cid:durableId="425853775">
    <w:abstractNumId w:val="10"/>
  </w:num>
  <w:num w:numId="12" w16cid:durableId="755715488">
    <w:abstractNumId w:val="13"/>
  </w:num>
  <w:num w:numId="13" w16cid:durableId="845827858">
    <w:abstractNumId w:val="16"/>
  </w:num>
  <w:num w:numId="14" w16cid:durableId="670530210">
    <w:abstractNumId w:val="17"/>
  </w:num>
  <w:num w:numId="15" w16cid:durableId="1760178103">
    <w:abstractNumId w:val="11"/>
  </w:num>
  <w:num w:numId="16" w16cid:durableId="1215198363">
    <w:abstractNumId w:val="19"/>
  </w:num>
  <w:num w:numId="17" w16cid:durableId="938565474">
    <w:abstractNumId w:val="18"/>
  </w:num>
  <w:num w:numId="18" w16cid:durableId="2009166492">
    <w:abstractNumId w:val="15"/>
  </w:num>
  <w:num w:numId="19" w16cid:durableId="705063281">
    <w:abstractNumId w:val="12"/>
  </w:num>
  <w:num w:numId="20" w16cid:durableId="18300540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49480620-A61F-487C-925B-2085F7EA8623},{9A68AC35-0A1A-4045-8FC1-AF1F64DEB2EB},{36F36A54-6768-4A6E-926B-6FD4A809EF2F},{8B79F084-2FE8-43FE-81EC-B454DB4AAA24},{221C1C0D-92BB-4184-802C-2B641719003B},{16E5F5B0-F52B-4890-9031-5381680B117A}"/>
  </w:docVars>
  <w:rsids>
    <w:rsidRoot w:val="00005702"/>
    <w:rsid w:val="00005702"/>
    <w:rsid w:val="000552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9B63AA-02C4-4BA9-B9C6-2F26FDE1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3436</Characters>
  <Application>Microsoft Office Word</Application>
  <DocSecurity>4</DocSecurity>
  <Lines>70</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2011-01-12T14:38:00Z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mot2000_524_2010-12-14</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2010/11:46 Lagring av trafikuppgifter för brottsbekämpande ändamål – genomförande av direktiv 2006/24/EG </vt:lpwstr>
  </property>
  <property fmtid="{D5CDD505-2E9C-101B-9397-08002B2CF9AE}" pid="11" name="SvarFrasKort">
    <vt:lpwstr>med anledning av prop. 2010/11:46</vt:lpwstr>
  </property>
  <property fmtid="{D5CDD505-2E9C-101B-9397-08002B2CF9AE}" pid="12" name="Svar">
    <vt:lpwstr>Proposition</vt:lpwstr>
  </property>
  <property fmtid="{D5CDD505-2E9C-101B-9397-08002B2CF9AE}" pid="13" name="SvarNr">
    <vt:lpwstr>2010/11:46</vt:lpwstr>
  </property>
  <property fmtid="{D5CDD505-2E9C-101B-9397-08002B2CF9AE}" pid="14" name="RubrikSvar">
    <vt:lpwstr>Lagring av trafikuppgifter för brottsbekämpande ändamål – genomförande av direktiv 2006/24/EG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 Ferm m.fl. (MP)</vt:lpwstr>
  </property>
  <property fmtid="{D5CDD505-2E9C-101B-9397-08002B2CF9AE}" pid="26" name="MotionarLista">
    <vt:lpwstr>Ferm, Maria (MP)\Kaplan, Mehmet (MP)\Rådberg, Peter (MP)\Ceballos, Bodil (MP)\Börjesson, Agneta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Mehmet Kaplan (MP), Peter Rådberg (MP), Bodil Ceballos (MP), Agneta Börjesson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december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20102011000000770080000000100075</vt:lpwstr>
  </property>
  <property fmtid="{D5CDD505-2E9C-101B-9397-08002B2CF9AE}" pid="47" name="datum">
    <vt:lpwstr>101221</vt:lpwstr>
  </property>
  <property fmtid="{D5CDD505-2E9C-101B-9397-08002B2CF9AE}" pid="48" name="avsändar-e-post">
    <vt:lpwstr>magnus.lindgren@riksdagen.se</vt:lpwstr>
  </property>
  <property fmtid="{D5CDD505-2E9C-101B-9397-08002B2CF9AE}" pid="49" name="id">
    <vt:lpwstr>20102011000000770080000000100075</vt:lpwstr>
  </property>
  <property fmtid="{D5CDD505-2E9C-101B-9397-08002B2CF9AE}" pid="50" name="nummer">
    <vt:lpwstr>5</vt:lpwstr>
  </property>
  <property fmtid="{D5CDD505-2E9C-101B-9397-08002B2CF9AE}" pid="51" name="utskottsbeteckning">
    <vt:lpwstr>Ju</vt:lpwstr>
  </property>
  <property fmtid="{D5CDD505-2E9C-101B-9397-08002B2CF9AE}" pid="52" name="GlobalUID">
    <vt:lpwstr>{D69BA060-D4D8-4132-8641-A5B5191713C9}</vt:lpwstr>
  </property>
  <property fmtid="{D5CDD505-2E9C-101B-9397-08002B2CF9AE}" pid="53" name="Överföringar">
    <vt:i4>0</vt:i4>
  </property>
  <property fmtid="{D5CDD505-2E9C-101B-9397-08002B2CF9AE}" pid="54" name="Checksum">
    <vt:lpwstr>*1017316573356*</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110112 15:39:24.744</vt:lpwstr>
  </property>
  <property fmtid="{D5CDD505-2E9C-101B-9397-08002B2CF9AE}" pid="58" name="urixGuid">
    <vt:lpwstr>{6AEF5A39-4C61-4BFE-9C96-B514B25B8EA9}</vt:lpwstr>
  </property>
</Properties>
</file>