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1509EE">
        <w:tblPrEx>
          <w:tblCellMar>
            <w:top w:w="0" w:type="dxa"/>
            <w:bottom w:w="0" w:type="dxa"/>
          </w:tblCellMar>
        </w:tblPrEx>
        <w:tc>
          <w:tcPr>
            <w:tcW w:w="2268" w:type="dxa"/>
          </w:tcPr>
          <w:p w:rsidR="00DE7339" w:rsidRPr="001509EE" w:rsidRDefault="00DE7339">
            <w:pPr>
              <w:framePr w:w="4400" w:h="1644" w:wrap="notBeside" w:vAnchor="page" w:hAnchor="page" w:x="6573" w:y="721"/>
              <w:rPr>
                <w:rFonts w:ascii="TradeGothic" w:hAnsi="TradeGothic"/>
                <w:i/>
                <w:sz w:val="18"/>
              </w:rPr>
            </w:pPr>
          </w:p>
        </w:tc>
        <w:tc>
          <w:tcPr>
            <w:tcW w:w="2347" w:type="dxa"/>
            <w:gridSpan w:val="2"/>
          </w:tcPr>
          <w:p w:rsidR="00DE7339" w:rsidRPr="001509EE" w:rsidRDefault="00DE7339">
            <w:pPr>
              <w:framePr w:w="4400" w:h="1644" w:wrap="notBeside" w:vAnchor="page" w:hAnchor="page" w:x="6573" w:y="721"/>
              <w:rPr>
                <w:rFonts w:ascii="TradeGothic" w:hAnsi="TradeGothic"/>
                <w:i/>
                <w:sz w:val="18"/>
              </w:rPr>
            </w:pPr>
          </w:p>
        </w:tc>
      </w:tr>
      <w:tr w:rsidR="00DE7339" w:rsidRPr="001509EE">
        <w:tblPrEx>
          <w:tblCellMar>
            <w:top w:w="0" w:type="dxa"/>
            <w:bottom w:w="0" w:type="dxa"/>
          </w:tblCellMar>
        </w:tblPrEx>
        <w:trPr>
          <w:cantSplit/>
        </w:trPr>
        <w:tc>
          <w:tcPr>
            <w:tcW w:w="4615" w:type="dxa"/>
            <w:gridSpan w:val="3"/>
          </w:tcPr>
          <w:p w:rsidR="00DE7339" w:rsidRPr="001509EE" w:rsidRDefault="00DE7339">
            <w:pPr>
              <w:framePr w:w="4400" w:h="1644" w:wrap="notBeside" w:vAnchor="page" w:hAnchor="page" w:x="6573" w:y="721"/>
              <w:rPr>
                <w:rFonts w:ascii="TradeGothic" w:hAnsi="TradeGothic"/>
                <w:b/>
                <w:sz w:val="22"/>
              </w:rPr>
            </w:pPr>
            <w:r w:rsidRPr="001509EE">
              <w:rPr>
                <w:rFonts w:ascii="TradeGothic" w:hAnsi="TradeGothic"/>
                <w:b/>
                <w:sz w:val="22"/>
              </w:rPr>
              <w:t>Rådspromemoria</w:t>
            </w:r>
          </w:p>
        </w:tc>
      </w:tr>
      <w:tr w:rsidR="00DE7339" w:rsidRPr="001509EE">
        <w:tblPrEx>
          <w:tblCellMar>
            <w:top w:w="0" w:type="dxa"/>
            <w:bottom w:w="0" w:type="dxa"/>
          </w:tblCellMar>
        </w:tblPrEx>
        <w:tc>
          <w:tcPr>
            <w:tcW w:w="3402" w:type="dxa"/>
            <w:gridSpan w:val="2"/>
          </w:tcPr>
          <w:p w:rsidR="00DE7339" w:rsidRPr="001509EE" w:rsidRDefault="00DE7339">
            <w:pPr>
              <w:framePr w:w="4400" w:h="1644" w:wrap="notBeside" w:vAnchor="page" w:hAnchor="page" w:x="6573" w:y="721"/>
            </w:pPr>
          </w:p>
        </w:tc>
        <w:tc>
          <w:tcPr>
            <w:tcW w:w="1213" w:type="dxa"/>
          </w:tcPr>
          <w:p w:rsidR="00DE7339" w:rsidRPr="001509EE" w:rsidRDefault="00DE7339">
            <w:pPr>
              <w:framePr w:w="4400" w:h="1644" w:wrap="notBeside" w:vAnchor="page" w:hAnchor="page" w:x="6573" w:y="721"/>
            </w:pPr>
          </w:p>
        </w:tc>
      </w:tr>
      <w:tr w:rsidR="00DE7339" w:rsidRPr="001509EE">
        <w:tblPrEx>
          <w:tblCellMar>
            <w:top w:w="0" w:type="dxa"/>
            <w:bottom w:w="0" w:type="dxa"/>
          </w:tblCellMar>
        </w:tblPrEx>
        <w:tc>
          <w:tcPr>
            <w:tcW w:w="2268" w:type="dxa"/>
          </w:tcPr>
          <w:p w:rsidR="00DE7339" w:rsidRPr="001509EE" w:rsidRDefault="008455B0">
            <w:pPr>
              <w:framePr w:w="4400" w:h="1644" w:wrap="notBeside" w:vAnchor="page" w:hAnchor="page" w:x="6573" w:y="721"/>
            </w:pPr>
            <w:r w:rsidRPr="001509EE">
              <w:t>2007-1</w:t>
            </w:r>
            <w:r w:rsidR="007001EF" w:rsidRPr="001509EE">
              <w:t>1-21</w:t>
            </w:r>
          </w:p>
        </w:tc>
        <w:tc>
          <w:tcPr>
            <w:tcW w:w="2347" w:type="dxa"/>
            <w:gridSpan w:val="2"/>
          </w:tcPr>
          <w:p w:rsidR="00DE7339" w:rsidRPr="001509EE" w:rsidRDefault="00DE7339">
            <w:pPr>
              <w:framePr w:w="4400" w:h="1644" w:wrap="notBeside" w:vAnchor="page" w:hAnchor="page" w:x="6573" w:y="721"/>
            </w:pPr>
          </w:p>
        </w:tc>
      </w:tr>
      <w:tr w:rsidR="00DE7339" w:rsidRPr="001509EE">
        <w:tblPrEx>
          <w:tblCellMar>
            <w:top w:w="0" w:type="dxa"/>
            <w:bottom w:w="0" w:type="dxa"/>
          </w:tblCellMar>
        </w:tblPrEx>
        <w:tc>
          <w:tcPr>
            <w:tcW w:w="2268" w:type="dxa"/>
          </w:tcPr>
          <w:p w:rsidR="00DE7339" w:rsidRPr="001509EE" w:rsidRDefault="00DE7339">
            <w:pPr>
              <w:framePr w:w="4400" w:h="1644" w:wrap="notBeside" w:vAnchor="page" w:hAnchor="page" w:x="6573" w:y="721"/>
            </w:pPr>
          </w:p>
        </w:tc>
        <w:tc>
          <w:tcPr>
            <w:tcW w:w="2347" w:type="dxa"/>
            <w:gridSpan w:val="2"/>
          </w:tcPr>
          <w:p w:rsidR="00DE7339" w:rsidRPr="001509EE" w:rsidRDefault="00DE733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
                <w:i w:val="0"/>
                <w:sz w:val="22"/>
              </w:rPr>
            </w:pPr>
            <w:r w:rsidRPr="001509EE">
              <w:rPr>
                <w:b/>
                <w:i w:val="0"/>
                <w:sz w:val="22"/>
              </w:rPr>
              <w:t>Justitiedepartementet</w:t>
            </w: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21318E">
            <w:pPr>
              <w:pStyle w:val="Avsndare"/>
              <w:framePr w:h="2483" w:wrap="notBeside" w:x="1504"/>
              <w:rPr>
                <w:bCs/>
                <w:iCs/>
              </w:rPr>
            </w:pPr>
            <w:r w:rsidRPr="001509EE">
              <w:rPr>
                <w:bCs/>
                <w:iCs/>
              </w:rPr>
              <w:t>En</w:t>
            </w:r>
            <w:r w:rsidR="00DE7339" w:rsidRPr="001509EE">
              <w:rPr>
                <w:bCs/>
                <w:iCs/>
              </w:rPr>
              <w:t>heten</w:t>
            </w:r>
            <w:r w:rsidRPr="001509EE">
              <w:rPr>
                <w:bCs/>
                <w:iCs/>
              </w:rPr>
              <w:t xml:space="preserve"> för migration och asylpolitik</w:t>
            </w: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r w:rsidR="00DE7339" w:rsidRPr="001509EE">
        <w:tblPrEx>
          <w:tblCellMar>
            <w:top w:w="0" w:type="dxa"/>
            <w:bottom w:w="0" w:type="dxa"/>
          </w:tblCellMar>
        </w:tblPrEx>
        <w:trPr>
          <w:trHeight w:val="284"/>
        </w:trPr>
        <w:tc>
          <w:tcPr>
            <w:tcW w:w="4911" w:type="dxa"/>
          </w:tcPr>
          <w:p w:rsidR="00DE7339" w:rsidRPr="001509EE" w:rsidRDefault="00DE7339">
            <w:pPr>
              <w:pStyle w:val="Avsndare"/>
              <w:framePr w:h="2483" w:wrap="notBeside" w:x="1504"/>
              <w:rPr>
                <w:bCs/>
                <w:iCs/>
              </w:rPr>
            </w:pPr>
          </w:p>
        </w:tc>
      </w:tr>
    </w:tbl>
    <w:p w:rsidR="00DE7339" w:rsidRPr="001509EE" w:rsidRDefault="00DE7339">
      <w:pPr>
        <w:framePr w:w="4400" w:h="2523" w:wrap="notBeside" w:vAnchor="page" w:hAnchor="page" w:x="6453" w:y="2445"/>
        <w:ind w:left="142"/>
        <w:rPr>
          <w:b/>
        </w:rPr>
      </w:pPr>
    </w:p>
    <w:p w:rsidR="00DE7339" w:rsidRPr="001509EE" w:rsidRDefault="00DE7339" w:rsidP="0021318E">
      <w:pPr>
        <w:pStyle w:val="RKrubrik"/>
        <w:pBdr>
          <w:bottom w:val="single" w:sz="6" w:space="1" w:color="auto"/>
        </w:pBdr>
        <w:spacing w:before="0" w:after="0"/>
      </w:pPr>
      <w:bookmarkStart w:id="0" w:name="bRubrik"/>
      <w:bookmarkEnd w:id="0"/>
      <w:r w:rsidRPr="001509EE">
        <w:t xml:space="preserve">Rådets möte </w:t>
      </w:r>
      <w:r w:rsidR="0021318E" w:rsidRPr="001509EE">
        <w:t xml:space="preserve">(rättsliga och inrikes frågor) den </w:t>
      </w:r>
      <w:r w:rsidR="007001EF" w:rsidRPr="001509EE">
        <w:t>6</w:t>
      </w:r>
      <w:r w:rsidR="0021318E" w:rsidRPr="001509EE">
        <w:t>-</w:t>
      </w:r>
      <w:r w:rsidR="007001EF" w:rsidRPr="001509EE">
        <w:t>7</w:t>
      </w:r>
      <w:r w:rsidR="0021318E" w:rsidRPr="001509EE">
        <w:t xml:space="preserve"> </w:t>
      </w:r>
      <w:r w:rsidR="007001EF" w:rsidRPr="001509EE">
        <w:t>december</w:t>
      </w:r>
      <w:r w:rsidR="0021318E" w:rsidRPr="001509EE">
        <w:t xml:space="preserve"> 2007</w:t>
      </w:r>
    </w:p>
    <w:p w:rsidR="00DE7339" w:rsidRPr="001509EE" w:rsidRDefault="00DE7339">
      <w:pPr>
        <w:pStyle w:val="RKnormal"/>
      </w:pPr>
    </w:p>
    <w:p w:rsidR="00B00D4E" w:rsidRPr="001509EE" w:rsidRDefault="00B00D4E">
      <w:pPr>
        <w:pStyle w:val="RKnormal"/>
        <w:rPr>
          <w:b/>
        </w:rPr>
      </w:pPr>
      <w:r w:rsidRPr="001509EE">
        <w:rPr>
          <w:b/>
        </w:rPr>
        <w:t>Rådets dagordning</w:t>
      </w:r>
    </w:p>
    <w:p w:rsidR="0085042C" w:rsidRPr="001509EE" w:rsidRDefault="00DE7339">
      <w:pPr>
        <w:pStyle w:val="RKnormal"/>
        <w:rPr>
          <w:b/>
        </w:rPr>
      </w:pPr>
      <w:r w:rsidRPr="001509EE">
        <w:rPr>
          <w:b/>
        </w:rPr>
        <w:t>Dagordningspunkt</w:t>
      </w:r>
      <w:r w:rsidR="00B00D4E" w:rsidRPr="001509EE">
        <w:rPr>
          <w:b/>
        </w:rPr>
        <w:t xml:space="preserve"> 11</w:t>
      </w:r>
    </w:p>
    <w:p w:rsidR="00B00D4E" w:rsidRPr="001509EE" w:rsidRDefault="00B00D4E">
      <w:pPr>
        <w:pStyle w:val="RKnormal"/>
        <w:rPr>
          <w:b/>
        </w:rPr>
      </w:pPr>
    </w:p>
    <w:p w:rsidR="00B00D4E" w:rsidRPr="001509EE" w:rsidRDefault="00B00D4E">
      <w:pPr>
        <w:pStyle w:val="RKnormal"/>
        <w:rPr>
          <w:b/>
        </w:rPr>
      </w:pPr>
      <w:r w:rsidRPr="001509EE">
        <w:rPr>
          <w:b/>
        </w:rPr>
        <w:t>Gemensamma kommittén</w:t>
      </w:r>
    </w:p>
    <w:p w:rsidR="00B00D4E" w:rsidRPr="001509EE" w:rsidRDefault="00B00D4E">
      <w:pPr>
        <w:pStyle w:val="RKnormal"/>
        <w:rPr>
          <w:b/>
        </w:rPr>
      </w:pPr>
      <w:r w:rsidRPr="001509EE">
        <w:rPr>
          <w:b/>
        </w:rPr>
        <w:t>Dagordningspunkt 4</w:t>
      </w:r>
    </w:p>
    <w:p w:rsidR="00DE7339" w:rsidRPr="001509EE" w:rsidRDefault="00DE7339">
      <w:pPr>
        <w:pStyle w:val="RKnormal"/>
      </w:pPr>
    </w:p>
    <w:p w:rsidR="009C3BE8" w:rsidRPr="001509EE" w:rsidRDefault="009C3BE8" w:rsidP="009C3BE8">
      <w:pPr>
        <w:ind w:left="567" w:hanging="567"/>
        <w:rPr>
          <w:b/>
        </w:rPr>
      </w:pPr>
      <w:r w:rsidRPr="001509EE">
        <w:rPr>
          <w:b/>
        </w:rPr>
        <w:t>Utkast till Europaparlamentets och rådets förordning om</w:t>
      </w:r>
    </w:p>
    <w:p w:rsidR="009C3BE8" w:rsidRPr="001509EE" w:rsidRDefault="009C3BE8" w:rsidP="009C3BE8">
      <w:pPr>
        <w:ind w:left="567" w:hanging="567"/>
        <w:rPr>
          <w:b/>
        </w:rPr>
      </w:pPr>
      <w:r w:rsidRPr="001509EE">
        <w:rPr>
          <w:b/>
        </w:rPr>
        <w:t>ändring av de gemensamma konsulära anvisningarna angående</w:t>
      </w:r>
    </w:p>
    <w:p w:rsidR="009C3BE8" w:rsidRPr="001509EE" w:rsidRDefault="009C3BE8" w:rsidP="009C3BE8">
      <w:pPr>
        <w:ind w:left="567" w:hanging="567"/>
        <w:rPr>
          <w:b/>
        </w:rPr>
      </w:pPr>
      <w:r w:rsidRPr="001509EE">
        <w:rPr>
          <w:b/>
        </w:rPr>
        <w:t>viseringar till diplomatiska beskickningar och karriärkonsulat i</w:t>
      </w:r>
    </w:p>
    <w:p w:rsidR="009C3BE8" w:rsidRPr="001509EE" w:rsidRDefault="009C3BE8" w:rsidP="009C3BE8">
      <w:pPr>
        <w:ind w:left="567" w:hanging="567"/>
        <w:rPr>
          <w:b/>
        </w:rPr>
      </w:pPr>
      <w:r w:rsidRPr="001509EE">
        <w:rPr>
          <w:b/>
        </w:rPr>
        <w:t>samband med införandet av biometri samt bestämmelser om hur</w:t>
      </w:r>
    </w:p>
    <w:p w:rsidR="009C3BE8" w:rsidRPr="001509EE" w:rsidRDefault="009C3BE8" w:rsidP="009C3BE8">
      <w:pPr>
        <w:ind w:left="567" w:hanging="567"/>
        <w:rPr>
          <w:b/>
        </w:rPr>
      </w:pPr>
      <w:r w:rsidRPr="001509EE">
        <w:rPr>
          <w:b/>
        </w:rPr>
        <w:t>viseringsansökningar ska tas emot och behandlas</w:t>
      </w:r>
    </w:p>
    <w:p w:rsidR="0085042C" w:rsidRPr="001509EE" w:rsidRDefault="0085042C">
      <w:pPr>
        <w:pStyle w:val="RKnormal"/>
      </w:pPr>
    </w:p>
    <w:p w:rsidR="00DE7339" w:rsidRPr="001509EE" w:rsidRDefault="00DE7339">
      <w:pPr>
        <w:pStyle w:val="RKnormal"/>
        <w:rPr>
          <w:b/>
        </w:rPr>
      </w:pPr>
      <w:r w:rsidRPr="001509EE">
        <w:rPr>
          <w:b/>
        </w:rPr>
        <w:t>Dokument:</w:t>
      </w:r>
    </w:p>
    <w:p w:rsidR="00DE7339" w:rsidRPr="001509EE" w:rsidRDefault="0085042C">
      <w:pPr>
        <w:pStyle w:val="RKnormal"/>
      </w:pPr>
      <w:r w:rsidRPr="001509EE">
        <w:t>1</w:t>
      </w:r>
      <w:r w:rsidR="000068FA" w:rsidRPr="001509EE">
        <w:t>5268</w:t>
      </w:r>
      <w:r w:rsidRPr="001509EE">
        <w:t>/0</w:t>
      </w:r>
      <w:r w:rsidR="000068FA" w:rsidRPr="001509EE">
        <w:t>7</w:t>
      </w:r>
      <w:r w:rsidRPr="001509EE">
        <w:t xml:space="preserve"> V</w:t>
      </w:r>
      <w:r w:rsidR="00C25493" w:rsidRPr="001509EE">
        <w:t>I</w:t>
      </w:r>
      <w:r w:rsidRPr="001509EE">
        <w:t>SA 3</w:t>
      </w:r>
      <w:r w:rsidR="000068FA" w:rsidRPr="001509EE">
        <w:t>51</w:t>
      </w:r>
      <w:r w:rsidRPr="001509EE">
        <w:t xml:space="preserve"> CODEC </w:t>
      </w:r>
      <w:r w:rsidR="000068FA" w:rsidRPr="001509EE">
        <w:t>1265</w:t>
      </w:r>
      <w:r w:rsidRPr="001509EE">
        <w:t xml:space="preserve"> COMIX </w:t>
      </w:r>
      <w:r w:rsidR="000068FA" w:rsidRPr="001509EE">
        <w:t>973</w:t>
      </w:r>
      <w:r w:rsidR="003933AE" w:rsidRPr="001509EE">
        <w:t xml:space="preserve"> (bifogas)</w:t>
      </w:r>
    </w:p>
    <w:p w:rsidR="0085042C" w:rsidRPr="001509EE" w:rsidRDefault="0085042C">
      <w:pPr>
        <w:pStyle w:val="RKnormal"/>
      </w:pPr>
    </w:p>
    <w:p w:rsidR="0085042C" w:rsidRPr="001509EE" w:rsidRDefault="00DE7339">
      <w:pPr>
        <w:pStyle w:val="RKnormal"/>
      </w:pPr>
      <w:r w:rsidRPr="001509EE">
        <w:rPr>
          <w:b/>
        </w:rPr>
        <w:t>Tidigare dokument:</w:t>
      </w:r>
      <w:r w:rsidR="0085042C" w:rsidRPr="001509EE">
        <w:t xml:space="preserve"> 10023/06 VISA 147 CODEC 573 COMIX 511 COM(2006)269 final</w:t>
      </w:r>
    </w:p>
    <w:p w:rsidR="0085042C" w:rsidRPr="001509EE" w:rsidRDefault="0085042C">
      <w:pPr>
        <w:pStyle w:val="RKnormal"/>
      </w:pPr>
    </w:p>
    <w:p w:rsidR="0085042C" w:rsidRPr="001509EE" w:rsidRDefault="00DE7339">
      <w:pPr>
        <w:pStyle w:val="RKnormal"/>
        <w:rPr>
          <w:b/>
        </w:rPr>
      </w:pPr>
      <w:r w:rsidRPr="001509EE">
        <w:rPr>
          <w:b/>
        </w:rPr>
        <w:t xml:space="preserve">Tidigare behandlad vid samråd med EU-nämnden: </w:t>
      </w:r>
      <w:r w:rsidR="0085042C" w:rsidRPr="001509EE">
        <w:rPr>
          <w:b/>
        </w:rPr>
        <w:t xml:space="preserve"> </w:t>
      </w:r>
    </w:p>
    <w:p w:rsidR="00DE7339" w:rsidRPr="001509EE" w:rsidRDefault="00C25493">
      <w:pPr>
        <w:pStyle w:val="RKnormal"/>
      </w:pPr>
      <w:r w:rsidRPr="001509EE">
        <w:t xml:space="preserve">Förslaget har </w:t>
      </w:r>
      <w:r w:rsidR="0085042C" w:rsidRPr="001509EE">
        <w:t>inte tidigare behandla</w:t>
      </w:r>
      <w:r w:rsidRPr="001509EE">
        <w:t>ts vid samråd.</w:t>
      </w:r>
      <w:r w:rsidR="003837A8" w:rsidRPr="001509EE">
        <w:t xml:space="preserve"> (Förslaget fanns med som eventuell dagordningspunkt inför RIF den 8-9 november men ströks från </w:t>
      </w:r>
      <w:r w:rsidR="003933AE" w:rsidRPr="001509EE">
        <w:t>dagordningen</w:t>
      </w:r>
      <w:r w:rsidR="003837A8" w:rsidRPr="001509EE">
        <w:t xml:space="preserve"> inför det rådsmötet)</w:t>
      </w:r>
    </w:p>
    <w:p w:rsidR="00DE7339" w:rsidRPr="001509EE" w:rsidRDefault="00DE7339">
      <w:pPr>
        <w:pStyle w:val="RKrubrik"/>
      </w:pPr>
      <w:r w:rsidRPr="001509EE">
        <w:t>Bakgrund</w:t>
      </w:r>
    </w:p>
    <w:p w:rsidR="002F695B" w:rsidRPr="001509EE" w:rsidRDefault="00F502FB" w:rsidP="002F695B">
      <w:r w:rsidRPr="001509EE">
        <w:t>Enligt förslaget till Europaparlamentets och rådets förordning om informationssystemet för viseringar (VIS</w:t>
      </w:r>
      <w:r w:rsidR="00C51733" w:rsidRPr="001509EE">
        <w:t>-förordningen</w:t>
      </w:r>
      <w:r w:rsidRPr="001509EE">
        <w:t xml:space="preserve">) och utbytet mellan medlemsstaterna av uppgifter om viseringar för kortare vistelse (KOM 2005 (835)) ska medlemsstaterna vid viseringsansökningar </w:t>
      </w:r>
      <w:r w:rsidR="001704BF" w:rsidRPr="001509EE">
        <w:t>ta upp</w:t>
      </w:r>
      <w:r w:rsidRPr="001509EE">
        <w:t xml:space="preserve"> biometriska uppgifter i form av fingeravtryck och </w:t>
      </w:r>
      <w:r w:rsidR="00A95B56" w:rsidRPr="001509EE">
        <w:t>ansikts</w:t>
      </w:r>
      <w:r w:rsidRPr="001509EE">
        <w:t>fotografier.</w:t>
      </w:r>
      <w:r w:rsidR="008628E1" w:rsidRPr="001509EE">
        <w:t xml:space="preserve"> VIS-förordningen förväntas </w:t>
      </w:r>
      <w:r w:rsidR="0006198F" w:rsidRPr="001509EE">
        <w:t>antas under vintern 2007-våren 2008</w:t>
      </w:r>
      <w:r w:rsidR="008628E1" w:rsidRPr="001509EE">
        <w:t>.</w:t>
      </w:r>
      <w:r w:rsidRPr="001509EE">
        <w:t xml:space="preserve"> </w:t>
      </w:r>
      <w:r w:rsidR="002F695B" w:rsidRPr="001509EE">
        <w:t xml:space="preserve">VIS </w:t>
      </w:r>
      <w:r w:rsidR="0006198F" w:rsidRPr="001509EE">
        <w:t>beräknas kunna</w:t>
      </w:r>
      <w:r w:rsidR="002F695B" w:rsidRPr="001509EE">
        <w:t xml:space="preserve"> driftsättas i april-maj 2009. </w:t>
      </w:r>
      <w:r w:rsidRPr="001509EE">
        <w:t xml:space="preserve">Syftet med </w:t>
      </w:r>
      <w:r w:rsidR="00D767BC" w:rsidRPr="001509EE">
        <w:t xml:space="preserve">det </w:t>
      </w:r>
      <w:r w:rsidR="002F695B" w:rsidRPr="001509EE">
        <w:t xml:space="preserve">här </w:t>
      </w:r>
      <w:r w:rsidR="00D767BC" w:rsidRPr="001509EE">
        <w:t xml:space="preserve">aktuella </w:t>
      </w:r>
      <w:r w:rsidRPr="001509EE">
        <w:t>förordning</w:t>
      </w:r>
      <w:r w:rsidR="00D767BC" w:rsidRPr="001509EE">
        <w:t>sförslaget</w:t>
      </w:r>
      <w:r w:rsidRPr="001509EE">
        <w:t xml:space="preserve"> om ändring av de gemensamma konsulära anvisningarna, KOM 2006(269), är </w:t>
      </w:r>
      <w:r w:rsidRPr="001509EE">
        <w:lastRenderedPageBreak/>
        <w:t xml:space="preserve">att </w:t>
      </w:r>
      <w:r w:rsidR="00A95B56" w:rsidRPr="001509EE">
        <w:t xml:space="preserve">under en övergångsperiod, innan förordningen om en gemensam viseringskodex antagits, </w:t>
      </w:r>
      <w:r w:rsidRPr="001509EE">
        <w:t xml:space="preserve">skapa en rättslig grund för </w:t>
      </w:r>
      <w:r w:rsidR="00A95B56" w:rsidRPr="001509EE">
        <w:t>upptagande av biometri i viseringsärenden</w:t>
      </w:r>
      <w:r w:rsidRPr="001509EE">
        <w:t>.</w:t>
      </w:r>
      <w:r w:rsidR="00C51733" w:rsidRPr="001509EE">
        <w:t xml:space="preserve"> </w:t>
      </w:r>
      <w:r w:rsidR="002F695B" w:rsidRPr="001509EE">
        <w:t xml:space="preserve">Eftersom en rättslig grund för insamlande av biometriska uppgifter är en förutsättning för att VIS ska kunna driftsättas är det nödvändigt att, i avvaktan på att en samlad gemenskapskodex gällande viseringar antas,  uppdatera de gemensamma konsulära anvisningarna separat. Förordningen om gemenskapskodex om viseringar väntas kunna antas först efter den tidpunkt då VIS ska vara i bruk. </w:t>
      </w:r>
    </w:p>
    <w:p w:rsidR="002F695B" w:rsidRPr="001509EE" w:rsidRDefault="002F695B" w:rsidP="002F695B"/>
    <w:p w:rsidR="00944ADC" w:rsidRPr="001509EE" w:rsidRDefault="00F502FB" w:rsidP="00944ADC">
      <w:pPr>
        <w:rPr>
          <w:rStyle w:val="RKnormalChar"/>
        </w:rPr>
      </w:pPr>
      <w:r w:rsidRPr="001509EE">
        <w:t xml:space="preserve">Det </w:t>
      </w:r>
      <w:r w:rsidR="000A1C2D" w:rsidRPr="001509EE">
        <w:t xml:space="preserve">ifrågavarande </w:t>
      </w:r>
      <w:r w:rsidRPr="001509EE">
        <w:t>förordningsförslaget</w:t>
      </w:r>
      <w:r w:rsidR="000A1C2D" w:rsidRPr="001509EE">
        <w:t>, liksom förslaget till förordning om en gemensam viseringskodex,</w:t>
      </w:r>
      <w:r w:rsidRPr="001509EE">
        <w:t xml:space="preserve"> </w:t>
      </w:r>
      <w:r w:rsidR="00A95B56" w:rsidRPr="001509EE">
        <w:t>innehåller även bestämmelser om organisationen</w:t>
      </w:r>
      <w:r w:rsidR="00C51733" w:rsidRPr="001509EE">
        <w:t xml:space="preserve"> av mottagandet och behandlingen av viserings</w:t>
      </w:r>
      <w:r w:rsidR="002F695B" w:rsidRPr="001509EE">
        <w:t>-</w:t>
      </w:r>
      <w:r w:rsidR="00C51733" w:rsidRPr="001509EE">
        <w:t xml:space="preserve">ansökningar. När medlemsstaterna organiserar </w:t>
      </w:r>
      <w:r w:rsidR="001704BF" w:rsidRPr="001509EE">
        <w:t>viseringsarbetet</w:t>
      </w:r>
      <w:r w:rsidR="00C51733" w:rsidRPr="001509EE">
        <w:t xml:space="preserve"> bör de ha möjlighet att samarbeta</w:t>
      </w:r>
      <w:r w:rsidR="00944ADC" w:rsidRPr="001509EE">
        <w:rPr>
          <w:rStyle w:val="RKnormalChar"/>
        </w:rPr>
        <w:t xml:space="preserve">, och även att inrätta gemensamma ansökningskontor, varvid hänsyn bör tas till de befintliga möjligheterna för en </w:t>
      </w:r>
      <w:r w:rsidR="000A1C2D" w:rsidRPr="001509EE">
        <w:rPr>
          <w:rStyle w:val="RKnormalChar"/>
        </w:rPr>
        <w:t xml:space="preserve">medlemsstat </w:t>
      </w:r>
      <w:r w:rsidR="00944ADC" w:rsidRPr="001509EE">
        <w:rPr>
          <w:rStyle w:val="RKnormalChar"/>
        </w:rPr>
        <w:t xml:space="preserve">att företräda en annan </w:t>
      </w:r>
      <w:r w:rsidR="000A1C2D" w:rsidRPr="001509EE">
        <w:rPr>
          <w:rStyle w:val="RKnormalChar"/>
        </w:rPr>
        <w:t>medlemsstat.</w:t>
      </w:r>
      <w:r w:rsidR="00944ADC" w:rsidRPr="001509EE">
        <w:rPr>
          <w:rStyle w:val="RKnormalChar"/>
        </w:rPr>
        <w:t xml:space="preserve"> Det kan finnas platser där gemensamma ansökningskontor inte lämpar sig på grund av det stora antalet ansökningar och där varje </w:t>
      </w:r>
      <w:r w:rsidR="000A1C2D" w:rsidRPr="001509EE">
        <w:rPr>
          <w:rStyle w:val="RKnormalChar"/>
        </w:rPr>
        <w:t>medlemsstat</w:t>
      </w:r>
      <w:r w:rsidR="00944ADC" w:rsidRPr="001509EE">
        <w:rPr>
          <w:rStyle w:val="RKnormalChar"/>
        </w:rPr>
        <w:t xml:space="preserve"> utrustar sitt eget konsulat. M</w:t>
      </w:r>
      <w:r w:rsidR="000A1C2D" w:rsidRPr="001509EE">
        <w:rPr>
          <w:rStyle w:val="RKnormalChar"/>
        </w:rPr>
        <w:t xml:space="preserve">edlemsstaterna </w:t>
      </w:r>
      <w:r w:rsidR="00944ADC" w:rsidRPr="001509EE">
        <w:rPr>
          <w:rStyle w:val="RKnormalChar"/>
        </w:rPr>
        <w:t xml:space="preserve">är inte tvingade att samarbeta och delta i de gemensamma ansökningskontoren. Det är upp till </w:t>
      </w:r>
      <w:r w:rsidR="000A1C2D" w:rsidRPr="001509EE">
        <w:rPr>
          <w:rStyle w:val="RKnormalChar"/>
        </w:rPr>
        <w:t>medlemsstaterna</w:t>
      </w:r>
      <w:r w:rsidR="00944ADC" w:rsidRPr="001509EE">
        <w:rPr>
          <w:rStyle w:val="RKnormalChar"/>
        </w:rPr>
        <w:t xml:space="preserve"> att själva komma fram till om de vill samarbeta och i vilken form detta ska ske. Om </w:t>
      </w:r>
      <w:r w:rsidR="000A1C2D" w:rsidRPr="001509EE">
        <w:rPr>
          <w:rStyle w:val="RKnormalChar"/>
        </w:rPr>
        <w:t>medlemsstaterna</w:t>
      </w:r>
      <w:r w:rsidR="00944ADC" w:rsidRPr="001509EE">
        <w:rPr>
          <w:rStyle w:val="RKnormalChar"/>
        </w:rPr>
        <w:t xml:space="preserve"> kommer fram till att de vill samarbeta, måste de dock använda sig av ett av de alternativ som de gemensamma konsulära anvisningarna definierar den rättsliga ramen för. M</w:t>
      </w:r>
      <w:r w:rsidR="000A1C2D" w:rsidRPr="001509EE">
        <w:rPr>
          <w:rStyle w:val="RKnormalChar"/>
        </w:rPr>
        <w:t>edlemsstaterna</w:t>
      </w:r>
      <w:r w:rsidR="00944ADC" w:rsidRPr="001509EE">
        <w:rPr>
          <w:rStyle w:val="RKnormalChar"/>
        </w:rPr>
        <w:t xml:space="preserve"> ska antingen utrusta sina utlandsmyndigheter med erforderlig utrustning för upptagning/insamling av biometriska uppgifter eller, utan att det påverkar tillämpningen av möjligheten att företrädas av andra </w:t>
      </w:r>
      <w:r w:rsidR="000A1C2D" w:rsidRPr="001509EE">
        <w:rPr>
          <w:rStyle w:val="RKnormalChar"/>
        </w:rPr>
        <w:t>medlemsstater</w:t>
      </w:r>
      <w:r w:rsidR="00944ADC" w:rsidRPr="001509EE">
        <w:rPr>
          <w:rStyle w:val="RKnormalChar"/>
        </w:rPr>
        <w:t xml:space="preserve">, besluta att samarbeta med en eller flera andra </w:t>
      </w:r>
      <w:r w:rsidR="000A1C2D" w:rsidRPr="001509EE">
        <w:rPr>
          <w:rStyle w:val="RKnormalChar"/>
        </w:rPr>
        <w:t>medlemsstater</w:t>
      </w:r>
      <w:r w:rsidR="00944ADC" w:rsidRPr="001509EE">
        <w:rPr>
          <w:rStyle w:val="RKnormalChar"/>
        </w:rPr>
        <w:t>. Allt samarbete ska antingen ske genom samlokalisering, inrättandet av gemensamma ansökningskontor eller samarbete med externa tjänsteleverantörer.</w:t>
      </w:r>
    </w:p>
    <w:p w:rsidR="00DE7339" w:rsidRPr="001509EE" w:rsidRDefault="00DE7339">
      <w:pPr>
        <w:pStyle w:val="RKrubrik"/>
      </w:pPr>
      <w:r w:rsidRPr="001509EE">
        <w:t>Rättslig grund och beslutsförfarande</w:t>
      </w:r>
    </w:p>
    <w:p w:rsidR="00E5772A" w:rsidRPr="001509EE" w:rsidRDefault="00E5772A" w:rsidP="00E5772A">
      <w:r w:rsidRPr="001509EE">
        <w:t>Artikel 62.2 b ii i EG-fördraget. Detta innebär medbeslutande för Europaparlamentet och att beslutet i rådet fattas med kvalificerad majoritet.</w:t>
      </w:r>
    </w:p>
    <w:p w:rsidR="00DE7339" w:rsidRPr="001509EE" w:rsidRDefault="00DE7339">
      <w:pPr>
        <w:pStyle w:val="RKrubrik"/>
        <w:rPr>
          <w:i/>
          <w:iCs/>
        </w:rPr>
      </w:pPr>
      <w:r w:rsidRPr="001509EE">
        <w:rPr>
          <w:i/>
          <w:iCs/>
        </w:rPr>
        <w:t>Svensk ståndpunkt</w:t>
      </w:r>
    </w:p>
    <w:p w:rsidR="004E3E62" w:rsidRPr="001509EE" w:rsidRDefault="00B237FD" w:rsidP="004E3E62">
      <w:r w:rsidRPr="001509EE">
        <w:t>S</w:t>
      </w:r>
      <w:r w:rsidR="003933AE" w:rsidRPr="001509EE">
        <w:t>verige</w:t>
      </w:r>
      <w:r w:rsidR="00255F0E" w:rsidRPr="001509EE">
        <w:t xml:space="preserve"> är </w:t>
      </w:r>
      <w:r w:rsidR="004E3E62" w:rsidRPr="001509EE">
        <w:t xml:space="preserve">generellt </w:t>
      </w:r>
      <w:r w:rsidR="00255F0E" w:rsidRPr="001509EE">
        <w:t xml:space="preserve">positivt inställd till förslaget. Med hänsyn till de specifika särdrag som utmärker biometriska uppgifter och de allvarliga konsekvenser felaktig användning av uppgifterna kan innebära för den enskilde, måste emellertid noggranna överväganden göras inför eventuellt </w:t>
      </w:r>
      <w:r w:rsidRPr="001509EE">
        <w:t>samarbete med</w:t>
      </w:r>
      <w:r w:rsidR="00255F0E" w:rsidRPr="001509EE">
        <w:t xml:space="preserve"> externa tjänsteleverantörer</w:t>
      </w:r>
      <w:r w:rsidR="00255F0E" w:rsidRPr="001509EE">
        <w:rPr>
          <w:szCs w:val="24"/>
        </w:rPr>
        <w:t>.</w:t>
      </w:r>
      <w:r w:rsidR="00290D64" w:rsidRPr="001509EE">
        <w:rPr>
          <w:rFonts w:cs="Helv"/>
          <w:iCs/>
          <w:color w:val="000000"/>
          <w:szCs w:val="24"/>
        </w:rPr>
        <w:t xml:space="preserve"> </w:t>
      </w:r>
      <w:r w:rsidR="004E3E62" w:rsidRPr="001509EE">
        <w:t xml:space="preserve">Vissa delar av förslaget som rör ärendehantering och organisation vid utlandsmyndigheter </w:t>
      </w:r>
      <w:r w:rsidR="001704BF" w:rsidRPr="001509EE">
        <w:t>innehåller nya moment som kan ge upphov till mer</w:t>
      </w:r>
      <w:r w:rsidR="004E3E62" w:rsidRPr="001509EE">
        <w:t xml:space="preserve">kostnader. Det behövs </w:t>
      </w:r>
      <w:r w:rsidR="001704BF" w:rsidRPr="001509EE">
        <w:t xml:space="preserve">sannolikt </w:t>
      </w:r>
      <w:r w:rsidR="004E3E62" w:rsidRPr="001509EE">
        <w:t xml:space="preserve">förenklingar i syfte att uppnå kostnadseffektiva lösningar. </w:t>
      </w:r>
    </w:p>
    <w:p w:rsidR="00DE7339" w:rsidRPr="001509EE" w:rsidRDefault="00DE7339">
      <w:pPr>
        <w:pStyle w:val="RKrubrik"/>
      </w:pPr>
      <w:r w:rsidRPr="001509EE">
        <w:t>Europaparlamentets inställning</w:t>
      </w:r>
    </w:p>
    <w:p w:rsidR="008401AA" w:rsidRPr="001509EE" w:rsidRDefault="008401AA" w:rsidP="008401AA">
      <w:pPr>
        <w:rPr>
          <w:szCs w:val="19"/>
        </w:rPr>
      </w:pPr>
      <w:r w:rsidRPr="001509EE">
        <w:rPr>
          <w:szCs w:val="19"/>
        </w:rPr>
        <w:t xml:space="preserve">Europaparlamentet har ännu inte yttrat sig. </w:t>
      </w:r>
    </w:p>
    <w:p w:rsidR="00DE7339" w:rsidRPr="001509EE" w:rsidRDefault="00DE7339">
      <w:pPr>
        <w:pStyle w:val="RKrubrik"/>
        <w:rPr>
          <w:i/>
          <w:iCs/>
        </w:rPr>
      </w:pPr>
      <w:r w:rsidRPr="001509EE">
        <w:rPr>
          <w:i/>
          <w:iCs/>
        </w:rPr>
        <w:t>Förslaget</w:t>
      </w:r>
    </w:p>
    <w:p w:rsidR="00CD24EB" w:rsidRPr="001509EE" w:rsidRDefault="00CD24EB" w:rsidP="00CD24EB">
      <w:r w:rsidRPr="001509EE">
        <w:t xml:space="preserve">De gemensamma konsulära anvisningarna är för närvarande det grundläggande instrument som reglerar förfaranden och villkor för utfärdande av viseringar. Vissa principer följer också av Schengenkonventionen och ett antal bestämmelser förekommer i andra särskilda beslut. Med anledning av bl.a. inrättandet av VIS pågår ett arbete med att sammanföra alla dessa  instrument som gäller viseringar i en samlad gemenskapskod. Kommissionen har presenterat ett förslag till förordning om införande av en gemenskapskodex om viseringar (KOM 2006(403)). </w:t>
      </w:r>
    </w:p>
    <w:p w:rsidR="00CD24EB" w:rsidRPr="001509EE" w:rsidRDefault="00CD24EB" w:rsidP="00CD24EB"/>
    <w:p w:rsidR="007752F2" w:rsidRPr="001509EE" w:rsidRDefault="00CD24EB" w:rsidP="007752F2">
      <w:r w:rsidRPr="001509EE">
        <w:t>Det här aktuella f</w:t>
      </w:r>
      <w:r w:rsidR="007752F2" w:rsidRPr="001509EE">
        <w:t>örordningsförslaget innehåller vissa förändringar av de gemensamma konsulära anvisningarna angående viseringar till diplomatiska  beskickningar och karriärkonsulat.</w:t>
      </w:r>
      <w:r w:rsidRPr="001509EE">
        <w:t xml:space="preserve"> </w:t>
      </w:r>
      <w:r w:rsidR="007752F2" w:rsidRPr="001509EE">
        <w:t xml:space="preserve">Det föreskrivs att medlemsstaterna är skyldiga att samla in biometriska uppgifter som en del av </w:t>
      </w:r>
      <w:r w:rsidR="001704BF" w:rsidRPr="001509EE">
        <w:t>handläggningen av viseringsansökningar</w:t>
      </w:r>
      <w:r w:rsidR="007752F2" w:rsidRPr="001509EE">
        <w:t xml:space="preserve">. Förordningsförslaget innehåller även närmare bestämmelser kring </w:t>
      </w:r>
      <w:r w:rsidR="001704BF" w:rsidRPr="001509EE">
        <w:t>upptagandet</w:t>
      </w:r>
      <w:r w:rsidR="007752F2" w:rsidRPr="001509EE">
        <w:t xml:space="preserve"> av de biometriska uppgifterna, bl.a. gällande behörig personal och undantag från kravet att lämna biometriska uppgifter.</w:t>
      </w:r>
      <w:r w:rsidRPr="001509EE">
        <w:t xml:space="preserve"> </w:t>
      </w:r>
      <w:r w:rsidR="007752F2" w:rsidRPr="001509EE">
        <w:t xml:space="preserve">Det föreslås vidare att varje medlemsstat ska ansvara för hur mottagandet och </w:t>
      </w:r>
      <w:r w:rsidR="001704BF" w:rsidRPr="001509EE">
        <w:t>handläggningen</w:t>
      </w:r>
      <w:r w:rsidR="007752F2" w:rsidRPr="001509EE">
        <w:t xml:space="preserve"> av viseringsansökningar organiseras. Medlemsstaterna ska antingen utrusta sina beskickningar med erforderlig utrustning för upptagning och insamling av biometriska uppgifter eller besluta att samarbeta med en eller flera andra medlemsstater. Kommissionen föreslår att allt samarbete ska </w:t>
      </w:r>
      <w:r w:rsidR="001704BF" w:rsidRPr="001509EE">
        <w:t xml:space="preserve">ske i </w:t>
      </w:r>
      <w:r w:rsidR="007752F2" w:rsidRPr="001509EE">
        <w:t xml:space="preserve">form av antingen </w:t>
      </w:r>
      <w:r w:rsidR="007752F2" w:rsidRPr="001509EE">
        <w:rPr>
          <w:i/>
        </w:rPr>
        <w:t>samlokalisering</w:t>
      </w:r>
      <w:r w:rsidR="007752F2" w:rsidRPr="001509EE">
        <w:t xml:space="preserve">, </w:t>
      </w:r>
      <w:r w:rsidR="007752F2" w:rsidRPr="001509EE">
        <w:rPr>
          <w:i/>
        </w:rPr>
        <w:t>inrättande av gemensam</w:t>
      </w:r>
      <w:r w:rsidRPr="001509EE">
        <w:rPr>
          <w:i/>
        </w:rPr>
        <w:t>ma</w:t>
      </w:r>
      <w:r w:rsidR="007752F2" w:rsidRPr="001509EE">
        <w:rPr>
          <w:i/>
        </w:rPr>
        <w:t xml:space="preserve"> ansökningskontor</w:t>
      </w:r>
      <w:r w:rsidR="007752F2" w:rsidRPr="001509EE">
        <w:t xml:space="preserve"> eller </w:t>
      </w:r>
      <w:r w:rsidR="007752F2" w:rsidRPr="001509EE">
        <w:rPr>
          <w:i/>
        </w:rPr>
        <w:t>samarbete med externa tjänsteleverantörer.</w:t>
      </w:r>
      <w:r w:rsidR="007752F2" w:rsidRPr="001509EE">
        <w:t xml:space="preserve"> Samlokalisering innebär att personal från en eller flera medlemsstaters diplomatiska och konsulära beskickningar </w:t>
      </w:r>
      <w:r w:rsidR="001704BF" w:rsidRPr="001509EE">
        <w:t>handlägger</w:t>
      </w:r>
      <w:r w:rsidR="007752F2" w:rsidRPr="001509EE">
        <w:t xml:space="preserve"> viseringsansökningarna som lämnats in till dem på en annan medlemsstats diplomatiska eller konsulära beskickning och delar utrustningen med denna medlemsstat. Vid inrättande av ett gemensamt ansökningskontor sammanförs personal från två eller flera medlemsstaters diplomatiska och konsulära beskickningar i en byggnad där de tar emot de viseringsansökningar som är avsedda för dem. Om det av skäl som beror på beskickningens lokala situation inte är lämpligt att utrusta det för upptagning och insamling av biometriska uppgifter eller att ordna med samlokalisering eller ett gemensamt ansökningskontor kan en eller flera medlems</w:t>
      </w:r>
      <w:r w:rsidR="007752F2" w:rsidRPr="001509EE">
        <w:softHyphen/>
        <w:t>stater gemensamt samarbeta med en extern tjänsteleverantör när det gäller mottagandet av viseringsansökningar. I så fall ska berörd medlemsstat fortsatt ansvara för efterlevnaden av uppgiftsskydds</w:t>
      </w:r>
      <w:r w:rsidR="007752F2" w:rsidRPr="001509EE">
        <w:softHyphen/>
        <w:t xml:space="preserve">reglerna vid behandlingen av viseringsansökningarna. Samarbetet med externa tjänsteleverantörer ska enligt förordningsförslaget utformas på ett av följande sätt: </w:t>
      </w:r>
      <w:r w:rsidR="002E6911" w:rsidRPr="001509EE">
        <w:t>a</w:t>
      </w:r>
      <w:r w:rsidR="007752F2" w:rsidRPr="001509EE">
        <w:t xml:space="preserve">ntingen fungerar den externa tjänsteleverantören som en teletjänstcentral som ger allmän information om kraven för att ansöka om visering och ansvarar för tidsbeställning. Alternativt ger den externa tjänsteleverantören allmän information om kraven för att ansöka om visering, samlar in ansökningar, styrkande handlingar och biometriska uppgifter från de sökande samt tar emot </w:t>
      </w:r>
      <w:r w:rsidR="001704BF" w:rsidRPr="001509EE">
        <w:t>viseringsav</w:t>
      </w:r>
      <w:r w:rsidR="007752F2" w:rsidRPr="001509EE">
        <w:t>giften och överför ifyllda akter och uppgifter till den medlemsstats beskickning som är behörig att behandla ansökan. Medlemsstaterna är skyldiga att välja en extern tjänsteleverantör som är i stånd att vidta alla tekniska och organisatoriska säkerhets</w:t>
      </w:r>
      <w:r w:rsidR="007752F2" w:rsidRPr="001509EE">
        <w:softHyphen/>
        <w:t>åtgärder som begärs av medlemsstaterna för att skydda personuppgifter. Externa tjänsteleverantörer får inte ha tillgång till VIS.</w:t>
      </w:r>
    </w:p>
    <w:p w:rsidR="00DE7339" w:rsidRPr="001509EE" w:rsidRDefault="00DE7339">
      <w:pPr>
        <w:pStyle w:val="RKrubrik"/>
        <w:rPr>
          <w:i/>
          <w:iCs/>
        </w:rPr>
      </w:pPr>
      <w:r w:rsidRPr="001509EE">
        <w:rPr>
          <w:i/>
          <w:iCs/>
        </w:rPr>
        <w:t>Gällande svenska regler och förslagets effekter på dessa</w:t>
      </w:r>
    </w:p>
    <w:p w:rsidR="00943795" w:rsidRPr="001509EE" w:rsidRDefault="00943795" w:rsidP="00943795">
      <w:r w:rsidRPr="001509EE">
        <w:t>Förslaget innehåller bl.a. bestämmelser som berör skydd för personuppgifter och lagring av dessa, sekretess, handläggning av viseringsansökningar samt upptagande av biometriska uppgifter. Dessutom berörs vissa bestämmelser om viseringar i utlännings</w:t>
      </w:r>
      <w:r w:rsidR="00D81C9B" w:rsidRPr="001509EE">
        <w:t>författningar</w:t>
      </w:r>
      <w:r w:rsidRPr="001509EE">
        <w:t xml:space="preserve">. Ett genomförande av skyldigheterna enligt förordningen </w:t>
      </w:r>
      <w:r w:rsidR="00107C38" w:rsidRPr="001509EE">
        <w:t xml:space="preserve">kan komma att </w:t>
      </w:r>
      <w:r w:rsidRPr="001509EE">
        <w:t>kräv</w:t>
      </w:r>
      <w:r w:rsidR="00107C38" w:rsidRPr="001509EE">
        <w:t>a</w:t>
      </w:r>
      <w:r w:rsidRPr="001509EE">
        <w:t xml:space="preserve"> kompletterande </w:t>
      </w:r>
      <w:r w:rsidR="00D81C9B" w:rsidRPr="001509EE">
        <w:t>författningsändringar</w:t>
      </w:r>
      <w:r w:rsidRPr="001509EE">
        <w:t xml:space="preserve"> i Sverige.</w:t>
      </w:r>
    </w:p>
    <w:p w:rsidR="00DE7339" w:rsidRPr="001509EE" w:rsidRDefault="00DE7339">
      <w:pPr>
        <w:pStyle w:val="RKrubrik"/>
      </w:pPr>
      <w:r w:rsidRPr="001509EE">
        <w:t>Ekonomiska konsekvenser</w:t>
      </w:r>
    </w:p>
    <w:p w:rsidR="008B061C" w:rsidRPr="001509EE" w:rsidRDefault="008B061C" w:rsidP="008B061C">
      <w:r w:rsidRPr="001509EE">
        <w:t xml:space="preserve">Förslaget påverkar inte gemenskapens budget. Ett införande av förslagets bestämmelser kommer </w:t>
      </w:r>
      <w:r w:rsidR="001704BF" w:rsidRPr="001509EE">
        <w:t>att</w:t>
      </w:r>
      <w:r w:rsidRPr="001509EE">
        <w:t xml:space="preserve"> medföra vissa ökade kostnader för statsbudgeten. </w:t>
      </w:r>
      <w:r w:rsidR="00AA7A67" w:rsidRPr="001509EE">
        <w:t>Omfattningen av eventuella merkostnader beror på den slutliga utformningen av regelverket där flera alternativa lösningar bl.a. vad gäller hanteringen av viseringar vid utlandsmyndigheter kan vara aktuella.</w:t>
      </w:r>
    </w:p>
    <w:p w:rsidR="00DE7339" w:rsidRPr="001509EE" w:rsidRDefault="00DE7339">
      <w:pPr>
        <w:pStyle w:val="RKrubrik"/>
      </w:pPr>
      <w:r w:rsidRPr="001509EE">
        <w:t>Övrigt</w:t>
      </w:r>
    </w:p>
    <w:p w:rsidR="00DE7339" w:rsidRPr="001509EE" w:rsidRDefault="00386221">
      <w:pPr>
        <w:pStyle w:val="RKnormal"/>
      </w:pPr>
      <w:r w:rsidRPr="001509EE">
        <w:t>En första genoml</w:t>
      </w:r>
      <w:r w:rsidR="001704BF" w:rsidRPr="001509EE">
        <w:t>ä</w:t>
      </w:r>
      <w:r w:rsidRPr="001509EE">
        <w:t>sning av f</w:t>
      </w:r>
      <w:r w:rsidR="00731AB1" w:rsidRPr="001509EE">
        <w:t xml:space="preserve">örslaget </w:t>
      </w:r>
      <w:r w:rsidRPr="001509EE">
        <w:t xml:space="preserve">sker i rådsarbetsgruppen för viseringsfrågor. Behandlingen förväntas pågå under </w:t>
      </w:r>
      <w:r w:rsidR="00731AB1" w:rsidRPr="001509EE">
        <w:t>det portugisiska ordförandeskapet hösten 2007</w:t>
      </w:r>
      <w:r w:rsidR="00CD24EB" w:rsidRPr="001509EE">
        <w:t>.</w:t>
      </w:r>
      <w:r w:rsidR="00270B7E" w:rsidRPr="001509EE">
        <w:t xml:space="preserve"> Europaparlamentet förväntas avge sitt yttrande över förslaget i </w:t>
      </w:r>
      <w:r w:rsidR="003837A8" w:rsidRPr="001509EE">
        <w:t xml:space="preserve">slutet av </w:t>
      </w:r>
      <w:r w:rsidR="00270B7E" w:rsidRPr="001509EE">
        <w:t>november 2007.</w:t>
      </w:r>
    </w:p>
    <w:p w:rsidR="00DE7339" w:rsidRPr="001509EE" w:rsidRDefault="00DE7339">
      <w:pPr>
        <w:pStyle w:val="RKnormal"/>
        <w:rPr>
          <w:i/>
          <w:iCs/>
        </w:rPr>
      </w:pPr>
    </w:p>
    <w:p w:rsidR="00DE7339" w:rsidRPr="001509EE" w:rsidRDefault="00DE7339">
      <w:pPr>
        <w:pStyle w:val="RKnormal"/>
        <w:ind w:left="-1134"/>
      </w:pPr>
    </w:p>
    <w:p w:rsidR="00DE7339" w:rsidRPr="001509EE" w:rsidRDefault="00DE7339">
      <w:pPr>
        <w:pStyle w:val="RKrubrik"/>
        <w:spacing w:before="0" w:after="0"/>
      </w:pPr>
    </w:p>
    <w:p w:rsidR="00DE7339" w:rsidRPr="001509EE" w:rsidRDefault="00DE7339">
      <w:pPr>
        <w:pStyle w:val="RKnormal"/>
      </w:pPr>
    </w:p>
    <w:p w:rsidR="00DE7339" w:rsidRPr="001509EE" w:rsidRDefault="00DE7339">
      <w:pPr>
        <w:pStyle w:val="RKnormal"/>
      </w:pPr>
    </w:p>
    <w:sectPr w:rsidR="00DE7339" w:rsidRPr="001509E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14F" w:rsidRPr="001509EE" w:rsidRDefault="00BD714F">
      <w:r w:rsidRPr="001509EE">
        <w:separator/>
      </w:r>
    </w:p>
  </w:endnote>
  <w:endnote w:type="continuationSeparator" w:id="0">
    <w:p w:rsidR="00BD714F" w:rsidRPr="001509EE" w:rsidRDefault="00BD714F">
      <w:r w:rsidRPr="001509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14F" w:rsidRPr="001509EE" w:rsidRDefault="00BD714F">
      <w:r w:rsidRPr="001509EE">
        <w:separator/>
      </w:r>
    </w:p>
  </w:footnote>
  <w:footnote w:type="continuationSeparator" w:id="0">
    <w:p w:rsidR="00BD714F" w:rsidRPr="001509EE" w:rsidRDefault="00BD714F">
      <w:r w:rsidRPr="001509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E8" w:rsidRPr="001509EE" w:rsidRDefault="009C3BE8">
    <w:pPr>
      <w:pStyle w:val="Sidhuvud"/>
      <w:framePr w:wrap="around" w:vAnchor="text" w:hAnchor="margin" w:xAlign="right" w:y="1"/>
      <w:rPr>
        <w:rStyle w:val="Sidnummer"/>
      </w:rPr>
    </w:pPr>
    <w:r w:rsidRPr="001509EE">
      <w:rPr>
        <w:rStyle w:val="Sidnummer"/>
      </w:rPr>
      <w:fldChar w:fldCharType="begin" w:fldLock="1"/>
    </w:r>
    <w:r w:rsidRPr="001509EE">
      <w:rPr>
        <w:rStyle w:val="Sidnummer"/>
      </w:rPr>
      <w:instrText xml:space="preserve">PAGE  </w:instrText>
    </w:r>
    <w:r w:rsidRPr="001509EE">
      <w:rPr>
        <w:rStyle w:val="Sidnummer"/>
      </w:rPr>
      <w:fldChar w:fldCharType="separate"/>
    </w:r>
    <w:r w:rsidR="003933AE" w:rsidRPr="001509EE">
      <w:rPr>
        <w:rStyle w:val="Sidnummer"/>
      </w:rPr>
      <w:t>2</w:t>
    </w:r>
    <w:r w:rsidRPr="001509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3BE8" w:rsidRPr="001509EE">
      <w:tblPrEx>
        <w:tblCellMar>
          <w:top w:w="0" w:type="dxa"/>
          <w:bottom w:w="0" w:type="dxa"/>
        </w:tblCellMar>
      </w:tblPrEx>
      <w:trPr>
        <w:cantSplit/>
      </w:trPr>
      <w:tc>
        <w:tcPr>
          <w:tcW w:w="3119" w:type="dxa"/>
        </w:tcPr>
        <w:p w:rsidR="009C3BE8" w:rsidRPr="001509EE" w:rsidRDefault="009C3BE8">
          <w:pPr>
            <w:pStyle w:val="Sidhuvud"/>
            <w:spacing w:line="200" w:lineRule="atLeast"/>
            <w:ind w:right="357"/>
            <w:rPr>
              <w:rFonts w:ascii="TradeGothic" w:hAnsi="TradeGothic"/>
              <w:b/>
              <w:bCs/>
              <w:sz w:val="16"/>
            </w:rPr>
          </w:pPr>
        </w:p>
      </w:tc>
      <w:tc>
        <w:tcPr>
          <w:tcW w:w="4111" w:type="dxa"/>
          <w:tcMar>
            <w:left w:w="567" w:type="dxa"/>
          </w:tcMar>
        </w:tcPr>
        <w:p w:rsidR="009C3BE8" w:rsidRPr="001509EE" w:rsidRDefault="009C3BE8">
          <w:pPr>
            <w:pStyle w:val="Sidhuvud"/>
            <w:ind w:right="360"/>
          </w:pPr>
        </w:p>
      </w:tc>
      <w:tc>
        <w:tcPr>
          <w:tcW w:w="1525" w:type="dxa"/>
        </w:tcPr>
        <w:p w:rsidR="009C3BE8" w:rsidRPr="001509EE" w:rsidRDefault="009C3BE8">
          <w:pPr>
            <w:pStyle w:val="Sidhuvud"/>
            <w:ind w:right="360"/>
          </w:pPr>
        </w:p>
      </w:tc>
    </w:tr>
  </w:tbl>
  <w:p w:rsidR="009C3BE8" w:rsidRPr="001509EE" w:rsidRDefault="009C3BE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E8" w:rsidRPr="001509EE" w:rsidRDefault="009C3BE8">
    <w:pPr>
      <w:pStyle w:val="Sidhuvud"/>
      <w:framePr w:wrap="around" w:vAnchor="text" w:hAnchor="margin" w:xAlign="right" w:y="1"/>
      <w:rPr>
        <w:rStyle w:val="Sidnummer"/>
      </w:rPr>
    </w:pPr>
    <w:r w:rsidRPr="001509EE">
      <w:rPr>
        <w:rStyle w:val="Sidnummer"/>
      </w:rPr>
      <w:fldChar w:fldCharType="begin" w:fldLock="1"/>
    </w:r>
    <w:r w:rsidRPr="001509EE">
      <w:rPr>
        <w:rStyle w:val="Sidnummer"/>
      </w:rPr>
      <w:instrText xml:space="preserve">PAGE  </w:instrText>
    </w:r>
    <w:r w:rsidRPr="001509EE">
      <w:rPr>
        <w:rStyle w:val="Sidnummer"/>
      </w:rPr>
      <w:fldChar w:fldCharType="separate"/>
    </w:r>
    <w:r w:rsidR="003933AE" w:rsidRPr="001509EE">
      <w:rPr>
        <w:rStyle w:val="Sidnummer"/>
      </w:rPr>
      <w:t>3</w:t>
    </w:r>
    <w:r w:rsidRPr="001509E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C3BE8" w:rsidRPr="001509EE">
      <w:tblPrEx>
        <w:tblCellMar>
          <w:top w:w="0" w:type="dxa"/>
          <w:bottom w:w="0" w:type="dxa"/>
        </w:tblCellMar>
      </w:tblPrEx>
      <w:trPr>
        <w:cantSplit/>
      </w:trPr>
      <w:tc>
        <w:tcPr>
          <w:tcW w:w="3119" w:type="dxa"/>
        </w:tcPr>
        <w:p w:rsidR="009C3BE8" w:rsidRPr="001509EE" w:rsidRDefault="009C3BE8">
          <w:pPr>
            <w:pStyle w:val="Sidhuvud"/>
            <w:spacing w:line="200" w:lineRule="atLeast"/>
            <w:ind w:right="357"/>
            <w:rPr>
              <w:rFonts w:ascii="TradeGothic" w:hAnsi="TradeGothic"/>
              <w:b/>
              <w:bCs/>
              <w:sz w:val="16"/>
            </w:rPr>
          </w:pPr>
        </w:p>
      </w:tc>
      <w:tc>
        <w:tcPr>
          <w:tcW w:w="4111" w:type="dxa"/>
          <w:tcMar>
            <w:left w:w="567" w:type="dxa"/>
          </w:tcMar>
        </w:tcPr>
        <w:p w:rsidR="009C3BE8" w:rsidRPr="001509EE" w:rsidRDefault="009C3BE8">
          <w:pPr>
            <w:pStyle w:val="Sidhuvud"/>
            <w:ind w:right="360"/>
          </w:pPr>
        </w:p>
      </w:tc>
      <w:tc>
        <w:tcPr>
          <w:tcW w:w="1525" w:type="dxa"/>
        </w:tcPr>
        <w:p w:rsidR="009C3BE8" w:rsidRPr="001509EE" w:rsidRDefault="009C3BE8">
          <w:pPr>
            <w:pStyle w:val="Sidhuvud"/>
            <w:ind w:right="360"/>
          </w:pPr>
        </w:p>
      </w:tc>
    </w:tr>
  </w:tbl>
  <w:p w:rsidR="009C3BE8" w:rsidRPr="001509EE" w:rsidRDefault="009C3BE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BE8" w:rsidRPr="001509EE" w:rsidRDefault="001509EE">
    <w:pPr>
      <w:framePr w:w="2948" w:h="1321" w:hRule="exact" w:wrap="notBeside" w:vAnchor="page" w:hAnchor="page" w:x="1362" w:y="653"/>
    </w:pPr>
    <w:r w:rsidRPr="001509E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C3BE8" w:rsidRPr="001509EE" w:rsidRDefault="009C3BE8">
    <w:pPr>
      <w:pStyle w:val="RKrubrik"/>
      <w:keepNext w:val="0"/>
      <w:tabs>
        <w:tab w:val="clear" w:pos="1134"/>
        <w:tab w:val="clear" w:pos="2835"/>
      </w:tabs>
      <w:spacing w:before="0" w:after="0" w:line="320" w:lineRule="atLeast"/>
      <w:rPr>
        <w:bCs/>
      </w:rPr>
    </w:pPr>
  </w:p>
  <w:p w:rsidR="009C3BE8" w:rsidRPr="001509EE" w:rsidRDefault="009C3BE8">
    <w:pPr>
      <w:rPr>
        <w:rFonts w:ascii="TradeGothic" w:hAnsi="TradeGothic"/>
        <w:b/>
        <w:bCs/>
        <w:spacing w:val="12"/>
        <w:sz w:val="22"/>
      </w:rPr>
    </w:pPr>
  </w:p>
  <w:p w:rsidR="009C3BE8" w:rsidRPr="001509EE" w:rsidRDefault="009C3BE8">
    <w:pPr>
      <w:pStyle w:val="RKrubrik"/>
      <w:keepNext w:val="0"/>
      <w:tabs>
        <w:tab w:val="clear" w:pos="1134"/>
        <w:tab w:val="clear" w:pos="2835"/>
      </w:tabs>
      <w:spacing w:before="0" w:after="0" w:line="320" w:lineRule="atLeast"/>
      <w:rPr>
        <w:bCs/>
      </w:rPr>
    </w:pPr>
  </w:p>
  <w:p w:rsidR="009C3BE8" w:rsidRPr="001509EE" w:rsidRDefault="009C3BE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068FA"/>
    <w:rsid w:val="0006198F"/>
    <w:rsid w:val="00065A59"/>
    <w:rsid w:val="000A1C2D"/>
    <w:rsid w:val="00107C38"/>
    <w:rsid w:val="00114C64"/>
    <w:rsid w:val="001509EE"/>
    <w:rsid w:val="001704BF"/>
    <w:rsid w:val="001E796B"/>
    <w:rsid w:val="0021318E"/>
    <w:rsid w:val="002235F9"/>
    <w:rsid w:val="00243ED6"/>
    <w:rsid w:val="002477A0"/>
    <w:rsid w:val="00255F0E"/>
    <w:rsid w:val="00270B7E"/>
    <w:rsid w:val="00290D64"/>
    <w:rsid w:val="002E6911"/>
    <w:rsid w:val="002F695B"/>
    <w:rsid w:val="00304354"/>
    <w:rsid w:val="00352ACA"/>
    <w:rsid w:val="00364933"/>
    <w:rsid w:val="003837A8"/>
    <w:rsid w:val="00386221"/>
    <w:rsid w:val="003933AE"/>
    <w:rsid w:val="00395185"/>
    <w:rsid w:val="003F338A"/>
    <w:rsid w:val="003F4B14"/>
    <w:rsid w:val="004140DA"/>
    <w:rsid w:val="00465FC2"/>
    <w:rsid w:val="004C2C07"/>
    <w:rsid w:val="004E3E62"/>
    <w:rsid w:val="005438D9"/>
    <w:rsid w:val="0055282E"/>
    <w:rsid w:val="00553237"/>
    <w:rsid w:val="005E2444"/>
    <w:rsid w:val="006976BA"/>
    <w:rsid w:val="006F275A"/>
    <w:rsid w:val="007001EF"/>
    <w:rsid w:val="00731AB1"/>
    <w:rsid w:val="007752F2"/>
    <w:rsid w:val="008401AA"/>
    <w:rsid w:val="008455B0"/>
    <w:rsid w:val="0085042C"/>
    <w:rsid w:val="008628E1"/>
    <w:rsid w:val="00897DFE"/>
    <w:rsid w:val="008B061C"/>
    <w:rsid w:val="008F1754"/>
    <w:rsid w:val="00943795"/>
    <w:rsid w:val="00944ADC"/>
    <w:rsid w:val="00962D11"/>
    <w:rsid w:val="009C3BE8"/>
    <w:rsid w:val="00A95B56"/>
    <w:rsid w:val="00AA7A67"/>
    <w:rsid w:val="00AC5B97"/>
    <w:rsid w:val="00B00D4E"/>
    <w:rsid w:val="00B237FD"/>
    <w:rsid w:val="00B26BFE"/>
    <w:rsid w:val="00B3422B"/>
    <w:rsid w:val="00B72FCE"/>
    <w:rsid w:val="00B9779A"/>
    <w:rsid w:val="00BC0F8C"/>
    <w:rsid w:val="00BD714F"/>
    <w:rsid w:val="00C25493"/>
    <w:rsid w:val="00C51733"/>
    <w:rsid w:val="00C764B2"/>
    <w:rsid w:val="00C91373"/>
    <w:rsid w:val="00CB5F26"/>
    <w:rsid w:val="00CD24EB"/>
    <w:rsid w:val="00CD79B4"/>
    <w:rsid w:val="00D767BC"/>
    <w:rsid w:val="00D81C9B"/>
    <w:rsid w:val="00DB6AD2"/>
    <w:rsid w:val="00DE7339"/>
    <w:rsid w:val="00E5772A"/>
    <w:rsid w:val="00EB77E6"/>
    <w:rsid w:val="00F502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280BD-C676-4412-A56D-C0AFE6AA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F502F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944AD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1139</Words>
  <Characters>7752</Characters>
  <Application>Microsoft Office Word</Application>
  <DocSecurity>4</DocSecurity>
  <Lines>172</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2007-11-26T12:26:00Z</cp:lastPrinted>
  <dcterms:created xsi:type="dcterms:W3CDTF">2025-12-17T13:19:00Z</dcterms:created>
  <dcterms:modified xsi:type="dcterms:W3CDTF">2025-12-17T13:19:00Z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_DocHome">
    <vt:i4>166449820</vt:i4>
  </property>
</Properties>
</file>