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29005F87" w14:textId="0153917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0C1DEF">
              <w:rPr>
                <w:b/>
              </w:rPr>
              <w:t>1</w:t>
            </w:r>
            <w:r w:rsidR="00866C63">
              <w:rPr>
                <w:b/>
              </w:rPr>
              <w:t>1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78B812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7A76C2">
              <w:t>-11-05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969DD4D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7A76C2">
              <w:t>11.00-11.32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4E2B6122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713A45F7" w14:textId="77777777" w:rsidR="00B91976" w:rsidRDefault="00B9197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97"/>
      </w:tblGrid>
      <w:tr w:rsidR="007A76C2" w14:paraId="69DA4EE6" w14:textId="77777777" w:rsidTr="00866C63">
        <w:tc>
          <w:tcPr>
            <w:tcW w:w="497" w:type="dxa"/>
          </w:tcPr>
          <w:p w14:paraId="14DBCCA6" w14:textId="786BF2D4" w:rsidR="007A76C2" w:rsidRPr="00C92C53" w:rsidRDefault="007A76C2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797" w:type="dxa"/>
          </w:tcPr>
          <w:p w14:paraId="16F57BBA" w14:textId="77777777" w:rsidR="007A76C2" w:rsidRDefault="007A76C2" w:rsidP="002349AE">
            <w:pPr>
              <w:outlineLvl w:val="0"/>
              <w:rPr>
                <w:b/>
                <w:bCs/>
              </w:rPr>
            </w:pPr>
            <w:r w:rsidRPr="007A76C2">
              <w:rPr>
                <w:b/>
                <w:bCs/>
              </w:rPr>
              <w:t>Medgivande att närvara</w:t>
            </w:r>
          </w:p>
          <w:p w14:paraId="0BE54320" w14:textId="77777777" w:rsidR="007A76C2" w:rsidRDefault="00777FA4" w:rsidP="002349AE">
            <w:pPr>
              <w:outlineLvl w:val="0"/>
            </w:pPr>
            <w:r w:rsidRPr="00777FA4">
              <w:t xml:space="preserve">Utskottet medgav att en tjänsteman från </w:t>
            </w:r>
            <w:r>
              <w:t>s</w:t>
            </w:r>
            <w:r w:rsidRPr="00777FA4">
              <w:t>katteutskottets kansli närvarar vid de sammanträden under hösten då utskottet bereder FiU1.</w:t>
            </w:r>
          </w:p>
          <w:p w14:paraId="4F46CAAE" w14:textId="68C94191" w:rsidR="00777FA4" w:rsidRPr="007A76C2" w:rsidRDefault="00777FA4" w:rsidP="002349AE">
            <w:pPr>
              <w:outlineLvl w:val="0"/>
              <w:rPr>
                <w:b/>
                <w:bCs/>
              </w:rPr>
            </w:pPr>
          </w:p>
        </w:tc>
      </w:tr>
      <w:tr w:rsidR="007A76C2" w14:paraId="78E4572A" w14:textId="77777777" w:rsidTr="00866C63">
        <w:tc>
          <w:tcPr>
            <w:tcW w:w="497" w:type="dxa"/>
          </w:tcPr>
          <w:p w14:paraId="282AE60E" w14:textId="77777777" w:rsidR="007A76C2" w:rsidRDefault="00777FA4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  <w:p w14:paraId="7303B4A8" w14:textId="4967A4D2" w:rsidR="00777FA4" w:rsidRPr="00C92C53" w:rsidRDefault="00777FA4" w:rsidP="00C92C53">
            <w:pPr>
              <w:pStyle w:val="Default"/>
              <w:rPr>
                <w:b/>
              </w:rPr>
            </w:pPr>
          </w:p>
        </w:tc>
        <w:tc>
          <w:tcPr>
            <w:tcW w:w="7797" w:type="dxa"/>
          </w:tcPr>
          <w:p w14:paraId="6E3AD4ED" w14:textId="5618723F" w:rsidR="007A76C2" w:rsidRDefault="00777FA4" w:rsidP="002349AE">
            <w:pPr>
              <w:outlineLvl w:val="0"/>
              <w:rPr>
                <w:color w:val="000000"/>
              </w:rPr>
            </w:pPr>
            <w:r w:rsidRPr="003B425F">
              <w:rPr>
                <w:b/>
                <w:bCs/>
                <w:color w:val="000000"/>
              </w:rPr>
              <w:t>Aktuella frågor från riksbanksfullmäktige</w:t>
            </w:r>
            <w:r w:rsidRPr="00AA39BE">
              <w:rPr>
                <w:color w:val="000000"/>
              </w:rPr>
              <w:br/>
            </w:r>
            <w:r w:rsidRPr="00085685">
              <w:rPr>
                <w:color w:val="000000"/>
              </w:rPr>
              <w:t>Fullmäktiges ordf</w:t>
            </w:r>
            <w:r w:rsidR="00866C63">
              <w:rPr>
                <w:color w:val="000000"/>
              </w:rPr>
              <w:t>örande</w:t>
            </w:r>
            <w:r w:rsidRPr="00085685">
              <w:rPr>
                <w:color w:val="000000"/>
              </w:rPr>
              <w:t xml:space="preserve"> Bo Broman och v</w:t>
            </w:r>
            <w:r w:rsidR="00866C63">
              <w:rPr>
                <w:color w:val="000000"/>
              </w:rPr>
              <w:t xml:space="preserve">ice </w:t>
            </w:r>
            <w:r w:rsidRPr="00085685">
              <w:rPr>
                <w:color w:val="000000"/>
              </w:rPr>
              <w:t>ordf</w:t>
            </w:r>
            <w:r w:rsidR="00866C63">
              <w:rPr>
                <w:color w:val="000000"/>
              </w:rPr>
              <w:t xml:space="preserve">örande </w:t>
            </w:r>
            <w:r w:rsidRPr="00085685">
              <w:rPr>
                <w:color w:val="000000"/>
              </w:rPr>
              <w:t>Tomas Eneroth</w:t>
            </w:r>
            <w:r w:rsidR="00556D6A">
              <w:rPr>
                <w:color w:val="000000"/>
              </w:rPr>
              <w:t xml:space="preserve"> informerade utskottet om aktuella frågor. </w:t>
            </w:r>
          </w:p>
          <w:p w14:paraId="7036944E" w14:textId="660BD016" w:rsidR="00777FA4" w:rsidRPr="002349AE" w:rsidRDefault="00777FA4" w:rsidP="002349AE">
            <w:pPr>
              <w:outlineLvl w:val="0"/>
              <w:rPr>
                <w:b/>
              </w:rPr>
            </w:pPr>
          </w:p>
        </w:tc>
      </w:tr>
      <w:tr w:rsidR="00A44FE3" w14:paraId="2C8ABE0A" w14:textId="77777777" w:rsidTr="00866C63">
        <w:tc>
          <w:tcPr>
            <w:tcW w:w="497" w:type="dxa"/>
          </w:tcPr>
          <w:p w14:paraId="442699FD" w14:textId="74C22FE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777FA4">
              <w:rPr>
                <w:b/>
              </w:rPr>
              <w:t>3</w:t>
            </w:r>
          </w:p>
        </w:tc>
        <w:tc>
          <w:tcPr>
            <w:tcW w:w="7797" w:type="dxa"/>
          </w:tcPr>
          <w:p w14:paraId="292CF9F0" w14:textId="26D1CED5" w:rsidR="00777FA4" w:rsidRDefault="00777FA4" w:rsidP="00777FA4">
            <w:pPr>
              <w:widowControl/>
              <w:rPr>
                <w:b/>
                <w:bCs/>
              </w:rPr>
            </w:pPr>
            <w:r w:rsidRPr="00777FA4">
              <w:rPr>
                <w:b/>
                <w:bCs/>
              </w:rPr>
              <w:t>Överlämnande av motioner</w:t>
            </w:r>
          </w:p>
          <w:p w14:paraId="17598384" w14:textId="15ABDEF6" w:rsidR="00777FA4" w:rsidRDefault="00777FA4" w:rsidP="00777FA4">
            <w:pPr>
              <w:widowControl/>
            </w:pPr>
            <w:r w:rsidRPr="00777FA4">
              <w:t>Utskottet överlämnade</w:t>
            </w:r>
            <w:r w:rsidR="00CD61E6">
              <w:t xml:space="preserve"> till </w:t>
            </w:r>
            <w:r w:rsidR="00CD61E6" w:rsidRPr="00777FA4">
              <w:t>näringsutskottet</w:t>
            </w:r>
            <w:r w:rsidR="00CD61E6">
              <w:t>:</w:t>
            </w:r>
          </w:p>
          <w:p w14:paraId="5C5B4D1F" w14:textId="77777777" w:rsidR="00866C63" w:rsidRDefault="00777FA4" w:rsidP="00777FA4">
            <w:pPr>
              <w:pStyle w:val="Liststycke"/>
              <w:widowControl/>
              <w:numPr>
                <w:ilvl w:val="0"/>
                <w:numId w:val="15"/>
              </w:numPr>
            </w:pPr>
            <w:r w:rsidRPr="00777FA4">
              <w:t xml:space="preserve">motion 2024/25:729 av Amalia </w:t>
            </w:r>
            <w:proofErr w:type="spellStart"/>
            <w:r w:rsidRPr="00777FA4">
              <w:t>Rud</w:t>
            </w:r>
            <w:proofErr w:type="spellEnd"/>
            <w:r w:rsidRPr="00777FA4">
              <w:t xml:space="preserve"> </w:t>
            </w:r>
            <w:proofErr w:type="spellStart"/>
            <w:r w:rsidRPr="00777FA4">
              <w:t>Stenlöf</w:t>
            </w:r>
            <w:proofErr w:type="spellEnd"/>
            <w:r w:rsidRPr="00777FA4">
              <w:t xml:space="preserve"> och Mattias Jonsson </w:t>
            </w:r>
          </w:p>
          <w:p w14:paraId="6E29C9C6" w14:textId="28944D04" w:rsidR="00777FA4" w:rsidRDefault="00777FA4" w:rsidP="00866C63">
            <w:pPr>
              <w:pStyle w:val="Liststycke"/>
              <w:widowControl/>
            </w:pPr>
            <w:r w:rsidRPr="00777FA4">
              <w:t>(båda S)</w:t>
            </w:r>
            <w:r w:rsidR="00CD61E6">
              <w:t>.</w:t>
            </w:r>
            <w:r w:rsidRPr="00777FA4">
              <w:t xml:space="preserve"> </w:t>
            </w:r>
          </w:p>
          <w:p w14:paraId="63DD823B" w14:textId="12ED4309" w:rsidR="00777FA4" w:rsidRPr="00777FA4" w:rsidRDefault="00777FA4" w:rsidP="00777FA4">
            <w:pPr>
              <w:pStyle w:val="Liststycke"/>
              <w:widowControl/>
              <w:numPr>
                <w:ilvl w:val="0"/>
                <w:numId w:val="15"/>
              </w:numPr>
            </w:pPr>
            <w:r w:rsidRPr="00777FA4">
              <w:t>motion 2024/25:3194 yrkande 3 av</w:t>
            </w:r>
            <w:r>
              <w:t xml:space="preserve"> Mikael Damberg m.fl. (S)</w:t>
            </w:r>
            <w:r w:rsidR="00CD61E6">
              <w:t>.</w:t>
            </w:r>
          </w:p>
          <w:p w14:paraId="43D9FCF5" w14:textId="77777777" w:rsidR="00777FA4" w:rsidRDefault="00777FA4" w:rsidP="00777FA4"/>
          <w:p w14:paraId="3CC876CC" w14:textId="1B772C5D" w:rsidR="00777FA4" w:rsidRPr="00777FA4" w:rsidRDefault="00777FA4" w:rsidP="00777FA4">
            <w:pPr>
              <w:widowControl/>
              <w:rPr>
                <w:sz w:val="22"/>
              </w:rPr>
            </w:pPr>
            <w:r>
              <w:t xml:space="preserve">Överlämnandena gäller under förutsättning att </w:t>
            </w:r>
            <w:r w:rsidR="00A719F6">
              <w:t>näringsutskottet</w:t>
            </w:r>
            <w:r>
              <w:t xml:space="preserve"> tar emot motionsyrkandena.</w:t>
            </w:r>
          </w:p>
          <w:p w14:paraId="17EE5049" w14:textId="542EB5A0" w:rsidR="00A44FE3" w:rsidRPr="00777FA4" w:rsidRDefault="00A44FE3" w:rsidP="002349AE">
            <w:pPr>
              <w:outlineLvl w:val="0"/>
              <w:rPr>
                <w:b/>
                <w:bCs/>
              </w:rPr>
            </w:pPr>
          </w:p>
        </w:tc>
      </w:tr>
      <w:tr w:rsidR="009476AF" w14:paraId="070968C2" w14:textId="77777777" w:rsidTr="00866C63">
        <w:tc>
          <w:tcPr>
            <w:tcW w:w="497" w:type="dxa"/>
          </w:tcPr>
          <w:p w14:paraId="1A178F32" w14:textId="13F09F59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7FA4">
              <w:rPr>
                <w:b/>
                <w:snapToGrid w:val="0"/>
              </w:rPr>
              <w:t>4</w:t>
            </w:r>
          </w:p>
        </w:tc>
        <w:tc>
          <w:tcPr>
            <w:tcW w:w="7797" w:type="dxa"/>
          </w:tcPr>
          <w:p w14:paraId="14DD40BE" w14:textId="549E9321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777FA4">
              <w:rPr>
                <w:b/>
              </w:rPr>
              <w:br/>
            </w:r>
            <w:r w:rsidR="00777FA4" w:rsidRPr="00777FA4">
              <w:rPr>
                <w:bCs/>
              </w:rPr>
              <w:t>Utskottet justerade protokoll 2024/25:10</w:t>
            </w:r>
            <w:r w:rsidR="00777FA4">
              <w:rPr>
                <w:bCs/>
              </w:rPr>
              <w:t>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66C63">
        <w:tc>
          <w:tcPr>
            <w:tcW w:w="497" w:type="dxa"/>
          </w:tcPr>
          <w:p w14:paraId="109E1604" w14:textId="0071C7FA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7FA4">
              <w:rPr>
                <w:b/>
                <w:snapToGrid w:val="0"/>
              </w:rPr>
              <w:t>5</w:t>
            </w:r>
          </w:p>
        </w:tc>
        <w:tc>
          <w:tcPr>
            <w:tcW w:w="7797" w:type="dxa"/>
          </w:tcPr>
          <w:p w14:paraId="52575A7B" w14:textId="77777777" w:rsidR="00777FA4" w:rsidRDefault="00777FA4" w:rsidP="000E6D32">
            <w:pPr>
              <w:outlineLvl w:val="0"/>
            </w:pPr>
            <w:r w:rsidRPr="003B425F">
              <w:rPr>
                <w:b/>
                <w:bCs/>
              </w:rPr>
              <w:t>Medgivande för Riksbanken att ge kredit till Internationella valutafonden (FiU15)</w:t>
            </w:r>
            <w:r>
              <w:rPr>
                <w:b/>
                <w:bCs/>
              </w:rPr>
              <w:br/>
            </w:r>
            <w:r>
              <w:t xml:space="preserve">Utskottet fortsatte beredningen av framställning </w:t>
            </w:r>
            <w:r w:rsidRPr="003B425F">
              <w:t>2024/</w:t>
            </w:r>
            <w:proofErr w:type="gramStart"/>
            <w:r w:rsidRPr="003B425F">
              <w:t>25:RB</w:t>
            </w:r>
            <w:proofErr w:type="gramEnd"/>
            <w:r w:rsidRPr="003B425F">
              <w:t>3</w:t>
            </w:r>
            <w:r>
              <w:t>.</w:t>
            </w:r>
            <w:r>
              <w:br/>
            </w:r>
          </w:p>
          <w:p w14:paraId="1BBF50B3" w14:textId="253A9CD0" w:rsidR="00DC5A2B" w:rsidRPr="00C92C53" w:rsidRDefault="00777FA4" w:rsidP="000E6D32">
            <w:pPr>
              <w:outlineLvl w:val="0"/>
              <w:rPr>
                <w:bCs/>
              </w:rPr>
            </w:pPr>
            <w:r>
              <w:t>Utskottet justerade betänkande 2024/</w:t>
            </w:r>
            <w:proofErr w:type="gramStart"/>
            <w:r>
              <w:t>25:FiU</w:t>
            </w:r>
            <w:proofErr w:type="gramEnd"/>
            <w:r>
              <w:t>15.</w:t>
            </w:r>
            <w:r w:rsidRPr="003B425F">
              <w:br/>
            </w:r>
          </w:p>
        </w:tc>
      </w:tr>
      <w:tr w:rsidR="00777FA4" w14:paraId="0DCACB20" w14:textId="77777777" w:rsidTr="00866C63">
        <w:tc>
          <w:tcPr>
            <w:tcW w:w="497" w:type="dxa"/>
          </w:tcPr>
          <w:p w14:paraId="3D1C23AB" w14:textId="5106622F" w:rsidR="00777FA4" w:rsidRDefault="00777FA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797" w:type="dxa"/>
          </w:tcPr>
          <w:p w14:paraId="3712480E" w14:textId="3934615E" w:rsidR="00777FA4" w:rsidRDefault="00777FA4" w:rsidP="009476AF">
            <w:pPr>
              <w:outlineLvl w:val="0"/>
              <w:rPr>
                <w:rStyle w:val="Hyperlnk"/>
                <w:color w:val="auto"/>
                <w:u w:val="none"/>
              </w:rPr>
            </w:pPr>
            <w:r w:rsidRPr="003B425F">
              <w:rPr>
                <w:b/>
                <w:bCs/>
                <w:color w:val="000000"/>
              </w:rPr>
              <w:t>Statens budget 2025 – Rambeslutet (FiU1)</w:t>
            </w:r>
            <w:r w:rsidRPr="00AA39BE">
              <w:rPr>
                <w:color w:val="000000"/>
              </w:rPr>
              <w:br/>
            </w:r>
            <w:r>
              <w:rPr>
                <w:color w:val="000000"/>
              </w:rPr>
              <w:t>Utskottet inledde b</w:t>
            </w:r>
            <w:r w:rsidRPr="00AA39BE">
              <w:rPr>
                <w:color w:val="000000"/>
              </w:rPr>
              <w:t>eredning</w:t>
            </w:r>
            <w:r>
              <w:rPr>
                <w:color w:val="000000"/>
              </w:rPr>
              <w:t xml:space="preserve">en av </w:t>
            </w:r>
            <w:r>
              <w:t>p</w:t>
            </w:r>
            <w:r w:rsidRPr="00777FA4">
              <w:t xml:space="preserve">ropositionerna: </w:t>
            </w:r>
            <w:hyperlink r:id="rId8" w:history="1">
              <w:r w:rsidRPr="00777FA4">
                <w:rPr>
                  <w:rStyle w:val="Hyperlnk"/>
                  <w:color w:val="auto"/>
                  <w:u w:val="none"/>
                </w:rPr>
                <w:t>2024/25:1</w:t>
              </w:r>
            </w:hyperlink>
            <w:r w:rsidRPr="00777FA4">
              <w:t xml:space="preserve">, </w:t>
            </w:r>
            <w:hyperlink r:id="rId9" w:history="1">
              <w:r w:rsidRPr="00777FA4">
                <w:rPr>
                  <w:rStyle w:val="Hyperlnk"/>
                  <w:color w:val="auto"/>
                  <w:u w:val="none"/>
                </w:rPr>
                <w:t>15</w:t>
              </w:r>
            </w:hyperlink>
            <w:r w:rsidRPr="00777FA4">
              <w:t xml:space="preserve">, </w:t>
            </w:r>
            <w:hyperlink r:id="rId10" w:history="1">
              <w:r w:rsidRPr="00777FA4">
                <w:rPr>
                  <w:rStyle w:val="Hyperlnk"/>
                  <w:color w:val="auto"/>
                  <w:u w:val="none"/>
                </w:rPr>
                <w:t>25</w:t>
              </w:r>
            </w:hyperlink>
            <w:r w:rsidRPr="00777FA4">
              <w:t xml:space="preserve">, </w:t>
            </w:r>
            <w:hyperlink r:id="rId11" w:history="1">
              <w:r w:rsidRPr="00777FA4">
                <w:rPr>
                  <w:rStyle w:val="Hyperlnk"/>
                  <w:color w:val="auto"/>
                  <w:u w:val="none"/>
                </w:rPr>
                <w:t>26</w:t>
              </w:r>
            </w:hyperlink>
            <w:r w:rsidRPr="00777FA4">
              <w:t xml:space="preserve">, </w:t>
            </w:r>
            <w:hyperlink r:id="rId12" w:history="1">
              <w:r w:rsidRPr="00777FA4">
                <w:rPr>
                  <w:rStyle w:val="Hyperlnk"/>
                  <w:color w:val="auto"/>
                  <w:u w:val="none"/>
                </w:rPr>
                <w:t>30</w:t>
              </w:r>
            </w:hyperlink>
            <w:r w:rsidRPr="00777FA4">
              <w:t xml:space="preserve"> och </w:t>
            </w:r>
            <w:hyperlink r:id="rId13" w:history="1">
              <w:r w:rsidRPr="00777FA4">
                <w:rPr>
                  <w:rStyle w:val="Hyperlnk"/>
                  <w:color w:val="auto"/>
                  <w:u w:val="none"/>
                </w:rPr>
                <w:t>motioner</w:t>
              </w:r>
            </w:hyperlink>
            <w:r>
              <w:rPr>
                <w:rStyle w:val="Hyperlnk"/>
                <w:color w:val="auto"/>
                <w:u w:val="none"/>
              </w:rPr>
              <w:t>.</w:t>
            </w:r>
          </w:p>
          <w:p w14:paraId="45C15BEE" w14:textId="25F09C85" w:rsidR="00777FA4" w:rsidRDefault="00777FA4" w:rsidP="009476AF">
            <w:pPr>
              <w:outlineLvl w:val="0"/>
              <w:rPr>
                <w:rStyle w:val="Hyperlnk"/>
                <w:color w:val="auto"/>
                <w:u w:val="none"/>
              </w:rPr>
            </w:pPr>
          </w:p>
          <w:p w14:paraId="1AB152BD" w14:textId="2B948B49" w:rsidR="00777FA4" w:rsidRDefault="00777FA4" w:rsidP="009476AF">
            <w:pPr>
              <w:outlineLvl w:val="0"/>
              <w:rPr>
                <w:rStyle w:val="Hyperlnk"/>
              </w:rPr>
            </w:pPr>
            <w:r>
              <w:rPr>
                <w:rStyle w:val="Hyperlnk"/>
                <w:color w:val="auto"/>
                <w:u w:val="none"/>
              </w:rPr>
              <w:t xml:space="preserve">Ärendet bordlades. </w:t>
            </w:r>
          </w:p>
          <w:p w14:paraId="7B913C7F" w14:textId="2D733057" w:rsidR="00777FA4" w:rsidRDefault="00777FA4" w:rsidP="009476AF">
            <w:pPr>
              <w:outlineLvl w:val="0"/>
              <w:rPr>
                <w:b/>
                <w:bCs/>
              </w:rPr>
            </w:pPr>
          </w:p>
        </w:tc>
      </w:tr>
      <w:tr w:rsidR="00777FA4" w14:paraId="6FE28785" w14:textId="77777777" w:rsidTr="00866C63">
        <w:tc>
          <w:tcPr>
            <w:tcW w:w="497" w:type="dxa"/>
          </w:tcPr>
          <w:p w14:paraId="7B5F33C3" w14:textId="56CCD21F" w:rsidR="00777FA4" w:rsidRDefault="00777FA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797" w:type="dxa"/>
          </w:tcPr>
          <w:p w14:paraId="6264FD55" w14:textId="77777777" w:rsidR="00777FA4" w:rsidRDefault="00777FA4" w:rsidP="009476AF">
            <w:pPr>
              <w:outlineLvl w:val="0"/>
            </w:pPr>
            <w:r w:rsidRPr="006E5680">
              <w:rPr>
                <w:b/>
                <w:bCs/>
              </w:rPr>
              <w:t xml:space="preserve">Totalförsvaret 2025–2030 </w:t>
            </w:r>
            <w:r w:rsidRPr="006E5680">
              <w:rPr>
                <w:b/>
                <w:bCs/>
              </w:rPr>
              <w:br/>
            </w:r>
            <w:r>
              <w:t>Utskottet behandlade frågan om</w:t>
            </w:r>
            <w:r w:rsidRPr="00965A22">
              <w:t xml:space="preserve"> yttrande till </w:t>
            </w:r>
            <w:r>
              <w:t>försvarsutskottet över</w:t>
            </w:r>
            <w:r w:rsidRPr="00965A22">
              <w:br/>
            </w:r>
            <w:hyperlink r:id="rId14" w:history="1">
              <w:r>
                <w:rPr>
                  <w:rStyle w:val="Hyperlnk"/>
                  <w:color w:val="auto"/>
                  <w:u w:val="none"/>
                </w:rPr>
                <w:t>proposition</w:t>
              </w:r>
              <w:r w:rsidRPr="00777FA4">
                <w:rPr>
                  <w:rStyle w:val="Hyperlnk"/>
                  <w:color w:val="auto"/>
                  <w:u w:val="none"/>
                </w:rPr>
                <w:t xml:space="preserve"> 2024/25:34</w:t>
              </w:r>
            </w:hyperlink>
            <w:r w:rsidRPr="00777FA4">
              <w:t xml:space="preserve"> och motioner</w:t>
            </w:r>
            <w:r>
              <w:t xml:space="preserve">. </w:t>
            </w:r>
          </w:p>
          <w:p w14:paraId="53136448" w14:textId="77777777" w:rsidR="00777FA4" w:rsidRDefault="00777FA4" w:rsidP="009476AF">
            <w:pPr>
              <w:outlineLvl w:val="0"/>
            </w:pPr>
          </w:p>
          <w:p w14:paraId="5532A1E0" w14:textId="77777777" w:rsidR="00777FA4" w:rsidRDefault="00777FA4" w:rsidP="009476AF">
            <w:pPr>
              <w:outlineLvl w:val="0"/>
            </w:pPr>
            <w:r>
              <w:t>Utskottet beslutade att inte yttra sig.</w:t>
            </w:r>
          </w:p>
          <w:p w14:paraId="0E51B6E7" w14:textId="6F060675" w:rsidR="00777FA4" w:rsidRDefault="00777FA4" w:rsidP="009476AF">
            <w:pPr>
              <w:outlineLvl w:val="0"/>
              <w:rPr>
                <w:b/>
                <w:bCs/>
              </w:rPr>
            </w:pPr>
          </w:p>
        </w:tc>
      </w:tr>
      <w:tr w:rsidR="000E6D32" w14:paraId="448AFCE1" w14:textId="77777777" w:rsidTr="00866C63">
        <w:tc>
          <w:tcPr>
            <w:tcW w:w="497" w:type="dxa"/>
          </w:tcPr>
          <w:p w14:paraId="265C4579" w14:textId="2D3B9D24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D61E6">
              <w:rPr>
                <w:b/>
                <w:snapToGrid w:val="0"/>
              </w:rPr>
              <w:t xml:space="preserve"> 8</w:t>
            </w:r>
          </w:p>
        </w:tc>
        <w:tc>
          <w:tcPr>
            <w:tcW w:w="7797" w:type="dxa"/>
          </w:tcPr>
          <w:p w14:paraId="186F6105" w14:textId="77777777" w:rsidR="00CD61E6" w:rsidRDefault="000E6D32" w:rsidP="00B91976">
            <w:pPr>
              <w:outlineLvl w:val="0"/>
            </w:pPr>
            <w:r>
              <w:rPr>
                <w:b/>
                <w:bCs/>
              </w:rPr>
              <w:t>Övriga frågor</w:t>
            </w:r>
            <w:r w:rsidR="00CD61E6">
              <w:rPr>
                <w:b/>
                <w:bCs/>
              </w:rPr>
              <w:br/>
            </w:r>
            <w:r w:rsidR="00CD61E6">
              <w:t>Ordföranden återrapporterade</w:t>
            </w:r>
            <w:r w:rsidR="00CD61E6" w:rsidRPr="00CD61E6">
              <w:t xml:space="preserve"> från IMF</w:t>
            </w:r>
            <w:r w:rsidR="00CD61E6">
              <w:t xml:space="preserve"> och Världsbankens </w:t>
            </w:r>
            <w:r w:rsidR="00CD61E6" w:rsidRPr="00CD61E6">
              <w:t>parlamentari</w:t>
            </w:r>
            <w:r w:rsidR="00CD61E6">
              <w:t>ker</w:t>
            </w:r>
            <w:r w:rsidR="00866C63">
              <w:t>-</w:t>
            </w:r>
            <w:r w:rsidR="00CD61E6">
              <w:t>dagar i</w:t>
            </w:r>
            <w:r w:rsidR="00CD61E6" w:rsidRPr="00CD61E6">
              <w:t xml:space="preserve"> Washington DC</w:t>
            </w:r>
            <w:r w:rsidR="00CD61E6">
              <w:t xml:space="preserve"> den</w:t>
            </w:r>
            <w:r w:rsidR="00CD61E6" w:rsidRPr="00CD61E6">
              <w:t xml:space="preserve"> 21–22 oktober 2024</w:t>
            </w:r>
            <w:r w:rsidR="00CD61E6">
              <w:t xml:space="preserve">. I delegationen ingick förutom ordföranden, </w:t>
            </w:r>
            <w:r w:rsidR="00CD61E6" w:rsidRPr="00CD61E6">
              <w:t>Hans Eklind (KD), Cecilia Rönn</w:t>
            </w:r>
            <w:r w:rsidR="00866C63">
              <w:t xml:space="preserve"> </w:t>
            </w:r>
            <w:r w:rsidR="00CD61E6" w:rsidRPr="00CD61E6">
              <w:t>(L)</w:t>
            </w:r>
            <w:r w:rsidR="00B91976">
              <w:t xml:space="preserve"> och</w:t>
            </w:r>
            <w:r w:rsidR="00CD61E6" w:rsidRPr="00CD61E6">
              <w:t xml:space="preserve"> Martin Ådahl (C)</w:t>
            </w:r>
            <w:r w:rsidR="00B91976">
              <w:t>.</w:t>
            </w:r>
            <w:r w:rsidR="00CD61E6" w:rsidRPr="00CD61E6">
              <w:t xml:space="preserve"> </w:t>
            </w:r>
          </w:p>
          <w:p w14:paraId="3B97EB51" w14:textId="77777777" w:rsidR="00B91976" w:rsidRDefault="00B91976" w:rsidP="00B91976">
            <w:pPr>
              <w:outlineLvl w:val="0"/>
            </w:pPr>
          </w:p>
          <w:p w14:paraId="3CE1FBF0" w14:textId="03E9CE31" w:rsidR="00B91976" w:rsidRPr="00CD61E6" w:rsidRDefault="00B91976" w:rsidP="00B91976">
            <w:pPr>
              <w:outlineLvl w:val="0"/>
            </w:pPr>
          </w:p>
        </w:tc>
      </w:tr>
      <w:tr w:rsidR="002A5D58" w14:paraId="69468561" w14:textId="77777777" w:rsidTr="00866C63">
        <w:tc>
          <w:tcPr>
            <w:tcW w:w="497" w:type="dxa"/>
          </w:tcPr>
          <w:p w14:paraId="61C7046A" w14:textId="3EF31861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D61E6">
              <w:rPr>
                <w:b/>
                <w:snapToGrid w:val="0"/>
              </w:rPr>
              <w:t>9</w:t>
            </w:r>
          </w:p>
        </w:tc>
        <w:tc>
          <w:tcPr>
            <w:tcW w:w="7797" w:type="dxa"/>
          </w:tcPr>
          <w:p w14:paraId="33C4C109" w14:textId="6332962B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6B7D4ED" w14:textId="4F39EE0D" w:rsidR="00CD61E6" w:rsidRPr="00CD61E6" w:rsidRDefault="00CD61E6" w:rsidP="00A44FE3">
            <w:pPr>
              <w:outlineLvl w:val="0"/>
              <w:rPr>
                <w:bCs/>
              </w:rPr>
            </w:pPr>
            <w:r w:rsidRPr="00CD61E6">
              <w:rPr>
                <w:bCs/>
              </w:rPr>
              <w:t>Torsdag 7 november kl. 10.30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66C63">
        <w:tc>
          <w:tcPr>
            <w:tcW w:w="8294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446B453D" w:rsidR="00C92C53" w:rsidRPr="00BD39D1" w:rsidRDefault="00C92C53" w:rsidP="0047175B">
            <w:pPr>
              <w:outlineLvl w:val="0"/>
            </w:pPr>
            <w:r>
              <w:t>Justera</w:t>
            </w:r>
            <w:r w:rsidR="00346868">
              <w:t>t</w:t>
            </w:r>
            <w:r w:rsidR="002349AE">
              <w:t xml:space="preserve"> </w:t>
            </w:r>
            <w:r w:rsidR="00DC5A2B">
              <w:t>den</w:t>
            </w:r>
            <w:r w:rsidR="00CD61E6">
              <w:t xml:space="preserve"> 7 november 2024</w:t>
            </w:r>
            <w:r w:rsidR="00346868">
              <w:br/>
            </w:r>
            <w:r w:rsidR="00CD61E6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737427B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A76C2">
        <w:rPr>
          <w:sz w:val="22"/>
          <w:szCs w:val="22"/>
        </w:rPr>
        <w:t>11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4C5AB25" w:rsidR="00EF6F88" w:rsidRPr="000E151F" w:rsidRDefault="007A76C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866C63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31D68E6" w:rsidR="00EF6F88" w:rsidRPr="000E151F" w:rsidRDefault="00866C6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621AD9EC" w:rsidR="005355B6" w:rsidRPr="000E151F" w:rsidRDefault="00866C6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B271651" w:rsidR="00EB33F5" w:rsidRPr="000E151F" w:rsidRDefault="00866C6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58FE443" w:rsidR="005355B6" w:rsidRPr="000E151F" w:rsidRDefault="00866C6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866C6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5323FDC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E2B6563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1DD46CF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0F21D63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35E1C90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66C63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C7A7044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66C63" w:rsidRPr="000E151F" w:rsidRDefault="00866C63" w:rsidP="00866C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031C423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66C63" w:rsidRPr="000E151F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03E279D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66C63" w:rsidRPr="000E151F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B829504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66C63" w:rsidRPr="000E151F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3C8942A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66C63" w:rsidRPr="000E151F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A473669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66C63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8FF2FCA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866C6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66C63" w:rsidRPr="000E151F" w:rsidRDefault="00866C63" w:rsidP="00866C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0D92376" w:rsidR="00866C63" w:rsidRPr="000E151F" w:rsidRDefault="00866C63" w:rsidP="0086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66C63" w:rsidRPr="000E151F" w:rsidRDefault="00866C63" w:rsidP="00866C6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0E906C4" w:rsidR="000E2953" w:rsidRPr="000E151F" w:rsidRDefault="00866C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6B5829E" w:rsidR="000E2953" w:rsidRPr="000E151F" w:rsidRDefault="00866C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C60B326" w:rsidR="000E2953" w:rsidRPr="000E151F" w:rsidRDefault="00866C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15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187B"/>
    <w:multiLevelType w:val="hybridMultilevel"/>
    <w:tmpl w:val="BC360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32AD1"/>
    <w:multiLevelType w:val="hybridMultilevel"/>
    <w:tmpl w:val="858CD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4"/>
  </w:num>
  <w:num w:numId="11">
    <w:abstractNumId w:val="11"/>
  </w:num>
  <w:num w:numId="12">
    <w:abstractNumId w:val="8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1DEF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6868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56D6A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77FA4"/>
    <w:rsid w:val="007826B0"/>
    <w:rsid w:val="007826C0"/>
    <w:rsid w:val="00784960"/>
    <w:rsid w:val="00792356"/>
    <w:rsid w:val="00795259"/>
    <w:rsid w:val="007A59C4"/>
    <w:rsid w:val="007A76C2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66C63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19F6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1976"/>
    <w:rsid w:val="00B9203B"/>
    <w:rsid w:val="00BB405E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61E6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riksdagen.se/fil/6273D06F-DEA3-4229-B804-CC0F52EF1378" TargetMode="External"/><Relationship Id="rId13" Type="http://schemas.openxmlformats.org/officeDocument/2006/relationships/hyperlink" Target="bilagor/Motionsf&#246;rteckning%20202425%20FiU1%20(2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riksdagen.se/fil/98DF435A-5B1C-4266-AE1C-5833B0BC70B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riksdagen.se/fil/BDE70380-224A-4319-A7C7-F6C562621B3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ata.riksdagen.se/fil/D4AC23F4-21BE-4348-903F-2AE93493F56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riksdagen.se/fil/242C46A6-C954-4D98-953D-71B5E3BDA547" TargetMode="External"/><Relationship Id="rId14" Type="http://schemas.openxmlformats.org/officeDocument/2006/relationships/hyperlink" Target="https://data.riksdagen.se/fil/FC621A4C-D9B8-4CF1-99FB-6AA154BEFE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427</Words>
  <Characters>3794</Characters>
  <Application>Microsoft Office Word</Application>
  <DocSecurity>0</DocSecurity>
  <Lines>1264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11</cp:revision>
  <cp:lastPrinted>2018-10-02T11:13:00Z</cp:lastPrinted>
  <dcterms:created xsi:type="dcterms:W3CDTF">2024-11-05T12:36:00Z</dcterms:created>
  <dcterms:modified xsi:type="dcterms:W3CDTF">2024-11-07T12:29:00Z</dcterms:modified>
</cp:coreProperties>
</file>