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2019/20</w:t>
      </w:r>
      <w:bookmarkEnd w:id="0"/>
      <w:r>
        <w:t>:</w:t>
      </w:r>
      <w:bookmarkStart w:id="1" w:name="DocumentNumber"/>
      <w:r>
        <w:t>35</w:t>
      </w:r>
      <w:bookmarkEnd w:id="1"/>
    </w:p>
    <w:p w:rsidR="006E04A4">
      <w:pPr>
        <w:pStyle w:val="Date"/>
        <w:outlineLvl w:val="0"/>
      </w:pPr>
      <w:bookmarkStart w:id="2" w:name="DocumentDate"/>
      <w:r>
        <w:t>Onsdagen den 20 november 2019</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2019/20:45 Några frågor om straff för marknadsmissbruk</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2019/20:40 Riksrevisionens rapport om stödet till kommuner för ökat bostadsbyggande</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2019/20:46 Riksrevisionens rapport om Arbetsförmedlingens matchningsarbete</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2019/20:48 Riksrevisionens rapport om diskrimineringslagens krav på lönekartläggning</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COM(2019) 581 Förslag till Europaparlamentets och rådets förordning om fastställande av vissa övergångsbestämmelser för stöd från Europeiska jordbruksfonden för landsbygdsutveckling (Ejflu) och Europeiska garantifonden för jordbruket (EGFJ) under år 2021, om ändring av förordningarna (EU) nr 228/2013, (EU) nr 229/2013 och (EU) nr 1308/2013 vad gäller resurser och resursfördelning under år 2021 och om ändring av förordningarna (EU) nr 1305/2013, (EU) nr 1306/2013 och (EU) nr 1307/2013 vad gäller deras resurser och tillämpning under år 2021 </w:t>
            </w:r>
            <w:r>
              <w:rPr>
                <w:rtl w:val="0"/>
              </w:rPr>
              <w:br/>
            </w:r>
            <w:r>
              <w:rPr>
                <w:i/>
                <w:iCs/>
                <w:rtl w:val="0"/>
              </w:rPr>
              <w:t>Åttaveckorsfristen för att avge ett motiverat yttrande går ut den 4 februari 2020</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Bet. 2019/20:UbU4 Etikprövning av forskning – tydligare regler och skärpta straff</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Bet. 2019/20:UbU5 Behandling av personuppgifter vid hantering av oredlighet i forskning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Bet. 2019/20:MJU5 Förbättrat genomförande av avfallsdirektivet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Bet. 2019/20:FiU18 Ändringar i kostnadsutjämningen för kommuner och landsting</w:t>
            </w:r>
          </w:p>
        </w:tc>
        <w:tc>
          <w:tcPr>
            <w:tcW w:w="2055" w:type="dxa"/>
          </w:tcPr>
          <w:p w:rsidR="006E04A4" w:rsidP="00C84F80">
            <w:r>
              <w:rPr>
                <w:rtl w:val="0"/>
              </w:rPr>
              <w:t>4 res. (M, V, KD,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Bet. 2019/20:JuU6 Brott mot förtroendevalda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Bet. 2019/20:JuU8 Ett stärkt straffrättsligt skydd för blåljusverksamhet och myndighetsutövning</w:t>
            </w:r>
          </w:p>
        </w:tc>
        <w:tc>
          <w:tcPr>
            <w:tcW w:w="2055" w:type="dxa"/>
          </w:tcPr>
          <w:p w:rsidR="006E04A4" w:rsidP="00C84F80">
            <w:r>
              <w:rPr>
                <w:rtl w:val="0"/>
              </w:rPr>
              <w:t>11 res. (S, M, SD, V, KD,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Bet. 2019/20:JuU9 Ny lag om Säkerhetspolisens behandling av personuppgifter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Bet. 2019/20:JuU10 Skärpta straffrättsliga sanktioner mot företag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Skatteutskottets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Bet. 2019/20:SkU5 Skatteregler för tjänstepensionsföretag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Bet. 2019/20:UbU6 Rätt till utbildning i förskoleklass för barn till beskickningsmedlemmar från tredjeland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Konstitutionsutskottets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Bet. 2019/20:KU3 En ny beteckning för kommuner på regional nivå och vissa frågor om regionindelning</w:t>
            </w:r>
          </w:p>
        </w:tc>
        <w:tc>
          <w:tcPr>
            <w:tcW w:w="2055" w:type="dxa"/>
          </w:tcPr>
          <w:p w:rsidR="006E04A4" w:rsidP="00C84F80">
            <w:r>
              <w:rPr>
                <w:rtl w:val="0"/>
              </w:rPr>
              <w:t>1 res. (S, V,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Bet. 2019/20:CU4 Digitaliserade hyresförhandlingar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Bet. 2019/20:UU3 Avtal om politisk dialog och samarbete mellan Europeiska unionen och dess medlemsstater, å ena sidan, och Republiken Kuba, å andra sidan</w:t>
            </w:r>
          </w:p>
        </w:tc>
        <w:tc>
          <w:tcPr>
            <w:tcW w:w="2055" w:type="dxa"/>
          </w:tcPr>
          <w:p w:rsidR="006E04A4" w:rsidP="00C84F80">
            <w:r>
              <w:rPr>
                <w:rtl w:val="0"/>
              </w:rPr>
              <w:t>1 res. (SD, C, KD,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Socialförsäkringsutskottets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Bet. 2019/20:SfU9 Riksrevisionens rapport om bostadsbidrag och trångboddhet</w:t>
            </w:r>
          </w:p>
        </w:tc>
        <w:tc>
          <w:tcPr>
            <w:tcW w:w="2055" w:type="dxa"/>
          </w:tcPr>
          <w:p w:rsidR="006E04A4" w:rsidP="00C84F80">
            <w:r>
              <w:rPr>
                <w:rtl w:val="0"/>
              </w:rPr>
              <w:t>1 res. (SD, C,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Bet. 2019/20:KrU3 Det kyrkliga kulturarvet</w:t>
            </w:r>
          </w:p>
        </w:tc>
        <w:tc>
          <w:tcPr>
            <w:tcW w:w="2055" w:type="dxa"/>
          </w:tcPr>
          <w:p w:rsidR="006E04A4" w:rsidP="00C84F80">
            <w:r>
              <w:rPr>
                <w:rtl w:val="0"/>
              </w:rPr>
              <w:t>5 res. (M, SD, C,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Bet. 2019/20:SoU2 Redovisning av fördelning av medel från Allmänna arvsfonden under budgetåret 2018</w:t>
            </w:r>
          </w:p>
        </w:tc>
        <w:tc>
          <w:tcPr>
            <w:tcW w:w="2055" w:type="dxa"/>
          </w:tcPr>
          <w:p w:rsidR="006E04A4" w:rsidP="00C84F80">
            <w:r>
              <w:rPr>
                <w:rtl w:val="0"/>
              </w:rPr>
              <w:t>1 res. (SD)</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20 november 2019</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2019-11-20</SAFIR_Sammantradesdatum_Doc>
    <SAFIR_SammantradeID xmlns="C07A1A6C-0B19-41D9-BDF8-F523BA3921EB">e39f5b6b-f1c5-4237-acfe-855d0f62a3c1</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9D7AE-718C-40DB-9A22-664E2B746CA2}"/>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20 november 2019</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