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635E5E44E246408E5734026095E592"/>
        </w:placeholder>
        <w:text/>
      </w:sdtPr>
      <w:sdtEndPr/>
      <w:sdtContent>
        <w:p w:rsidRPr="009B062B" w:rsidR="00AF30DD" w:rsidP="00DA28CE" w:rsidRDefault="00AF30DD" w14:paraId="6984EFCF" w14:textId="77777777">
          <w:pPr>
            <w:pStyle w:val="Rubrik1"/>
            <w:spacing w:after="300"/>
          </w:pPr>
          <w:r w:rsidRPr="009B062B">
            <w:t>Förslag till riksdagsbeslut</w:t>
          </w:r>
        </w:p>
      </w:sdtContent>
    </w:sdt>
    <w:sdt>
      <w:sdtPr>
        <w:alias w:val="Yrkande 1"/>
        <w:tag w:val="1f5787bc-c4af-45a3-9581-dcaebeb1a410"/>
        <w:id w:val="-853422979"/>
        <w:lock w:val="sdtLocked"/>
      </w:sdtPr>
      <w:sdtEndPr/>
      <w:sdtContent>
        <w:p w:rsidR="005D0373" w:rsidRDefault="00BB25FD" w14:paraId="2BF0CFA3" w14:textId="5E008F79">
          <w:pPr>
            <w:pStyle w:val="Frslagstext"/>
          </w:pPr>
          <w:r>
            <w:t>Riksdagen ställer sig bakom det som anförs i motionen om att Trafikverket vid beslut om upphandlingar när det gäller järnväg ska göra en bred analys av vilken upphandlingsform som ger störst effektivitet, nytta och produktivitet, och detta tillkännager riksdagen för regeringen.</w:t>
          </w:r>
        </w:p>
      </w:sdtContent>
    </w:sdt>
    <w:sdt>
      <w:sdtPr>
        <w:alias w:val="Yrkande 2"/>
        <w:tag w:val="4502e0f8-cfb6-45f0-93d2-b68adac2c035"/>
        <w:id w:val="-618151982"/>
        <w:lock w:val="sdtLocked"/>
      </w:sdtPr>
      <w:sdtEndPr/>
      <w:sdtContent>
        <w:p w:rsidR="005D0373" w:rsidRDefault="00BB25FD" w14:paraId="505A6838" w14:textId="2BA4A3E6">
          <w:pPr>
            <w:pStyle w:val="Frslagstext"/>
          </w:pPr>
          <w:r>
            <w:t>Riksdagen ställer sig bakom det som anförs i motionen om att järnvägsunderhåll på statliga järnvägar även fortsättningsvis – och på basis av den omreglering som tidigare beslutats – ska upphandlas i konkurrens på en marknad och att detta i sin tur förutsätter att Trafikverket ges mandat och instruktion att besitta rätt kunskap och kompetens för att kunna agera som en effektiv upphandlare av underhållstjänster,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BD045597D046128632865B41822278"/>
        </w:placeholder>
        <w:text/>
      </w:sdtPr>
      <w:sdtEndPr/>
      <w:sdtContent>
        <w:p w:rsidRPr="009B062B" w:rsidR="006D79C9" w:rsidP="00333E95" w:rsidRDefault="006D79C9" w14:paraId="375D1B8A" w14:textId="77777777">
          <w:pPr>
            <w:pStyle w:val="Rubrik1"/>
          </w:pPr>
          <w:r>
            <w:t>Motivering</w:t>
          </w:r>
        </w:p>
      </w:sdtContent>
    </w:sdt>
    <w:p w:rsidR="00111531" w:rsidP="00111531" w:rsidRDefault="0063760D" w14:paraId="3C378151" w14:textId="3DEAF60F">
      <w:pPr>
        <w:pStyle w:val="Normalutanindragellerluft"/>
      </w:pPr>
      <w:r>
        <w:t>Riksdagen har fattat beslut om att det övergripande transportpolitiska målet är att</w:t>
      </w:r>
      <w:r w:rsidR="00111531">
        <w:t xml:space="preserve"> </w:t>
      </w:r>
      <w:r>
        <w:t>säker</w:t>
      </w:r>
      <w:r w:rsidR="00111531">
        <w:softHyphen/>
      </w:r>
      <w:r>
        <w:t>ställa en samhällsekonomiskt effektiv och långsiktigt hållbar transportförsörjning</w:t>
      </w:r>
      <w:r w:rsidR="00111531">
        <w:t xml:space="preserve"> </w:t>
      </w:r>
      <w:r>
        <w:t>för medborgarna och näringslivet i hela landet. Centerpartiet och Liberalerna tror på att när ett flertal aktörer får verka på en marknad så blir resultat ökad konkurrens, högre kost</w:t>
      </w:r>
      <w:r w:rsidR="00111531">
        <w:softHyphen/>
      </w:r>
      <w:r>
        <w:t xml:space="preserve">nadseffektivitet, lägre priser och bättre kvalitet. Därför såg vi med stor skepsis redan på den utredning som regeringen skickade på remiss </w:t>
      </w:r>
      <w:r w:rsidR="001C0491">
        <w:t xml:space="preserve">– </w:t>
      </w:r>
      <w:r w:rsidRPr="00364096">
        <w:t xml:space="preserve">Framtidens </w:t>
      </w:r>
      <w:r w:rsidR="00364096">
        <w:t>j</w:t>
      </w:r>
      <w:r w:rsidRPr="00364096">
        <w:t xml:space="preserve">ärnvägsunderhåll </w:t>
      </w:r>
      <w:r w:rsidR="00364096">
        <w:t>(</w:t>
      </w:r>
      <w:r w:rsidRPr="00364096">
        <w:t>SOU 2020:18</w:t>
      </w:r>
      <w:r w:rsidR="00364096">
        <w:t>)</w:t>
      </w:r>
      <w:r w:rsidRPr="00364096">
        <w:t xml:space="preserve"> </w:t>
      </w:r>
      <w:r w:rsidR="001C0491">
        <w:t>–</w:t>
      </w:r>
      <w:r>
        <w:t xml:space="preserve"> när en av utredningens bärande idéer är att stora delar av järnvägsunderhållet ska föras tillbaka i statlig regi med Trafikverket som huvudman. </w:t>
      </w:r>
    </w:p>
    <w:p w:rsidR="00111531" w:rsidP="00111531" w:rsidRDefault="0063760D" w14:paraId="2756CDBA" w14:textId="79EE67DA">
      <w:r>
        <w:t xml:space="preserve">Centerpartiet och Liberalerna var pådrivande i tillförandet av tilläggsdirektiv </w:t>
      </w:r>
      <w:r w:rsidR="001C0491">
        <w:t>(</w:t>
      </w:r>
      <w:r>
        <w:t>dir</w:t>
      </w:r>
      <w:r w:rsidR="001C0491">
        <w:t>.</w:t>
      </w:r>
      <w:r>
        <w:t xml:space="preserve"> 2019:47</w:t>
      </w:r>
      <w:r w:rsidR="001C0491">
        <w:t>)</w:t>
      </w:r>
      <w:r>
        <w:t xml:space="preserve"> till SOU 2020:18, som i</w:t>
      </w:r>
      <w:r w:rsidR="001C0491">
        <w:t xml:space="preserve"> </w:t>
      </w:r>
      <w:r>
        <w:t>stället för ett återförstatligande säkerställer affärsmäs</w:t>
      </w:r>
      <w:r w:rsidR="00111531">
        <w:softHyphen/>
      </w:r>
      <w:r>
        <w:t xml:space="preserve">sighet, produktivitet och en utvecklad marknad för järnvägsunderhåll. Vi konstaterar att utredaren inte har levererat </w:t>
      </w:r>
      <w:r w:rsidR="001C0491">
        <w:t>efter</w:t>
      </w:r>
      <w:r>
        <w:t xml:space="preserve"> dessa tilläggsdirektiv. </w:t>
      </w:r>
    </w:p>
    <w:p w:rsidR="00111531" w:rsidP="00111531" w:rsidRDefault="0063760D" w14:paraId="6A5D372F" w14:textId="09B2A665">
      <w:r>
        <w:lastRenderedPageBreak/>
        <w:t>Centerpartiet och Liberalerna är därför mycket kritiska till de av regeringens ambi</w:t>
      </w:r>
      <w:r w:rsidR="00111531">
        <w:softHyphen/>
      </w:r>
      <w:r>
        <w:t xml:space="preserve">tioner som nu åter kommer till uttryck i skrivelse 2020/21:86 </w:t>
      </w:r>
      <w:r w:rsidRPr="001C0491">
        <w:t xml:space="preserve">Trafikverkets drift och underhåll av järnvägar </w:t>
      </w:r>
      <w:r>
        <w:t>angående att fortfarande lufta tanken på att överföra betydande volymer järnvägsunderhåll från statligt ägda Infranord AB och andra företag inom sek</w:t>
      </w:r>
      <w:r w:rsidR="00111531">
        <w:softHyphen/>
      </w:r>
      <w:r>
        <w:t xml:space="preserve">torn järnvägsunderhåll till Trafikverket. </w:t>
      </w:r>
    </w:p>
    <w:p w:rsidRPr="00111531" w:rsidR="00111531" w:rsidP="00111531" w:rsidRDefault="0063760D" w14:paraId="46A4BC4C" w14:textId="23162DD5">
      <w:pPr>
        <w:rPr>
          <w:spacing w:val="-1"/>
        </w:rPr>
      </w:pPr>
      <w:r w:rsidRPr="00111531">
        <w:rPr>
          <w:spacing w:val="-1"/>
        </w:rPr>
        <w:t>Vår bestämda uppfattning är att järnvägsunderhåll på statliga järnvägar ska upphand</w:t>
      </w:r>
      <w:r w:rsidR="00111531">
        <w:rPr>
          <w:spacing w:val="-1"/>
        </w:rPr>
        <w:softHyphen/>
      </w:r>
      <w:r w:rsidRPr="00111531">
        <w:rPr>
          <w:spacing w:val="-1"/>
        </w:rPr>
        <w:t xml:space="preserve">las på marknadsmässiga villkor och att den upphandlande myndigheten, Trafikverket, måste besitta rätt kompetens för detta. Riksrevisionens rapport Drift och underhåll av järnvägar </w:t>
      </w:r>
      <w:r w:rsidRPr="00111531" w:rsidR="001C0491">
        <w:rPr>
          <w:spacing w:val="-1"/>
        </w:rPr>
        <w:t>(</w:t>
      </w:r>
      <w:proofErr w:type="spellStart"/>
      <w:r w:rsidRPr="00111531" w:rsidR="001C0491">
        <w:rPr>
          <w:spacing w:val="-1"/>
        </w:rPr>
        <w:t>RiR</w:t>
      </w:r>
      <w:proofErr w:type="spellEnd"/>
      <w:r w:rsidRPr="00111531" w:rsidR="001C0491">
        <w:rPr>
          <w:spacing w:val="-1"/>
        </w:rPr>
        <w:t xml:space="preserve"> 2020:17) </w:t>
      </w:r>
      <w:r w:rsidRPr="00111531">
        <w:rPr>
          <w:spacing w:val="-1"/>
        </w:rPr>
        <w:t>pekar ut just detta</w:t>
      </w:r>
      <w:r w:rsidRPr="00111531" w:rsidR="001C0491">
        <w:rPr>
          <w:spacing w:val="-1"/>
        </w:rPr>
        <w:t>,</w:t>
      </w:r>
      <w:r w:rsidRPr="00111531">
        <w:rPr>
          <w:spacing w:val="-1"/>
        </w:rPr>
        <w:t xml:space="preserve"> behovet av en utvecklad och förstärkt be</w:t>
      </w:r>
      <w:r w:rsidR="00111531">
        <w:rPr>
          <w:spacing w:val="-1"/>
        </w:rPr>
        <w:softHyphen/>
      </w:r>
      <w:r w:rsidRPr="00111531">
        <w:rPr>
          <w:spacing w:val="-1"/>
        </w:rPr>
        <w:t xml:space="preserve">ställarkompetens hos infrastrukturhållaren, Trafikverket, som fundamentalt för att uppnå högre effektivitet i järnvägsunderhållet. </w:t>
      </w:r>
    </w:p>
    <w:p w:rsidR="00111531" w:rsidP="00111531" w:rsidRDefault="0063760D" w14:paraId="63E4AC0E" w14:textId="24E8FD07">
      <w:r>
        <w:t xml:space="preserve">Att behov av ökad effektivitet går i en riktning av allt mer marknad </w:t>
      </w:r>
      <w:r w:rsidR="001C0491">
        <w:t>–</w:t>
      </w:r>
      <w:r>
        <w:t xml:space="preserve"> istället för statligt utförande av järnvägsunderhåll </w:t>
      </w:r>
      <w:r w:rsidR="001C0491">
        <w:t>–</w:t>
      </w:r>
      <w:r>
        <w:t xml:space="preserve"> understryks också av RUT-rapporten </w:t>
      </w:r>
      <w:r w:rsidRPr="001C0491">
        <w:t>Järnvägs</w:t>
      </w:r>
      <w:r w:rsidR="00111531">
        <w:softHyphen/>
      </w:r>
      <w:r w:rsidRPr="001C0491">
        <w:t>underhåll (</w:t>
      </w:r>
      <w:r w:rsidR="001C0491">
        <w:t>d</w:t>
      </w:r>
      <w:r w:rsidRPr="001C0491">
        <w:t>nr 2020:719)</w:t>
      </w:r>
      <w:r>
        <w:t xml:space="preserve"> där utredaren ”konstaterar att utvecklingen i såväl Norden som inom EU i allt högre grad går mot att</w:t>
      </w:r>
      <w:r w:rsidR="00BC2870">
        <w:t xml:space="preserve"> </w:t>
      </w:r>
      <w:r>
        <w:t>underhållsarbetet upphandlas i konkurrens på marknaden i stället för som tidigare utförs</w:t>
      </w:r>
      <w:r w:rsidR="00111531">
        <w:t xml:space="preserve"> </w:t>
      </w:r>
      <w:r>
        <w:t>i statlig regi”</w:t>
      </w:r>
      <w:r w:rsidR="001C0491">
        <w:t>.</w:t>
      </w:r>
    </w:p>
    <w:p w:rsidRPr="00111531" w:rsidR="0063760D" w:rsidP="00111531" w:rsidRDefault="0063760D" w14:paraId="4D45D329" w14:textId="38D87A9D">
      <w:pPr>
        <w:pStyle w:val="Rubrik2"/>
      </w:pPr>
      <w:r w:rsidRPr="00111531">
        <w:t>Remissvaren från branschen och experterna kritiska</w:t>
      </w:r>
    </w:p>
    <w:p w:rsidR="0063760D" w:rsidP="00111531" w:rsidRDefault="0063760D" w14:paraId="0AC2A37D" w14:textId="471C25A9">
      <w:pPr>
        <w:pStyle w:val="Normalutanindragellerluft"/>
      </w:pPr>
      <w:r>
        <w:t>Som nämndes tidigare beslutade regeringen den 21 mars 2018 att utreda hur ett överfö</w:t>
      </w:r>
      <w:r w:rsidR="00111531">
        <w:softHyphen/>
      </w:r>
      <w:r>
        <w:t>rande av verksamhet som avser järnvägsunderhåll i form av basunderhåll från Infranord AB till Trafikverket ska kunna genomföras. Utredningen kompletterades med tilläggs</w:t>
      </w:r>
      <w:r w:rsidR="00111531">
        <w:softHyphen/>
      </w:r>
      <w:r>
        <w:t xml:space="preserve">direktiv samt förlängning av utredningstiden. Slutrapporten presenterades i april </w:t>
      </w:r>
      <w:r w:rsidRPr="001C0491">
        <w:t>2020 i form av SOU 2020:18 Framtidens järnvägsunderhåll</w:t>
      </w:r>
      <w:r w:rsidR="001C0491">
        <w:t>,</w:t>
      </w:r>
      <w:r w:rsidRPr="001C0491">
        <w:t xml:space="preserve"> </w:t>
      </w:r>
      <w:r>
        <w:t>och remisstiden gick ut i oktober 2020.</w:t>
      </w:r>
    </w:p>
    <w:p w:rsidR="00111531" w:rsidP="00111531" w:rsidRDefault="0063760D" w14:paraId="3E8CBAB3" w14:textId="7050BEA9">
      <w:r>
        <w:t>Studerar man de inkomna svaren noterar vi att de som är negativa till utredningens överväganden och förslag är de remissinstanser som verkar inom järnvägssektorn eller som är expertmyndigheter på området eller representerar de som yrkesmässigt använder järnvägen. Vi anser att detta är en tydlig signal att regeringen tänkt fel i de delar av reso</w:t>
      </w:r>
      <w:r w:rsidR="00111531">
        <w:softHyphen/>
      </w:r>
      <w:r>
        <w:t>nemangen i regeringens skrivelse 2020/21:86 där man åter luftar möjligheten att återföra underhållsansvaret till Trafikverket.</w:t>
      </w:r>
    </w:p>
    <w:sdt>
      <w:sdtPr>
        <w:alias w:val="CC_Underskrifter"/>
        <w:tag w:val="CC_Underskrifter"/>
        <w:id w:val="583496634"/>
        <w:lock w:val="sdtContentLocked"/>
        <w:placeholder>
          <w:docPart w:val="652217D8E043483FAF5B70BBEB7C490A"/>
        </w:placeholder>
      </w:sdtPr>
      <w:sdtEndPr/>
      <w:sdtContent>
        <w:p w:rsidR="00BC2870" w:rsidP="003A4F6C" w:rsidRDefault="00BC2870" w14:paraId="2477F231" w14:textId="56A978D0"/>
        <w:p w:rsidRPr="008E0FE2" w:rsidR="004801AC" w:rsidP="003A4F6C" w:rsidRDefault="00111531" w14:paraId="289304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Helena Gellerman (L)</w:t>
            </w:r>
          </w:p>
        </w:tc>
      </w:tr>
    </w:tbl>
    <w:p w:rsidR="00A53346" w:rsidRDefault="00A53346" w14:paraId="75C4B1B9" w14:textId="77777777">
      <w:bookmarkStart w:name="_GoBack" w:id="1"/>
      <w:bookmarkEnd w:id="1"/>
    </w:p>
    <w:sectPr w:rsidR="00A533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5503" w14:textId="77777777" w:rsidR="0063760D" w:rsidRDefault="0063760D" w:rsidP="000C1CAD">
      <w:pPr>
        <w:spacing w:line="240" w:lineRule="auto"/>
      </w:pPr>
      <w:r>
        <w:separator/>
      </w:r>
    </w:p>
  </w:endnote>
  <w:endnote w:type="continuationSeparator" w:id="0">
    <w:p w14:paraId="0397A6A7" w14:textId="77777777" w:rsidR="0063760D" w:rsidRDefault="00637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EC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1C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BD1C" w14:textId="77777777" w:rsidR="00262EA3" w:rsidRPr="003A4F6C" w:rsidRDefault="00262EA3" w:rsidP="003A4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66425" w14:textId="77777777" w:rsidR="0063760D" w:rsidRDefault="0063760D" w:rsidP="000C1CAD">
      <w:pPr>
        <w:spacing w:line="240" w:lineRule="auto"/>
      </w:pPr>
      <w:r>
        <w:separator/>
      </w:r>
    </w:p>
  </w:footnote>
  <w:footnote w:type="continuationSeparator" w:id="0">
    <w:p w14:paraId="03A23B74" w14:textId="77777777" w:rsidR="0063760D" w:rsidRDefault="006376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B4D4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3B10C6" wp14:anchorId="0BE57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531" w14:paraId="72C89D33" w14:textId="77777777">
                          <w:pPr>
                            <w:jc w:val="right"/>
                          </w:pPr>
                          <w:sdt>
                            <w:sdtPr>
                              <w:alias w:val="CC_Noformat_Partikod"/>
                              <w:tag w:val="CC_Noformat_Partikod"/>
                              <w:id w:val="-53464382"/>
                              <w:placeholder>
                                <w:docPart w:val="932F67155F624F6086DFF50A11995A05"/>
                              </w:placeholder>
                              <w:text/>
                            </w:sdtPr>
                            <w:sdtEndPr/>
                            <w:sdtContent>
                              <w:r w:rsidR="0063760D">
                                <w:t>-</w:t>
                              </w:r>
                            </w:sdtContent>
                          </w:sdt>
                          <w:sdt>
                            <w:sdtPr>
                              <w:alias w:val="CC_Noformat_Partinummer"/>
                              <w:tag w:val="CC_Noformat_Partinummer"/>
                              <w:id w:val="-1709555926"/>
                              <w:placeholder>
                                <w:docPart w:val="05A0FC7061544E1384B7C4D5B64E70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57E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531" w14:paraId="72C89D33" w14:textId="77777777">
                    <w:pPr>
                      <w:jc w:val="right"/>
                    </w:pPr>
                    <w:sdt>
                      <w:sdtPr>
                        <w:alias w:val="CC_Noformat_Partikod"/>
                        <w:tag w:val="CC_Noformat_Partikod"/>
                        <w:id w:val="-53464382"/>
                        <w:placeholder>
                          <w:docPart w:val="932F67155F624F6086DFF50A11995A05"/>
                        </w:placeholder>
                        <w:text/>
                      </w:sdtPr>
                      <w:sdtEndPr/>
                      <w:sdtContent>
                        <w:r w:rsidR="0063760D">
                          <w:t>-</w:t>
                        </w:r>
                      </w:sdtContent>
                    </w:sdt>
                    <w:sdt>
                      <w:sdtPr>
                        <w:alias w:val="CC_Noformat_Partinummer"/>
                        <w:tag w:val="CC_Noformat_Partinummer"/>
                        <w:id w:val="-1709555926"/>
                        <w:placeholder>
                          <w:docPart w:val="05A0FC7061544E1384B7C4D5B64E70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3A47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1E14E3" w14:textId="77777777">
    <w:pPr>
      <w:jc w:val="right"/>
    </w:pPr>
  </w:p>
  <w:p w:rsidR="00262EA3" w:rsidP="00776B74" w:rsidRDefault="00262EA3" w14:paraId="25140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531" w14:paraId="59399C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55FC9" wp14:anchorId="3AFF7F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531" w14:paraId="1238994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60D">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1531" w14:paraId="205E20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531" w14:paraId="560CD0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:3872</w:t>
        </w:r>
      </w:sdtContent>
    </w:sdt>
  </w:p>
  <w:p w:rsidR="00262EA3" w:rsidP="00E03A3D" w:rsidRDefault="00111531" w14:paraId="44B8DE7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och Helena Gellerman (C, L)</w:t>
        </w:r>
      </w:sdtContent>
    </w:sdt>
  </w:p>
  <w:sdt>
    <w:sdtPr>
      <w:alias w:val="CC_Noformat_Rubtext"/>
      <w:tag w:val="CC_Noformat_Rubtext"/>
      <w:id w:val="-218060500"/>
      <w:lock w:val="sdtLocked"/>
      <w:placeholder>
        <w:docPart w:val="56DE9064A97B4EF9B6E5D4D9FD23CDCD"/>
      </w:placeholder>
      <w:text/>
    </w:sdtPr>
    <w:sdtEndPr/>
    <w:sdtContent>
      <w:p w:rsidR="00262EA3" w:rsidP="00283E0F" w:rsidRDefault="007869B9" w14:paraId="033B02BA" w14:textId="0476536A">
        <w:pPr>
          <w:pStyle w:val="FSHRub2"/>
        </w:pPr>
        <w:r>
          <w:t>med anledning av skr. 2020/21:86 Riksrevisionens rapport om Trafikverkets drift och underhåll av järnvägar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9E453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376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3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491"/>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E6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9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9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6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7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0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B9"/>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7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4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8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F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7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33BA66"/>
  <w15:chartTrackingRefBased/>
  <w15:docId w15:val="{5E69550C-D5B7-4029-B361-94FD388C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635E5E44E246408E5734026095E592"/>
        <w:category>
          <w:name w:val="Allmänt"/>
          <w:gallery w:val="placeholder"/>
        </w:category>
        <w:types>
          <w:type w:val="bbPlcHdr"/>
        </w:types>
        <w:behaviors>
          <w:behavior w:val="content"/>
        </w:behaviors>
        <w:guid w:val="{90E7B32A-6F12-4D0A-9D45-1CB5DE52FCA6}"/>
      </w:docPartPr>
      <w:docPartBody>
        <w:p w:rsidR="000876E3" w:rsidRDefault="00B82A6D">
          <w:pPr>
            <w:pStyle w:val="4F635E5E44E246408E5734026095E592"/>
          </w:pPr>
          <w:r w:rsidRPr="005A0A93">
            <w:rPr>
              <w:rStyle w:val="Platshllartext"/>
            </w:rPr>
            <w:t>Förslag till riksdagsbeslut</w:t>
          </w:r>
        </w:p>
      </w:docPartBody>
    </w:docPart>
    <w:docPart>
      <w:docPartPr>
        <w:name w:val="A6BD045597D046128632865B41822278"/>
        <w:category>
          <w:name w:val="Allmänt"/>
          <w:gallery w:val="placeholder"/>
        </w:category>
        <w:types>
          <w:type w:val="bbPlcHdr"/>
        </w:types>
        <w:behaviors>
          <w:behavior w:val="content"/>
        </w:behaviors>
        <w:guid w:val="{A1C71F74-FC5C-4F8C-8CA3-1B225C889585}"/>
      </w:docPartPr>
      <w:docPartBody>
        <w:p w:rsidR="000876E3" w:rsidRDefault="00B82A6D">
          <w:pPr>
            <w:pStyle w:val="A6BD045597D046128632865B41822278"/>
          </w:pPr>
          <w:r w:rsidRPr="005A0A93">
            <w:rPr>
              <w:rStyle w:val="Platshllartext"/>
            </w:rPr>
            <w:t>Motivering</w:t>
          </w:r>
        </w:p>
      </w:docPartBody>
    </w:docPart>
    <w:docPart>
      <w:docPartPr>
        <w:name w:val="932F67155F624F6086DFF50A11995A05"/>
        <w:category>
          <w:name w:val="Allmänt"/>
          <w:gallery w:val="placeholder"/>
        </w:category>
        <w:types>
          <w:type w:val="bbPlcHdr"/>
        </w:types>
        <w:behaviors>
          <w:behavior w:val="content"/>
        </w:behaviors>
        <w:guid w:val="{AAF08D54-716A-4ABA-83A3-FC6707DAF393}"/>
      </w:docPartPr>
      <w:docPartBody>
        <w:p w:rsidR="000876E3" w:rsidRDefault="00B82A6D">
          <w:pPr>
            <w:pStyle w:val="932F67155F624F6086DFF50A11995A05"/>
          </w:pPr>
          <w:r>
            <w:rPr>
              <w:rStyle w:val="Platshllartext"/>
            </w:rPr>
            <w:t xml:space="preserve"> </w:t>
          </w:r>
        </w:p>
      </w:docPartBody>
    </w:docPart>
    <w:docPart>
      <w:docPartPr>
        <w:name w:val="05A0FC7061544E1384B7C4D5B64E7001"/>
        <w:category>
          <w:name w:val="Allmänt"/>
          <w:gallery w:val="placeholder"/>
        </w:category>
        <w:types>
          <w:type w:val="bbPlcHdr"/>
        </w:types>
        <w:behaviors>
          <w:behavior w:val="content"/>
        </w:behaviors>
        <w:guid w:val="{1765D619-BFCD-4806-AE3F-54E3AACDB5E8}"/>
      </w:docPartPr>
      <w:docPartBody>
        <w:p w:rsidR="000876E3" w:rsidRDefault="00B82A6D">
          <w:pPr>
            <w:pStyle w:val="05A0FC7061544E1384B7C4D5B64E7001"/>
          </w:pPr>
          <w:r>
            <w:t xml:space="preserve"> </w:t>
          </w:r>
        </w:p>
      </w:docPartBody>
    </w:docPart>
    <w:docPart>
      <w:docPartPr>
        <w:name w:val="DefaultPlaceholder_-1854013440"/>
        <w:category>
          <w:name w:val="Allmänt"/>
          <w:gallery w:val="placeholder"/>
        </w:category>
        <w:types>
          <w:type w:val="bbPlcHdr"/>
        </w:types>
        <w:behaviors>
          <w:behavior w:val="content"/>
        </w:behaviors>
        <w:guid w:val="{AB49C34A-47C1-417C-BC00-0935FCF7F473}"/>
      </w:docPartPr>
      <w:docPartBody>
        <w:p w:rsidR="000876E3" w:rsidRDefault="00B82A6D">
          <w:r w:rsidRPr="00C156C4">
            <w:rPr>
              <w:rStyle w:val="Platshllartext"/>
            </w:rPr>
            <w:t>Klicka eller tryck här för att ange text.</w:t>
          </w:r>
        </w:p>
      </w:docPartBody>
    </w:docPart>
    <w:docPart>
      <w:docPartPr>
        <w:name w:val="56DE9064A97B4EF9B6E5D4D9FD23CDCD"/>
        <w:category>
          <w:name w:val="Allmänt"/>
          <w:gallery w:val="placeholder"/>
        </w:category>
        <w:types>
          <w:type w:val="bbPlcHdr"/>
        </w:types>
        <w:behaviors>
          <w:behavior w:val="content"/>
        </w:behaviors>
        <w:guid w:val="{4E29F301-0909-4ACC-ACE1-A651182318ED}"/>
      </w:docPartPr>
      <w:docPartBody>
        <w:p w:rsidR="000876E3" w:rsidRDefault="00B82A6D">
          <w:r w:rsidRPr="00C156C4">
            <w:rPr>
              <w:rStyle w:val="Platshllartext"/>
            </w:rPr>
            <w:t>[ange din text här]</w:t>
          </w:r>
        </w:p>
      </w:docPartBody>
    </w:docPart>
    <w:docPart>
      <w:docPartPr>
        <w:name w:val="652217D8E043483FAF5B70BBEB7C490A"/>
        <w:category>
          <w:name w:val="Allmänt"/>
          <w:gallery w:val="placeholder"/>
        </w:category>
        <w:types>
          <w:type w:val="bbPlcHdr"/>
        </w:types>
        <w:behaviors>
          <w:behavior w:val="content"/>
        </w:behaviors>
        <w:guid w:val="{4327F5FA-F7F7-4469-AC4F-E13D9A26FA2E}"/>
      </w:docPartPr>
      <w:docPartBody>
        <w:p w:rsidR="002E506A" w:rsidRDefault="002E50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6D"/>
    <w:rsid w:val="000876E3"/>
    <w:rsid w:val="002E506A"/>
    <w:rsid w:val="00B82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A6D"/>
    <w:rPr>
      <w:color w:val="F4B083" w:themeColor="accent2" w:themeTint="99"/>
    </w:rPr>
  </w:style>
  <w:style w:type="paragraph" w:customStyle="1" w:styleId="4F635E5E44E246408E5734026095E592">
    <w:name w:val="4F635E5E44E246408E5734026095E592"/>
  </w:style>
  <w:style w:type="paragraph" w:customStyle="1" w:styleId="5699A993DCA343FE8EEC8A535358E84C">
    <w:name w:val="5699A993DCA343FE8EEC8A535358E8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F335FA68A74A5ABFFF8700F3C366B7">
    <w:name w:val="5FF335FA68A74A5ABFFF8700F3C366B7"/>
  </w:style>
  <w:style w:type="paragraph" w:customStyle="1" w:styleId="A6BD045597D046128632865B41822278">
    <w:name w:val="A6BD045597D046128632865B41822278"/>
  </w:style>
  <w:style w:type="paragraph" w:customStyle="1" w:styleId="500D64DEBACE4E6BBD434F40B1810180">
    <w:name w:val="500D64DEBACE4E6BBD434F40B1810180"/>
  </w:style>
  <w:style w:type="paragraph" w:customStyle="1" w:styleId="A89E3E8027C440399ED5BE9D36B9E375">
    <w:name w:val="A89E3E8027C440399ED5BE9D36B9E375"/>
  </w:style>
  <w:style w:type="paragraph" w:customStyle="1" w:styleId="932F67155F624F6086DFF50A11995A05">
    <w:name w:val="932F67155F624F6086DFF50A11995A05"/>
  </w:style>
  <w:style w:type="paragraph" w:customStyle="1" w:styleId="05A0FC7061544E1384B7C4D5B64E7001">
    <w:name w:val="05A0FC7061544E1384B7C4D5B64E7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E6526-3D16-4917-B427-97E46DBAFF69}"/>
</file>

<file path=customXml/itemProps2.xml><?xml version="1.0" encoding="utf-8"?>
<ds:datastoreItem xmlns:ds="http://schemas.openxmlformats.org/officeDocument/2006/customXml" ds:itemID="{186D4A5C-44CA-42E1-ADDF-4201914D0B75}"/>
</file>

<file path=customXml/itemProps3.xml><?xml version="1.0" encoding="utf-8"?>
<ds:datastoreItem xmlns:ds="http://schemas.openxmlformats.org/officeDocument/2006/customXml" ds:itemID="{CF950028-C859-4A06-8D51-3CDE95A2EC97}"/>
</file>

<file path=docProps/app.xml><?xml version="1.0" encoding="utf-8"?>
<Properties xmlns="http://schemas.openxmlformats.org/officeDocument/2006/extended-properties" xmlns:vt="http://schemas.openxmlformats.org/officeDocument/2006/docPropsVTypes">
  <Template>Normal</Template>
  <TotalTime>28</TotalTime>
  <Pages>2</Pages>
  <Words>559</Words>
  <Characters>3507</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Riksrevisionens rapport 2020 21 86 Trafikverkets drift och underhåll av järnvägar</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