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7DD" w:rsidRDefault="00DB77DD" w:rsidP="00DB77D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B77DD" w:rsidTr="00015010">
        <w:tc>
          <w:tcPr>
            <w:tcW w:w="9141" w:type="dxa"/>
            <w:hideMark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DB77DD" w:rsidRDefault="00DB77DD" w:rsidP="00DB77DD">
      <w:pPr>
        <w:rPr>
          <w:sz w:val="22"/>
          <w:szCs w:val="22"/>
        </w:rPr>
      </w:pPr>
    </w:p>
    <w:p w:rsidR="00DB77DD" w:rsidRDefault="00DB77DD" w:rsidP="00DB77D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B77DD" w:rsidTr="00015010">
        <w:trPr>
          <w:cantSplit/>
          <w:trHeight w:val="742"/>
        </w:trPr>
        <w:tc>
          <w:tcPr>
            <w:tcW w:w="1985" w:type="dxa"/>
            <w:hideMark/>
          </w:tcPr>
          <w:p w:rsidR="00DB77DD" w:rsidRDefault="00DB77DD" w:rsidP="0001501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DB77DD" w:rsidRDefault="00DB77DD" w:rsidP="0001501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2021/22:28</w:t>
            </w:r>
          </w:p>
          <w:p w:rsidR="00DB77DD" w:rsidRDefault="00DB77DD" w:rsidP="0001501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1985" w:type="dxa"/>
            <w:hideMark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2022-04-28</w:t>
            </w:r>
          </w:p>
        </w:tc>
      </w:tr>
      <w:tr w:rsidR="00DB77DD" w:rsidTr="00015010">
        <w:tc>
          <w:tcPr>
            <w:tcW w:w="1985" w:type="dxa"/>
            <w:hideMark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10.00</w:t>
            </w:r>
            <w:r w:rsidR="00F32AC5">
              <w:rPr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– 1</w:t>
            </w:r>
            <w:r w:rsidR="008A0F03">
              <w:rPr>
                <w:sz w:val="22"/>
                <w:szCs w:val="22"/>
                <w:lang w:val="en-GB" w:eastAsia="en-US"/>
              </w:rPr>
              <w:t>0.30</w:t>
            </w:r>
          </w:p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1985" w:type="dxa"/>
            <w:hideMark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B77DD" w:rsidRDefault="00DB77DD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DB77DD" w:rsidRDefault="00DB77DD" w:rsidP="00DB77DD">
      <w:pPr>
        <w:rPr>
          <w:sz w:val="22"/>
          <w:szCs w:val="22"/>
        </w:rPr>
      </w:pPr>
    </w:p>
    <w:p w:rsidR="00DB77DD" w:rsidRDefault="00DB77DD" w:rsidP="00DB77D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B77DD" w:rsidRDefault="00DB77DD" w:rsidP="00DB77D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B77DD" w:rsidRDefault="00DB77DD" w:rsidP="00DB77D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B77DD" w:rsidRDefault="00DB77DD" w:rsidP="00DB77D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B77DD" w:rsidTr="00015010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74402B" w:rsidRDefault="0074402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DB77DD" w:rsidP="0074402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74402B" w:rsidRDefault="0074402B" w:rsidP="0074402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85378B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74402B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</w:t>
            </w:r>
            <w:r w:rsidR="00DB77DD">
              <w:rPr>
                <w:b/>
                <w:snapToGrid w:val="0"/>
                <w:sz w:val="22"/>
                <w:szCs w:val="22"/>
                <w:lang w:val="en-GB" w:eastAsia="en-US"/>
              </w:rPr>
              <w:t>4</w:t>
            </w:r>
          </w:p>
          <w:p w:rsidR="00DB77DD" w:rsidRDefault="00DB77DD" w:rsidP="000150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5378B" w:rsidRDefault="0085378B" w:rsidP="0085378B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</w:t>
            </w:r>
            <w:r w:rsidR="0074402B">
              <w:rPr>
                <w:b/>
                <w:snapToGrid w:val="0"/>
                <w:sz w:val="22"/>
                <w:szCs w:val="22"/>
                <w:lang w:val="en-GB" w:eastAsia="en-US"/>
              </w:rPr>
              <w:t>6</w:t>
            </w:r>
            <w:r w:rsidR="0074402B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74402B" w:rsidRDefault="0074402B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85378B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4402B" w:rsidRDefault="0074402B" w:rsidP="00744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7</w:t>
            </w:r>
          </w:p>
          <w:p w:rsidR="00DB77DD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DB77DD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6" w:type="dxa"/>
            <w:gridSpan w:val="15"/>
          </w:tcPr>
          <w:p w:rsidR="0074402B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Justering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74402B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2021/22:2</w:t>
            </w:r>
            <w:r w:rsidR="008A0F0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74402B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74402B" w:rsidRPr="003579E7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3579E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Riksdagens skrivelser till regeringen – åtgärder under 2021 (TU3y)</w:t>
            </w:r>
          </w:p>
          <w:p w:rsidR="0074402B" w:rsidRPr="00296109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74402B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behandlingen av f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råga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yttrande till konstitutionsutskottet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över s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krivelse 2021/22:75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74402B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74402B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yttrande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3y.</w:t>
            </w:r>
          </w:p>
          <w:p w:rsidR="0074402B" w:rsidRPr="00BF35A4" w:rsidRDefault="0074402B" w:rsidP="0074402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B77DD" w:rsidRPr="00433114" w:rsidRDefault="00433114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förordning om harmoniserade regler för skälig åtkomst till och användning av data (</w:t>
            </w:r>
            <w:proofErr w:type="spellStart"/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dataakten</w:t>
            </w:r>
            <w:proofErr w:type="spellEnd"/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433114" w:rsidRDefault="00433114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00528" w:rsidRPr="00F2616E" w:rsidRDefault="00000528" w:rsidP="00000528">
            <w:pPr>
              <w:ind w:right="420"/>
              <w:rPr>
                <w:sz w:val="22"/>
                <w:szCs w:val="22"/>
              </w:rPr>
            </w:pPr>
            <w:r w:rsidRPr="00F2616E">
              <w:rPr>
                <w:sz w:val="22"/>
                <w:szCs w:val="22"/>
              </w:rPr>
              <w:t xml:space="preserve">Utskottet överlade med </w:t>
            </w:r>
            <w:r w:rsidR="002039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="00F2616E" w:rsidRPr="00F261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tatssekreterare Per Callenberg</w:t>
            </w:r>
            <w:r w:rsidRPr="00F2616E">
              <w:rPr>
                <w:sz w:val="22"/>
                <w:szCs w:val="22"/>
              </w:rPr>
              <w:t xml:space="preserve">, åtföljd av medarbetare från Infrastrukturdepartementet. </w:t>
            </w:r>
          </w:p>
          <w:p w:rsidR="00000528" w:rsidRPr="00420E27" w:rsidRDefault="00000528" w:rsidP="00000528">
            <w:pPr>
              <w:ind w:left="483" w:right="420"/>
              <w:rPr>
                <w:sz w:val="22"/>
                <w:szCs w:val="22"/>
              </w:rPr>
            </w:pPr>
          </w:p>
          <w:p w:rsidR="00000528" w:rsidRPr="00420E27" w:rsidRDefault="00000528" w:rsidP="00000528">
            <w:pPr>
              <w:ind w:right="420"/>
              <w:rPr>
                <w:sz w:val="22"/>
                <w:szCs w:val="22"/>
              </w:rPr>
            </w:pPr>
            <w:r w:rsidRPr="00420E27">
              <w:rPr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420E27">
              <w:rPr>
                <w:color w:val="000000"/>
                <w:sz w:val="22"/>
                <w:szCs w:val="22"/>
              </w:rPr>
              <w:t>COM(</w:t>
            </w:r>
            <w:proofErr w:type="gramEnd"/>
            <w:r w:rsidRPr="008D6163">
              <w:rPr>
                <w:sz w:val="22"/>
                <w:szCs w:val="22"/>
              </w:rPr>
              <w:t>202</w:t>
            </w:r>
            <w:r w:rsidR="00420E27" w:rsidRPr="008D6163">
              <w:rPr>
                <w:sz w:val="22"/>
                <w:szCs w:val="22"/>
              </w:rPr>
              <w:t>2</w:t>
            </w:r>
            <w:r w:rsidRPr="008D6163">
              <w:rPr>
                <w:sz w:val="22"/>
                <w:szCs w:val="22"/>
              </w:rPr>
              <w:t xml:space="preserve">) </w:t>
            </w:r>
            <w:r w:rsidR="00420E27" w:rsidRPr="008D6163">
              <w:rPr>
                <w:sz w:val="22"/>
                <w:szCs w:val="22"/>
              </w:rPr>
              <w:t>6</w:t>
            </w:r>
            <w:r w:rsidR="008D6163" w:rsidRPr="008D6163">
              <w:rPr>
                <w:sz w:val="22"/>
                <w:szCs w:val="22"/>
              </w:rPr>
              <w:t xml:space="preserve">8 </w:t>
            </w:r>
            <w:r w:rsidRPr="00420E27">
              <w:rPr>
                <w:sz w:val="22"/>
                <w:szCs w:val="22"/>
              </w:rPr>
              <w:t xml:space="preserve">och Regeringskansliets faktapromemoria </w:t>
            </w:r>
            <w:r w:rsidRPr="00420E27">
              <w:rPr>
                <w:color w:val="000000"/>
                <w:sz w:val="22"/>
                <w:szCs w:val="22"/>
              </w:rPr>
              <w:t>2021/22:FPM</w:t>
            </w:r>
            <w:r w:rsidR="00420E27" w:rsidRPr="00420E27">
              <w:rPr>
                <w:color w:val="000000"/>
                <w:sz w:val="22"/>
                <w:szCs w:val="22"/>
              </w:rPr>
              <w:t>70</w:t>
            </w:r>
            <w:r w:rsidRPr="00420E27">
              <w:rPr>
                <w:color w:val="000000"/>
                <w:sz w:val="22"/>
                <w:szCs w:val="22"/>
              </w:rPr>
              <w:t>.</w:t>
            </w:r>
          </w:p>
          <w:p w:rsidR="00000528" w:rsidRPr="00000528" w:rsidRDefault="00000528" w:rsidP="00000528">
            <w:pPr>
              <w:ind w:left="483" w:right="420"/>
              <w:rPr>
                <w:sz w:val="22"/>
                <w:szCs w:val="22"/>
                <w:highlight w:val="yellow"/>
              </w:rPr>
            </w:pPr>
          </w:p>
          <w:p w:rsidR="00000528" w:rsidRPr="007F0244" w:rsidRDefault="00F2616E" w:rsidP="00000528">
            <w:pPr>
              <w:ind w:right="420"/>
              <w:rPr>
                <w:sz w:val="22"/>
                <w:szCs w:val="22"/>
              </w:rPr>
            </w:pPr>
            <w:r w:rsidRPr="00F261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Statssekreteraren </w:t>
            </w:r>
            <w:r w:rsidR="00000528" w:rsidRPr="00F2616E">
              <w:rPr>
                <w:sz w:val="22"/>
                <w:szCs w:val="22"/>
              </w:rPr>
              <w:t xml:space="preserve">redogjorde för regeringens ståndpunkt i enlighet med </w:t>
            </w:r>
            <w:r w:rsidR="00000528" w:rsidRPr="007F0244">
              <w:rPr>
                <w:sz w:val="22"/>
                <w:szCs w:val="22"/>
              </w:rPr>
              <w:t xml:space="preserve">faktapromemorian (bilaga </w:t>
            </w:r>
            <w:r w:rsidRPr="007F0244">
              <w:rPr>
                <w:sz w:val="22"/>
                <w:szCs w:val="22"/>
              </w:rPr>
              <w:t>2</w:t>
            </w:r>
            <w:r w:rsidR="00000528" w:rsidRPr="007F0244">
              <w:rPr>
                <w:sz w:val="22"/>
                <w:szCs w:val="22"/>
              </w:rPr>
              <w:t xml:space="preserve">). </w:t>
            </w:r>
          </w:p>
          <w:p w:rsidR="00000528" w:rsidRPr="007F0244" w:rsidRDefault="00000528" w:rsidP="00000528">
            <w:pPr>
              <w:tabs>
                <w:tab w:val="left" w:pos="1701"/>
              </w:tabs>
              <w:spacing w:line="256" w:lineRule="auto"/>
              <w:ind w:left="483" w:right="420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74402B" w:rsidRPr="00000528" w:rsidRDefault="00000528" w:rsidP="00000528">
            <w:pPr>
              <w:ind w:right="420"/>
              <w:rPr>
                <w:sz w:val="22"/>
                <w:szCs w:val="22"/>
              </w:rPr>
            </w:pPr>
            <w:r w:rsidRPr="007F0244">
              <w:rPr>
                <w:sz w:val="22"/>
                <w:szCs w:val="22"/>
              </w:rPr>
              <w:t>Ordföranden konstaterade att det fanns stöd för regeringens ståndpunkt.</w:t>
            </w:r>
            <w:r w:rsidRPr="00537853">
              <w:rPr>
                <w:sz w:val="22"/>
                <w:szCs w:val="22"/>
              </w:rPr>
              <w:t xml:space="preserve"> </w:t>
            </w:r>
          </w:p>
          <w:p w:rsidR="0074402B" w:rsidRDefault="0074402B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433114" w:rsidRPr="00433114" w:rsidRDefault="00433114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en europeisk förklaring om digitala rättigheter och principer för det digitala decenniet</w:t>
            </w:r>
          </w:p>
          <w:p w:rsidR="00433114" w:rsidRDefault="00433114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00528" w:rsidRPr="00C64604" w:rsidRDefault="00000528" w:rsidP="00000528">
            <w:pPr>
              <w:ind w:right="420"/>
              <w:rPr>
                <w:sz w:val="22"/>
                <w:szCs w:val="22"/>
              </w:rPr>
            </w:pPr>
            <w:r w:rsidRPr="00F2616E">
              <w:rPr>
                <w:sz w:val="22"/>
                <w:szCs w:val="22"/>
              </w:rPr>
              <w:t xml:space="preserve">Utskottet överlade med </w:t>
            </w:r>
            <w:r w:rsidR="00F32AC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="00F2616E" w:rsidRPr="00F261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tatssekreterare Per Callenberg</w:t>
            </w:r>
            <w:r w:rsidRPr="00F2616E">
              <w:rPr>
                <w:sz w:val="22"/>
                <w:szCs w:val="22"/>
              </w:rPr>
              <w:t xml:space="preserve">, åtföljd av </w:t>
            </w:r>
            <w:r w:rsidRPr="00C64604">
              <w:rPr>
                <w:sz w:val="22"/>
                <w:szCs w:val="22"/>
              </w:rPr>
              <w:t xml:space="preserve">medarbetare från Infrastrukturdepartementet. </w:t>
            </w:r>
          </w:p>
          <w:p w:rsidR="00000528" w:rsidRPr="00C64604" w:rsidRDefault="00000528" w:rsidP="00000528">
            <w:pPr>
              <w:ind w:left="483" w:right="420"/>
              <w:rPr>
                <w:sz w:val="22"/>
                <w:szCs w:val="22"/>
              </w:rPr>
            </w:pPr>
          </w:p>
          <w:p w:rsidR="00000528" w:rsidRPr="00C64604" w:rsidRDefault="00000528" w:rsidP="00000528">
            <w:pPr>
              <w:ind w:right="420"/>
              <w:rPr>
                <w:sz w:val="22"/>
                <w:szCs w:val="22"/>
              </w:rPr>
            </w:pPr>
            <w:r w:rsidRPr="00C64604">
              <w:rPr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C64604">
              <w:rPr>
                <w:color w:val="000000"/>
                <w:sz w:val="22"/>
                <w:szCs w:val="22"/>
              </w:rPr>
              <w:t>COM(</w:t>
            </w:r>
            <w:proofErr w:type="gramEnd"/>
            <w:r w:rsidRPr="00C64604">
              <w:rPr>
                <w:color w:val="000000"/>
                <w:sz w:val="22"/>
                <w:szCs w:val="22"/>
              </w:rPr>
              <w:t>202</w:t>
            </w:r>
            <w:r w:rsidR="00420E27" w:rsidRPr="00C64604">
              <w:rPr>
                <w:color w:val="000000"/>
                <w:sz w:val="22"/>
                <w:szCs w:val="22"/>
              </w:rPr>
              <w:t>2</w:t>
            </w:r>
            <w:r w:rsidRPr="00C64604">
              <w:rPr>
                <w:color w:val="000000"/>
                <w:sz w:val="22"/>
                <w:szCs w:val="22"/>
              </w:rPr>
              <w:t xml:space="preserve">) </w:t>
            </w:r>
            <w:r w:rsidR="00C64604" w:rsidRPr="00C64604">
              <w:rPr>
                <w:color w:val="000000"/>
                <w:sz w:val="22"/>
                <w:szCs w:val="22"/>
              </w:rPr>
              <w:t>27</w:t>
            </w:r>
            <w:r w:rsidRPr="00C64604">
              <w:rPr>
                <w:color w:val="000000"/>
                <w:sz w:val="22"/>
                <w:szCs w:val="22"/>
              </w:rPr>
              <w:t xml:space="preserve"> </w:t>
            </w:r>
            <w:r w:rsidRPr="00C64604">
              <w:rPr>
                <w:sz w:val="22"/>
                <w:szCs w:val="22"/>
              </w:rPr>
              <w:t xml:space="preserve">och Regeringskansliets faktapromemoria </w:t>
            </w:r>
            <w:r w:rsidRPr="00C64604">
              <w:rPr>
                <w:color w:val="000000"/>
                <w:sz w:val="22"/>
                <w:szCs w:val="22"/>
              </w:rPr>
              <w:t>2021/22:FPM</w:t>
            </w:r>
            <w:r w:rsidR="00420E27" w:rsidRPr="00C64604">
              <w:rPr>
                <w:color w:val="000000"/>
                <w:sz w:val="22"/>
                <w:szCs w:val="22"/>
              </w:rPr>
              <w:t>6</w:t>
            </w:r>
            <w:r w:rsidRPr="00C64604">
              <w:rPr>
                <w:color w:val="000000"/>
                <w:sz w:val="22"/>
                <w:szCs w:val="22"/>
              </w:rPr>
              <w:t>5.</w:t>
            </w:r>
          </w:p>
          <w:p w:rsidR="00000528" w:rsidRPr="00000528" w:rsidRDefault="00000528" w:rsidP="00000528">
            <w:pPr>
              <w:ind w:left="483" w:right="420"/>
              <w:rPr>
                <w:sz w:val="22"/>
                <w:szCs w:val="22"/>
                <w:highlight w:val="yellow"/>
              </w:rPr>
            </w:pPr>
          </w:p>
          <w:p w:rsidR="00000528" w:rsidRPr="007F0244" w:rsidRDefault="00F2616E" w:rsidP="00000528">
            <w:pPr>
              <w:ind w:right="420"/>
              <w:rPr>
                <w:sz w:val="22"/>
                <w:szCs w:val="22"/>
              </w:rPr>
            </w:pPr>
            <w:r w:rsidRPr="007F024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Statssekreteraren</w:t>
            </w:r>
            <w:r w:rsidR="00000528" w:rsidRPr="007F0244">
              <w:rPr>
                <w:sz w:val="22"/>
                <w:szCs w:val="22"/>
              </w:rPr>
              <w:t xml:space="preserve"> redogjorde för regeringens ståndpunkt i enlighet med faktapromemorian (bilaga 3). </w:t>
            </w:r>
          </w:p>
          <w:p w:rsidR="00000528" w:rsidRPr="007F0244" w:rsidRDefault="00000528" w:rsidP="00000528">
            <w:pPr>
              <w:tabs>
                <w:tab w:val="left" w:pos="1701"/>
              </w:tabs>
              <w:spacing w:line="256" w:lineRule="auto"/>
              <w:ind w:left="483" w:right="420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00528" w:rsidRPr="00000528" w:rsidRDefault="00000528" w:rsidP="00000528">
            <w:pPr>
              <w:ind w:right="420"/>
              <w:rPr>
                <w:sz w:val="22"/>
                <w:szCs w:val="22"/>
              </w:rPr>
            </w:pPr>
            <w:r w:rsidRPr="007F0244">
              <w:rPr>
                <w:sz w:val="22"/>
                <w:szCs w:val="22"/>
              </w:rPr>
              <w:t>Ordföranden konstaterade att det fanns stöd för regeringens ståndpunkt.</w:t>
            </w:r>
            <w:r w:rsidRPr="00537853">
              <w:rPr>
                <w:sz w:val="22"/>
                <w:szCs w:val="22"/>
              </w:rPr>
              <w:t xml:space="preserve"> </w:t>
            </w:r>
          </w:p>
          <w:p w:rsidR="00433114" w:rsidRDefault="00433114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433114" w:rsidRPr="00433114" w:rsidRDefault="00433114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förberedelser inför Sveriges EU-ordförandeskap</w:t>
            </w:r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4331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4402B" w:rsidRPr="007440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Statssekreterare Per Callenberg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informerade inför Sveriges EU-ordförandeskap.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579E7" w:rsidRDefault="003579E7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79E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Infrastrukturfrågor (TU16)</w:t>
            </w:r>
          </w:p>
          <w:p w:rsidR="00DB77DD" w:rsidRDefault="003579E7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579E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 s</w:t>
            </w:r>
            <w:r w:rsidRPr="003579E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krivelse</w:t>
            </w:r>
            <w:r w:rsidR="00F32AC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rna</w:t>
            </w:r>
            <w:r w:rsidRPr="003579E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2021/22:56</w:t>
            </w:r>
            <w:r w:rsidR="00F32AC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3579E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2021/22:80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3579E7" w:rsidRDefault="003579E7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1036F8" w:rsidRDefault="003579E7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3579E7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 w:rsidRPr="003579E7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579E7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 w:rsidRPr="003579E7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000528" w:rsidRDefault="00000528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B77DD" w:rsidRPr="001036F8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</w:t>
            </w:r>
            <w:r w:rsidR="00740F4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i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sdagen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</w:t>
            </w:r>
            <w:r w:rsidR="00740F4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maj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</w:t>
            </w:r>
            <w:r w:rsidR="00740F4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.00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B77DD" w:rsidRPr="00BC58A5" w:rsidRDefault="00DB77DD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den </w:t>
            </w:r>
            <w:r w:rsidR="008A0F03">
              <w:rPr>
                <w:sz w:val="22"/>
                <w:szCs w:val="22"/>
                <w:lang w:val="en-GB" w:eastAsia="en-US"/>
              </w:rPr>
              <w:t>3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maj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Jens Holm </w:t>
            </w:r>
          </w:p>
          <w:p w:rsidR="00DB77DD" w:rsidRDefault="00DB77DD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B77DD" w:rsidRDefault="00DB77DD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2021/22:28</w:t>
            </w:r>
          </w:p>
        </w:tc>
      </w:tr>
      <w:tr w:rsidR="00DB77DD" w:rsidTr="00015010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422733">
              <w:rPr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="008A0F0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8A0F03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Elin Lundgren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0F03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Noria Manouchi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0F03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Halef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3" w:rsidRDefault="008A0F03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77DD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D" w:rsidRDefault="00DB77DD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B77DD" w:rsidRDefault="00DB77DD" w:rsidP="00DB77DD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DB77DD" w:rsidRDefault="00DB77DD" w:rsidP="00DB77DD"/>
    <w:p w:rsidR="00DB77DD" w:rsidRDefault="00DB77DD" w:rsidP="00DB77DD"/>
    <w:p w:rsidR="00DB77DD" w:rsidRDefault="00DB77DD" w:rsidP="00DB77DD">
      <w:r>
        <w:t xml:space="preserve">                                                                                                                           </w:t>
      </w:r>
    </w:p>
    <w:p w:rsidR="00DB77DD" w:rsidRDefault="00DB77DD" w:rsidP="00DB77DD">
      <w:pPr>
        <w:widowControl/>
        <w:spacing w:after="160" w:line="259" w:lineRule="auto"/>
      </w:pPr>
    </w:p>
    <w:p w:rsidR="0089375F" w:rsidRDefault="0089375F">
      <w:pPr>
        <w:widowControl/>
        <w:spacing w:after="160" w:line="259" w:lineRule="auto"/>
      </w:pPr>
      <w:r>
        <w:br w:type="page"/>
      </w:r>
    </w:p>
    <w:p w:rsidR="00A13DF2" w:rsidRPr="00655E38" w:rsidRDefault="00A13DF2" w:rsidP="00A13DF2">
      <w:pPr>
        <w:jc w:val="right"/>
        <w:rPr>
          <w:b/>
          <w:sz w:val="22"/>
          <w:szCs w:val="22"/>
        </w:rPr>
      </w:pPr>
      <w:r w:rsidRPr="00655E38">
        <w:rPr>
          <w:b/>
          <w:sz w:val="22"/>
          <w:szCs w:val="22"/>
        </w:rPr>
        <w:lastRenderedPageBreak/>
        <w:t>Bilaga 2</w:t>
      </w:r>
    </w:p>
    <w:p w:rsidR="00A13DF2" w:rsidRPr="00655E38" w:rsidRDefault="00A13DF2" w:rsidP="00A13DF2">
      <w:pPr>
        <w:rPr>
          <w:sz w:val="22"/>
          <w:szCs w:val="22"/>
        </w:rPr>
      </w:pPr>
    </w:p>
    <w:p w:rsidR="00A13DF2" w:rsidRPr="00655E38" w:rsidRDefault="00A13DF2" w:rsidP="00A13DF2">
      <w:pPr>
        <w:rPr>
          <w:color w:val="000000"/>
          <w:sz w:val="22"/>
          <w:szCs w:val="22"/>
        </w:rPr>
      </w:pPr>
      <w:r w:rsidRPr="00655E38">
        <w:rPr>
          <w:sz w:val="22"/>
          <w:szCs w:val="22"/>
        </w:rPr>
        <w:t>Regeringens ståndpunkt i enlighet med faktapromemorian (</w:t>
      </w:r>
      <w:r w:rsidRPr="00655E38">
        <w:rPr>
          <w:color w:val="000000"/>
          <w:sz w:val="22"/>
          <w:szCs w:val="22"/>
        </w:rPr>
        <w:t>2021/</w:t>
      </w:r>
      <w:proofErr w:type="gramStart"/>
      <w:r w:rsidRPr="00655E38">
        <w:rPr>
          <w:color w:val="000000"/>
          <w:sz w:val="22"/>
          <w:szCs w:val="22"/>
        </w:rPr>
        <w:t>22:FPM</w:t>
      </w:r>
      <w:proofErr w:type="gramEnd"/>
      <w:r w:rsidR="00655E38">
        <w:rPr>
          <w:color w:val="000000"/>
          <w:sz w:val="22"/>
          <w:szCs w:val="22"/>
        </w:rPr>
        <w:t>70</w:t>
      </w:r>
      <w:r w:rsidRPr="00655E38">
        <w:rPr>
          <w:color w:val="000000"/>
          <w:sz w:val="22"/>
          <w:szCs w:val="22"/>
        </w:rPr>
        <w:t>).</w:t>
      </w:r>
    </w:p>
    <w:p w:rsidR="006C08DE" w:rsidRPr="00655E38" w:rsidRDefault="006C08DE" w:rsidP="006C08DE">
      <w:pPr>
        <w:rPr>
          <w:b/>
          <w:sz w:val="22"/>
          <w:szCs w:val="22"/>
        </w:rPr>
      </w:pPr>
    </w:p>
    <w:p w:rsidR="006C08DE" w:rsidRPr="00655E38" w:rsidRDefault="006C08DE" w:rsidP="001155EE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Regeringen är övergripande positiv till kommissionens mål att skapa enhetlig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reglering för datadelning på den inre marknaden för att undvika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fragmentering och för att stärka den inre marknadens konkurrenskraft och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funktion. Regeringen anser att rättsakten, rätt utformad och genomförd, kan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bli ett viktigt verktyg för att uppnå den europeiska datastrategins mål, bl.a.</w:t>
      </w:r>
      <w:r w:rsid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genom inrättande av gemensamma europeiska dataområden för särskilt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viktiga områden som hälsa, energi och transport. Förslaget är ett viktigt led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både för att uppnå det riksdagsbundna målet om att Sverige ska vara bäst i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världen på att tillvarata digitaliseringens möjligheter (prop. 2011/12:1,</w:t>
      </w:r>
      <w:r w:rsidR="00655E38" w:rsidRPr="00655E38">
        <w:rPr>
          <w:sz w:val="22"/>
          <w:szCs w:val="22"/>
        </w:rPr>
        <w:t xml:space="preserve"> </w:t>
      </w:r>
      <w:proofErr w:type="spellStart"/>
      <w:r w:rsidRPr="00655E38">
        <w:rPr>
          <w:sz w:val="22"/>
          <w:szCs w:val="22"/>
        </w:rPr>
        <w:t>utg.omr</w:t>
      </w:r>
      <w:proofErr w:type="spellEnd"/>
      <w:r w:rsidRPr="00655E38">
        <w:rPr>
          <w:sz w:val="22"/>
          <w:szCs w:val="22"/>
        </w:rPr>
        <w:t>. 22, bet. 2011/</w:t>
      </w:r>
      <w:proofErr w:type="gramStart"/>
      <w:r w:rsidRPr="00655E38">
        <w:rPr>
          <w:sz w:val="22"/>
          <w:szCs w:val="22"/>
        </w:rPr>
        <w:t>12:TU</w:t>
      </w:r>
      <w:proofErr w:type="gramEnd"/>
      <w:r w:rsidRPr="00655E38">
        <w:rPr>
          <w:sz w:val="22"/>
          <w:szCs w:val="22"/>
        </w:rPr>
        <w:t>1, rskr. 2011/12:87) liksom den övergripande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europeiska visionen om EU:s digitala transformation som stadgas i 2030-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policyprogrammet ”En färdväg för det digitala decenniet” (</w:t>
      </w:r>
      <w:proofErr w:type="gramStart"/>
      <w:r w:rsidRPr="00655E38">
        <w:rPr>
          <w:sz w:val="22"/>
          <w:szCs w:val="22"/>
        </w:rPr>
        <w:t>COM(</w:t>
      </w:r>
      <w:proofErr w:type="gramEnd"/>
      <w:r w:rsidRPr="00655E38">
        <w:rPr>
          <w:sz w:val="22"/>
          <w:szCs w:val="22"/>
        </w:rPr>
        <w:t>2021) 574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final).</w:t>
      </w:r>
    </w:p>
    <w:p w:rsidR="00655E38" w:rsidRPr="00655E38" w:rsidRDefault="00655E38" w:rsidP="001155EE">
      <w:pPr>
        <w:ind w:left="284"/>
        <w:jc w:val="both"/>
        <w:rPr>
          <w:sz w:val="22"/>
          <w:szCs w:val="22"/>
        </w:rPr>
      </w:pPr>
    </w:p>
    <w:p w:rsidR="00655E38" w:rsidRPr="00655E38" w:rsidRDefault="006C08DE" w:rsidP="001155EE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Data är en central del av den digitala ekonomin och en nödvändig resurs för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att säkerställa den gröna och den digitala omställningen. God tillgång till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data är en allt viktigare förutsättning för innovation, hållbar tillväxt och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minskad resursförbrukning. Regeringen stödjer därför förslagets syfte att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säkerställa en rättvis fördelning av datauppgifternas värde bland aktörerna i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dataekonomin och att främja åtkomsten till och användningen av data.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Regeringens utgångspunkt är att de rättsakter som underbygger EU:s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datastrategi, inklusive denna förordning, ska bidra till att stärka EU:s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konkurrens- och innovationskraft, samhällets digitala omvandling samt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internationellt samarbete kring data</w:t>
      </w:r>
      <w:r w:rsidR="00655E38">
        <w:rPr>
          <w:sz w:val="22"/>
          <w:szCs w:val="22"/>
        </w:rPr>
        <w:softHyphen/>
      </w:r>
      <w:r w:rsidRPr="00655E38">
        <w:rPr>
          <w:sz w:val="22"/>
          <w:szCs w:val="22"/>
        </w:rPr>
        <w:t>delning. Regeringen understryker vikten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av att EU fortsatt samarbetar med likasinnade länder och globala aktörer,</w:t>
      </w:r>
      <w:r w:rsid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särskilt i arbetet med en likriktad normering och standardisering. Regeringen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anser även att det är viktigt att den föreslagna rättsakten ska bidra till att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balansera flödet och den omfattande användningen av data med krav på hög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cyber- och informationssäkerhet, integritet och etiska standarder.</w:t>
      </w:r>
    </w:p>
    <w:p w:rsidR="006C08DE" w:rsidRPr="00655E38" w:rsidRDefault="006C08DE" w:rsidP="001155EE">
      <w:pPr>
        <w:ind w:left="284"/>
        <w:jc w:val="both"/>
        <w:rPr>
          <w:sz w:val="22"/>
          <w:szCs w:val="22"/>
        </w:rPr>
      </w:pPr>
    </w:p>
    <w:p w:rsidR="006C08DE" w:rsidRPr="00655E38" w:rsidRDefault="006C08DE" w:rsidP="001155EE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Regeringen välkomnar särskilt dels de delar av förslaget som dels syftar till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att skapa ökade möjligheter för användare till kontroll och insyn av de data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om användaren som finns hos datainnehavaren. Förslagens delar som syftar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till att möjliggöra för offentliga myndigheter och EU:s institutioner att få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tillgång till data som innehas av företag när det finns ett exceptionellt behov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av sådan data, t.ex. för att hantera kriser framstår som rimliga men det är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viktigt med tydliga definitioner när sådana behov anses föreligga. Regeringen stödjer därför inriktningen att ta fram regler som ökar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transparensen, tydliggör ansvarsförhållanden och avtalsvillkor samt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möjliggör tillsyn och efter</w:t>
      </w:r>
      <w:r w:rsidR="00655E38">
        <w:rPr>
          <w:sz w:val="22"/>
          <w:szCs w:val="22"/>
        </w:rPr>
        <w:softHyphen/>
      </w:r>
      <w:r w:rsidRPr="00655E38">
        <w:rPr>
          <w:sz w:val="22"/>
          <w:szCs w:val="22"/>
        </w:rPr>
        <w:t>levnad. Förslagets ansats att stärka och tydliggöra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rättigheter och möjligheter för den svagare parten i kontrakt och avtal är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lovvärd men behöver konkretiseras.</w:t>
      </w:r>
    </w:p>
    <w:p w:rsidR="006C08DE" w:rsidRPr="00655E38" w:rsidRDefault="006C08DE" w:rsidP="001155EE">
      <w:pPr>
        <w:ind w:left="284"/>
        <w:jc w:val="both"/>
        <w:rPr>
          <w:sz w:val="22"/>
          <w:szCs w:val="22"/>
        </w:rPr>
      </w:pPr>
    </w:p>
    <w:p w:rsidR="008D6163" w:rsidRPr="00655E38" w:rsidRDefault="006C08DE" w:rsidP="001155EE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Samtidigt anser regeringen att reglerna behöver vara proportionerliga i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förhållande till de syften som anges, utgå från principen om teknikneutralitet,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samt ge utrymme för flexibilitet och anpassning beroende på vilken sektor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som omfattas. Definitioner och begrepp behöver vara tydliga och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samstämmiga. Regler som rör tillgängliggörande av data bör bygga på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rättvisa konkurrens</w:t>
      </w:r>
      <w:r w:rsidR="00655E38">
        <w:rPr>
          <w:sz w:val="22"/>
          <w:szCs w:val="22"/>
        </w:rPr>
        <w:softHyphen/>
      </w:r>
      <w:r w:rsidRPr="00655E38">
        <w:rPr>
          <w:sz w:val="22"/>
          <w:szCs w:val="22"/>
        </w:rPr>
        <w:t>förhållanden och inte verka hindrande för investeringar i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exempelvis nya affärsmodeller. Förslaget bör inte heller skapa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oproportionerligt höga administrativa bördor för europeiska företag och</w:t>
      </w:r>
      <w:r w:rsidR="00655E38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myndigheter.</w:t>
      </w:r>
      <w:r w:rsidRPr="00655E38">
        <w:rPr>
          <w:sz w:val="22"/>
          <w:szCs w:val="22"/>
        </w:rPr>
        <w:cr/>
      </w:r>
      <w:r w:rsidR="008D6163" w:rsidRPr="00655E38">
        <w:rPr>
          <w:sz w:val="22"/>
          <w:szCs w:val="22"/>
        </w:rPr>
        <w:br w:type="page"/>
      </w:r>
    </w:p>
    <w:p w:rsidR="00A13DF2" w:rsidRPr="00655E38" w:rsidRDefault="00A13DF2" w:rsidP="00A13DF2">
      <w:pPr>
        <w:jc w:val="right"/>
        <w:rPr>
          <w:b/>
          <w:sz w:val="22"/>
          <w:szCs w:val="22"/>
        </w:rPr>
      </w:pPr>
      <w:r w:rsidRPr="00655E38">
        <w:rPr>
          <w:b/>
          <w:sz w:val="22"/>
          <w:szCs w:val="22"/>
        </w:rPr>
        <w:lastRenderedPageBreak/>
        <w:t>Bilaga 3</w:t>
      </w:r>
    </w:p>
    <w:p w:rsidR="00A13DF2" w:rsidRPr="00655E38" w:rsidRDefault="00A13DF2" w:rsidP="00A13DF2">
      <w:pPr>
        <w:jc w:val="right"/>
        <w:rPr>
          <w:b/>
          <w:sz w:val="22"/>
          <w:szCs w:val="22"/>
        </w:rPr>
      </w:pPr>
    </w:p>
    <w:p w:rsidR="00A13DF2" w:rsidRPr="00655E38" w:rsidRDefault="00A13DF2" w:rsidP="00A13DF2">
      <w:pPr>
        <w:rPr>
          <w:color w:val="000000"/>
          <w:sz w:val="22"/>
          <w:szCs w:val="22"/>
        </w:rPr>
      </w:pPr>
      <w:r w:rsidRPr="00655E38">
        <w:rPr>
          <w:sz w:val="22"/>
          <w:szCs w:val="22"/>
        </w:rPr>
        <w:t>Regeringens ståndpunkt i enlighet med faktapromemorian (</w:t>
      </w:r>
      <w:r w:rsidRPr="00655E38">
        <w:rPr>
          <w:color w:val="000000"/>
          <w:sz w:val="22"/>
          <w:szCs w:val="22"/>
        </w:rPr>
        <w:t>2021/</w:t>
      </w:r>
      <w:proofErr w:type="gramStart"/>
      <w:r w:rsidRPr="00655E38">
        <w:rPr>
          <w:color w:val="000000"/>
          <w:sz w:val="22"/>
          <w:szCs w:val="22"/>
        </w:rPr>
        <w:t>22:FPM</w:t>
      </w:r>
      <w:proofErr w:type="gramEnd"/>
      <w:r w:rsidR="00D61779" w:rsidRPr="00655E38">
        <w:rPr>
          <w:color w:val="000000"/>
          <w:sz w:val="22"/>
          <w:szCs w:val="22"/>
        </w:rPr>
        <w:t>65</w:t>
      </w:r>
      <w:r w:rsidRPr="00655E38">
        <w:rPr>
          <w:color w:val="000000"/>
          <w:sz w:val="22"/>
          <w:szCs w:val="22"/>
        </w:rPr>
        <w:t>).</w:t>
      </w:r>
    </w:p>
    <w:p w:rsidR="008D6163" w:rsidRPr="00655E38" w:rsidRDefault="008D6163" w:rsidP="008D6163">
      <w:pPr>
        <w:rPr>
          <w:b/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Regeringen kan välkomna en principförklaring som bekräftar att mänskliga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rättigheter gäller i den digitala miljön och som syftar till att möjliggöra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digital tillgång och deltagande. Förslaget om en europeisk förklaring om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digitala rättigheter och principer kan vara ett viktigt instrument för att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säkerställa att den digitala omställningen grundas i EU:s gemensamma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värden och principer, inte minst mänskliga rättigheter, demokrati och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rättsstatens principer, men måste förankras i och harmoniseras med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existerande folkrättsliga åtaganden och mänskliga rättigheter.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 xml:space="preserve">Utgångspunkten är att de mänskliga rättigheter som gäller </w:t>
      </w:r>
      <w:proofErr w:type="spellStart"/>
      <w:r w:rsidRPr="00655E38">
        <w:rPr>
          <w:sz w:val="22"/>
          <w:szCs w:val="22"/>
        </w:rPr>
        <w:t>offline</w:t>
      </w:r>
      <w:proofErr w:type="spellEnd"/>
      <w:r w:rsidRPr="00655E38">
        <w:rPr>
          <w:sz w:val="22"/>
          <w:szCs w:val="22"/>
        </w:rPr>
        <w:t xml:space="preserve"> även gäller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online. Fokus bör därför vara att identifiera principer, bland annat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jämställdhet och icke-diskriminering, som möjliggör full respekt för och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efterlevnad av befintliga rättigheter även online, inte att tillskapa nya eller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parallella rättigheter som gäller digitalt. Arbetet bör ta avstamp i tidigare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arbete på området, inklusive inom FN, inte minst Unescos arbete och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Europarådet, såväl som koordineras med andra pågående processer. Ett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jämställdhetsperspektiv bör inkluderas i arbetet.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EU bör t.ex. särskilt försvara att den digitala tekniken ska användas på sätt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som överensstämmer med FN-stadgan och FN:s deklaration om de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mänskliga rättigheterna. Hänvisningar till folkrätt och mänskliga rättigheter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 xml:space="preserve">saknas i det första utkastet. 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En förklaring om digitala principer bör grunda sig särskilt på principen om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ett öppet, fritt och säkert internet, vilket är en förutsättning för att säkerställa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åtnjutandet av mänskliga rättigheter. Den bör även ta fasta på principen om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flerpartssamverkan inklusive med den privata sektorn och med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civilsamhället.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Regeringen menar att den digitala omställningen bör ske kostnadseffektivt,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samhälls</w:t>
      </w:r>
      <w:r w:rsidR="00D61779" w:rsidRPr="00655E38">
        <w:rPr>
          <w:sz w:val="22"/>
          <w:szCs w:val="22"/>
        </w:rPr>
        <w:softHyphen/>
      </w:r>
      <w:r w:rsidRPr="00655E38">
        <w:rPr>
          <w:sz w:val="22"/>
          <w:szCs w:val="22"/>
        </w:rPr>
        <w:t>ekonomiskt effektivt och i möjligaste mån budgetrestriktivt.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Regeringen anser vidare att principen för EU:s digitala omvandling är att den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ska utformas så att den kan ske på ett tillförlitligt och säkert sätt samt att</w:t>
      </w:r>
      <w:r w:rsidR="00A13DF2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medlemsstaternas behov av att kunna skydda sina nationella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säkerhetsintressen ska säkerställas.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Regeringen delar synen att den personliga integriteten är viktig i den digitala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miljön, till exempel är rätten till privatliv fastslaget i artikel 7 i Europeiska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konventionen om skydd för de mänskliga rättigheterna. Men rätten att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förfoga över offentlig information som rör den egna personen kan inte vara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absolut utan måste vägas av mot allmänna intressen t.ex. rättskipning,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forskningsbehov och innovation samt mot intresset av att skydda andra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personers mänskliga rättigheter.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Regeringen välkomnar kapitlet Hållbarhet och delar synen om att främja en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cirkulär ekonomi vilket också är i linje med regeringens nationella strategi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för cirkulär ekonomi. Digitaliseringen kan, om den används på ett klokt och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hållbart sätt, underlätta omställningen till en giftfri och resurseffektiv</w:t>
      </w:r>
      <w:r w:rsidR="008D6163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ekonomi.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I den digitala kompassen löper ambitionen om en förstärkt digital suveränitet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som en röd tråd. Regeringen anser att utgångspunkten för detta arbete bör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vara att det ska ske genom smarta och selektiva åtgärder som bevarar öppna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marknader och globalt samarbete. Det kan finnas behov av att minska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sårbarheter på det digitala området men detta innebär inte att vi ska stänga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oss mot omvärlden. Regeringen anser vidare att åtgärder för den digitala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omvandlingen av EU bör stöttas av nödvändiga informations- och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 xml:space="preserve">cybersäkerhetsåtgärder. </w:t>
      </w:r>
    </w:p>
    <w:p w:rsidR="0089375F" w:rsidRPr="00655E38" w:rsidRDefault="0089375F" w:rsidP="00655E38">
      <w:pPr>
        <w:ind w:left="284"/>
        <w:jc w:val="both"/>
        <w:rPr>
          <w:sz w:val="22"/>
          <w:szCs w:val="22"/>
        </w:rPr>
      </w:pPr>
    </w:p>
    <w:p w:rsidR="00A37376" w:rsidRPr="00655E38" w:rsidRDefault="0089375F" w:rsidP="00655E38">
      <w:pPr>
        <w:ind w:left="284"/>
        <w:jc w:val="both"/>
        <w:rPr>
          <w:sz w:val="22"/>
          <w:szCs w:val="22"/>
        </w:rPr>
      </w:pPr>
      <w:r w:rsidRPr="00655E38">
        <w:rPr>
          <w:sz w:val="22"/>
          <w:szCs w:val="22"/>
        </w:rPr>
        <w:t>En väl fungerande digital inre marknaden är viktig för att bidra till den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digitala omställningen. Den inre marknaden ger bland annat förutsättningar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för ökad konkurrenskraft och handel samt innovation av nya produkter och</w:t>
      </w:r>
      <w:r w:rsidR="00D61779" w:rsidRPr="00655E38">
        <w:rPr>
          <w:sz w:val="22"/>
          <w:szCs w:val="22"/>
        </w:rPr>
        <w:t xml:space="preserve"> </w:t>
      </w:r>
      <w:r w:rsidRPr="00655E38">
        <w:rPr>
          <w:sz w:val="22"/>
          <w:szCs w:val="22"/>
        </w:rPr>
        <w:t>tjänster.</w:t>
      </w:r>
      <w:r w:rsidRPr="00655E38">
        <w:rPr>
          <w:sz w:val="22"/>
          <w:szCs w:val="22"/>
        </w:rPr>
        <w:cr/>
      </w:r>
    </w:p>
    <w:sectPr w:rsidR="00A37376" w:rsidRPr="0065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D"/>
    <w:rsid w:val="00000528"/>
    <w:rsid w:val="0006043F"/>
    <w:rsid w:val="00072835"/>
    <w:rsid w:val="00094A50"/>
    <w:rsid w:val="001036F8"/>
    <w:rsid w:val="001155EE"/>
    <w:rsid w:val="0020390D"/>
    <w:rsid w:val="0028015F"/>
    <w:rsid w:val="00280BC7"/>
    <w:rsid w:val="002A6DEB"/>
    <w:rsid w:val="002B7046"/>
    <w:rsid w:val="003579E7"/>
    <w:rsid w:val="00386CC5"/>
    <w:rsid w:val="00406C3C"/>
    <w:rsid w:val="00420E27"/>
    <w:rsid w:val="00422733"/>
    <w:rsid w:val="00433114"/>
    <w:rsid w:val="005315D0"/>
    <w:rsid w:val="00585C22"/>
    <w:rsid w:val="00655E38"/>
    <w:rsid w:val="0068235F"/>
    <w:rsid w:val="006B4146"/>
    <w:rsid w:val="006C08DE"/>
    <w:rsid w:val="006D3AF9"/>
    <w:rsid w:val="00704752"/>
    <w:rsid w:val="00712851"/>
    <w:rsid w:val="007149F6"/>
    <w:rsid w:val="00740F4D"/>
    <w:rsid w:val="0074402B"/>
    <w:rsid w:val="007B6A85"/>
    <w:rsid w:val="007F0244"/>
    <w:rsid w:val="0085378B"/>
    <w:rsid w:val="00874A67"/>
    <w:rsid w:val="0089375F"/>
    <w:rsid w:val="008A0F03"/>
    <w:rsid w:val="008D3BE8"/>
    <w:rsid w:val="008D6163"/>
    <w:rsid w:val="008F5C48"/>
    <w:rsid w:val="00925EF5"/>
    <w:rsid w:val="009643B0"/>
    <w:rsid w:val="00980BA4"/>
    <w:rsid w:val="009855B9"/>
    <w:rsid w:val="00A13DF2"/>
    <w:rsid w:val="00A37376"/>
    <w:rsid w:val="00B026D0"/>
    <w:rsid w:val="00BF35A4"/>
    <w:rsid w:val="00C64604"/>
    <w:rsid w:val="00D61779"/>
    <w:rsid w:val="00D66118"/>
    <w:rsid w:val="00D8468E"/>
    <w:rsid w:val="00DB77DD"/>
    <w:rsid w:val="00DE3D8E"/>
    <w:rsid w:val="00F063C4"/>
    <w:rsid w:val="00F2616E"/>
    <w:rsid w:val="00F32AC5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87C1"/>
  <w15:chartTrackingRefBased/>
  <w15:docId w15:val="{99145AE5-792D-4D71-B6D1-26BA6493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D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475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4752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114</TotalTime>
  <Pages>6</Pages>
  <Words>1623</Words>
  <Characters>10117</Characters>
  <Application>Microsoft Office Word</Application>
  <DocSecurity>0</DocSecurity>
  <Lines>1445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28</cp:revision>
  <cp:lastPrinted>2022-04-28T09:07:00Z</cp:lastPrinted>
  <dcterms:created xsi:type="dcterms:W3CDTF">2022-04-25T11:33:00Z</dcterms:created>
  <dcterms:modified xsi:type="dcterms:W3CDTF">2022-05-03T12:00:00Z</dcterms:modified>
</cp:coreProperties>
</file>