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925A8" w14:paraId="204DBE85" w14:textId="77777777">
        <w:tblPrEx>
          <w:tblCellMar>
            <w:top w:w="0" w:type="dxa"/>
            <w:bottom w:w="0" w:type="dxa"/>
          </w:tblCellMar>
        </w:tblPrEx>
        <w:trPr>
          <w:cantSplit/>
          <w:trHeight w:val="1720"/>
        </w:trPr>
        <w:tc>
          <w:tcPr>
            <w:tcW w:w="6024" w:type="dxa"/>
            <w:gridSpan w:val="2"/>
          </w:tcPr>
          <w:p w14:paraId="0863F0B8" w14:textId="77777777" w:rsidR="00241093" w:rsidRPr="000925A8" w:rsidRDefault="00241093">
            <w:pPr>
              <w:pStyle w:val="HuvudRubrik"/>
            </w:pPr>
            <w:r w:rsidRPr="000925A8">
              <w:t>Bostadsutskottets betänkande</w:t>
            </w:r>
          </w:p>
          <w:p w14:paraId="7D1672CB" w14:textId="77777777" w:rsidR="00241093" w:rsidRPr="000925A8" w:rsidRDefault="00241093">
            <w:pPr>
              <w:pStyle w:val="HuvudRubrikRad2"/>
            </w:pPr>
            <w:bookmarkStart w:id="0" w:name="BetänkandeNr"/>
            <w:bookmarkEnd w:id="0"/>
            <w:r w:rsidRPr="000925A8">
              <w:t>2001/02:BoU8</w:t>
            </w:r>
          </w:p>
        </w:tc>
        <w:tc>
          <w:tcPr>
            <w:tcW w:w="1418" w:type="dxa"/>
            <w:tcBorders>
              <w:bottom w:val="nil"/>
            </w:tcBorders>
          </w:tcPr>
          <w:p w14:paraId="613EDF8A" w14:textId="6C8E9D86" w:rsidR="00241093" w:rsidRPr="000925A8" w:rsidRDefault="000925A8">
            <w:pPr>
              <w:spacing w:line="230" w:lineRule="auto"/>
              <w:jc w:val="center"/>
            </w:pPr>
            <w:r w:rsidRPr="000925A8">
              <w:rPr>
                <w:noProof/>
              </w:rPr>
              <w:drawing>
                <wp:inline distT="0" distB="0" distL="0" distR="0" wp14:anchorId="10A6E8D4" wp14:editId="6BF336EA">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14:paraId="44128C78" w14:textId="77777777" w:rsidR="00241093" w:rsidRPr="000925A8" w:rsidRDefault="00241093">
            <w:pPr>
              <w:pStyle w:val="Normaltindrag"/>
              <w:jc w:val="center"/>
            </w:pPr>
          </w:p>
          <w:p w14:paraId="16A3C18C" w14:textId="77777777" w:rsidR="00241093" w:rsidRPr="000925A8" w:rsidRDefault="00241093">
            <w:pPr>
              <w:pStyle w:val="StatusSida1"/>
            </w:pPr>
          </w:p>
          <w:p w14:paraId="2344C531" w14:textId="77777777" w:rsidR="00241093" w:rsidRPr="000925A8" w:rsidRDefault="00241093">
            <w:pPr>
              <w:pStyle w:val="UtskriftsdatumSida1"/>
              <w:framePr w:wrap="around"/>
            </w:pPr>
          </w:p>
        </w:tc>
      </w:tr>
      <w:tr w:rsidR="00000000" w:rsidRPr="000925A8" w14:paraId="1F88EDA7" w14:textId="77777777">
        <w:tblPrEx>
          <w:tblCellMar>
            <w:top w:w="0" w:type="dxa"/>
            <w:bottom w:w="0" w:type="dxa"/>
          </w:tblCellMar>
        </w:tblPrEx>
        <w:trPr>
          <w:cantSplit/>
        </w:trPr>
        <w:tc>
          <w:tcPr>
            <w:tcW w:w="6024" w:type="dxa"/>
            <w:gridSpan w:val="2"/>
            <w:tcBorders>
              <w:bottom w:val="single" w:sz="4" w:space="0" w:color="auto"/>
            </w:tcBorders>
          </w:tcPr>
          <w:p w14:paraId="6192C65C" w14:textId="77777777" w:rsidR="00241093" w:rsidRPr="000925A8" w:rsidRDefault="00241093">
            <w:pPr>
              <w:pStyle w:val="DokumentRubrik"/>
              <w:rPr>
                <w:noProof w:val="0"/>
              </w:rPr>
            </w:pPr>
            <w:bookmarkStart w:id="1" w:name="Huvudrubrik"/>
            <w:bookmarkEnd w:id="1"/>
            <w:r w:rsidRPr="000925A8">
              <w:rPr>
                <w:noProof w:val="0"/>
              </w:rPr>
              <w:t>Planfrågor</w:t>
            </w:r>
          </w:p>
        </w:tc>
        <w:tc>
          <w:tcPr>
            <w:tcW w:w="1418" w:type="dxa"/>
            <w:tcBorders>
              <w:bottom w:val="nil"/>
            </w:tcBorders>
          </w:tcPr>
          <w:p w14:paraId="56D0B3A7" w14:textId="77777777" w:rsidR="00241093" w:rsidRPr="000925A8" w:rsidRDefault="00241093"/>
        </w:tc>
      </w:tr>
      <w:tr w:rsidR="00000000" w:rsidRPr="000925A8" w14:paraId="75039A16" w14:textId="77777777">
        <w:tblPrEx>
          <w:tblCellMar>
            <w:top w:w="0" w:type="dxa"/>
            <w:bottom w:w="0" w:type="dxa"/>
          </w:tblCellMar>
        </w:tblPrEx>
        <w:trPr>
          <w:cantSplit/>
          <w:trHeight w:hRule="exact" w:val="360"/>
        </w:trPr>
        <w:tc>
          <w:tcPr>
            <w:tcW w:w="3012" w:type="dxa"/>
          </w:tcPr>
          <w:p w14:paraId="6311ED4B" w14:textId="77777777" w:rsidR="00241093" w:rsidRPr="000925A8" w:rsidRDefault="00241093"/>
        </w:tc>
        <w:tc>
          <w:tcPr>
            <w:tcW w:w="3012" w:type="dxa"/>
          </w:tcPr>
          <w:p w14:paraId="41C936FB" w14:textId="77777777" w:rsidR="00241093" w:rsidRPr="000925A8" w:rsidRDefault="00241093"/>
        </w:tc>
        <w:tc>
          <w:tcPr>
            <w:tcW w:w="1418" w:type="dxa"/>
          </w:tcPr>
          <w:p w14:paraId="5F4F01C4" w14:textId="77777777" w:rsidR="00241093" w:rsidRPr="000925A8" w:rsidRDefault="00241093"/>
        </w:tc>
      </w:tr>
    </w:tbl>
    <w:p w14:paraId="263B2EB0" w14:textId="77777777" w:rsidR="00241093" w:rsidRPr="000925A8" w:rsidRDefault="00241093"/>
    <w:p w14:paraId="477AD09B" w14:textId="77777777" w:rsidR="00241093" w:rsidRPr="000925A8" w:rsidRDefault="00241093">
      <w:pPr>
        <w:pStyle w:val="Rubrik1"/>
        <w:spacing w:after="180"/>
        <w:rPr>
          <w:noProof w:val="0"/>
        </w:rPr>
      </w:pPr>
      <w:bookmarkStart w:id="2" w:name="_Toc4898191"/>
      <w:r w:rsidRPr="000925A8">
        <w:rPr>
          <w:noProof w:val="0"/>
        </w:rPr>
        <w:t>Sammanfattning</w:t>
      </w:r>
      <w:bookmarkEnd w:id="2"/>
    </w:p>
    <w:p w14:paraId="4DA1ACC4" w14:textId="77777777" w:rsidR="00241093" w:rsidRPr="000925A8" w:rsidRDefault="00241093">
      <w:bookmarkStart w:id="3" w:name="TextStart"/>
      <w:bookmarkEnd w:id="3"/>
      <w:r w:rsidRPr="000925A8">
        <w:t>I detta betänkande behandlas motioner från 2001 års allmänna motionstid i frågor om kommunala planer m.m. Dessutom behandlas ett yrkande i en motion väckt med anledning av Riksdagens revisorers förslag 2001/02:RR8 Plan- och byggprocessens längd.</w:t>
      </w:r>
    </w:p>
    <w:p w14:paraId="4E6DA89A" w14:textId="77777777" w:rsidR="00241093" w:rsidRPr="000925A8" w:rsidRDefault="00241093">
      <w:pPr>
        <w:pStyle w:val="Normaltindrag"/>
      </w:pPr>
      <w:r w:rsidRPr="000925A8">
        <w:t>Motionsförslagen avser olika krav som bör ställas vid kommunal planering och frågor som särskilt bör uppmärksammas i detta sammanhang. Det gäller bl.a. brottsförebyggande åtgärder i planeringen, planering för en tyst miljö, planering vid översvämningsrisk och planering för handelsetableringar. Vid</w:t>
      </w:r>
      <w:r w:rsidRPr="000925A8">
        <w:t>a</w:t>
      </w:r>
      <w:r w:rsidRPr="000925A8">
        <w:t xml:space="preserve">re tas vissa särskilda planeringsfrågor upp, bl.a. gällande rätten att använda offentlig plats. </w:t>
      </w:r>
    </w:p>
    <w:p w14:paraId="5FEA0E22" w14:textId="77777777" w:rsidR="00241093" w:rsidRPr="000925A8" w:rsidRDefault="00241093">
      <w:pPr>
        <w:pStyle w:val="Normaltindrag"/>
      </w:pPr>
      <w:r w:rsidRPr="000925A8">
        <w:t>Flertalet motionsyrkanden avstyrks. I många fall hänvisar utskottet till p</w:t>
      </w:r>
      <w:r w:rsidRPr="000925A8">
        <w:t>å</w:t>
      </w:r>
      <w:r w:rsidRPr="000925A8">
        <w:t>gående utvecklingsarbete och utredningar samt till den översyn av plan- och bygglagen som såväl riksdagen som regeringen ansett bör komma till stånd.</w:t>
      </w:r>
    </w:p>
    <w:p w14:paraId="312D27A9" w14:textId="77777777" w:rsidR="00241093" w:rsidRPr="000925A8" w:rsidRDefault="00241093">
      <w:pPr>
        <w:pStyle w:val="Normaltindrag"/>
      </w:pPr>
      <w:r w:rsidRPr="000925A8">
        <w:t>I en fråga – rätten att använda offentlig plats – föreslår utskottet att riksd</w:t>
      </w:r>
      <w:r w:rsidRPr="000925A8">
        <w:t>a</w:t>
      </w:r>
      <w:r w:rsidRPr="000925A8">
        <w:t>gen med anledning av två motioner (s) gör ett tillkännagivande till regeringen. Förslaget är föranlett av erfarenheter av att fastighetsägare inskränker möjli</w:t>
      </w:r>
      <w:r w:rsidRPr="000925A8">
        <w:t>g</w:t>
      </w:r>
      <w:r w:rsidRPr="000925A8">
        <w:t>heterna till opinionsbildande verksamheter på vissa o</w:t>
      </w:r>
      <w:r w:rsidRPr="000925A8">
        <w:t>f</w:t>
      </w:r>
      <w:r w:rsidRPr="000925A8">
        <w:t xml:space="preserve">fentliga platser. </w:t>
      </w:r>
    </w:p>
    <w:p w14:paraId="2C575B28" w14:textId="77777777" w:rsidR="00241093" w:rsidRPr="000925A8" w:rsidRDefault="00241093">
      <w:pPr>
        <w:pStyle w:val="Normaltindrag"/>
      </w:pPr>
      <w:r w:rsidRPr="000925A8">
        <w:t>Enligt bostadsutskottets mening talar starka skäl för att huvudprincipen bör vara den att var och en i förhållande till fastighetsägaren skall ha rätt att b</w:t>
      </w:r>
      <w:r w:rsidRPr="000925A8">
        <w:t>e</w:t>
      </w:r>
      <w:r w:rsidRPr="000925A8">
        <w:t>gagna offentliga platser för debatt, opinionsbildning, offentliga samtal, fly</w:t>
      </w:r>
      <w:r w:rsidRPr="000925A8">
        <w:t>g</w:t>
      </w:r>
      <w:r w:rsidRPr="000925A8">
        <w:t>bladsutdelning m.m. Innebörden i tillkännagivandet är att regeringen bör överväga de frågor som utskottet pekat på och ta ställning till hur avvägnin</w:t>
      </w:r>
      <w:r w:rsidRPr="000925A8">
        <w:t>g</w:t>
      </w:r>
      <w:r w:rsidRPr="000925A8">
        <w:t>en mellan de olika intressen, bl.a. äganderätten, som gör sig gällande bör göras. Regeringen bör därefter tillsammans med en redovisning av dessa överväganden återkomma till riksdagen med de lagförslag m.m. som kan krävas.</w:t>
      </w:r>
    </w:p>
    <w:p w14:paraId="2E50E26D" w14:textId="77777777" w:rsidR="00241093" w:rsidRPr="000925A8" w:rsidRDefault="00241093">
      <w:pPr>
        <w:pStyle w:val="Normaltindrag"/>
      </w:pPr>
      <w:r w:rsidRPr="000925A8">
        <w:t xml:space="preserve">Till betänkandet har fogats 19 reservationer. </w:t>
      </w:r>
    </w:p>
    <w:p w14:paraId="700B41B7" w14:textId="77777777" w:rsidR="00241093" w:rsidRPr="000925A8" w:rsidRDefault="00241093">
      <w:pPr>
        <w:pStyle w:val="Normaltindrag"/>
      </w:pPr>
      <w:r w:rsidRPr="000925A8">
        <w:t>I en bilaga till betänkandet finns en rapport – Länsstyrelserna och mella</w:t>
      </w:r>
      <w:r w:rsidRPr="000925A8">
        <w:t>n</w:t>
      </w:r>
      <w:r w:rsidRPr="000925A8">
        <w:t>kommunal samordning inom PBL-området. Rapporten är en redovisning av en uppföljning som bostadsutskottet låtit genomföra av länsstyrelsernas b</w:t>
      </w:r>
      <w:r w:rsidRPr="000925A8">
        <w:t>e</w:t>
      </w:r>
      <w:r w:rsidRPr="000925A8">
        <w:t>handling av pla</w:t>
      </w:r>
      <w:r w:rsidRPr="000925A8">
        <w:t>n</w:t>
      </w:r>
      <w:r w:rsidRPr="000925A8">
        <w:t xml:space="preserve">frågor som berör två eller flera kommuner. </w:t>
      </w:r>
    </w:p>
    <w:p w14:paraId="7AE50CAD" w14:textId="77777777" w:rsidR="00241093" w:rsidRPr="000925A8" w:rsidRDefault="00241093">
      <w:pPr>
        <w:pStyle w:val="Normaltindrag"/>
        <w:sectPr w:rsidR="00000000" w:rsidRPr="000925A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14:paraId="40244B26" w14:textId="77777777" w:rsidR="00241093" w:rsidRPr="000925A8" w:rsidRDefault="00241093">
      <w:pPr>
        <w:pStyle w:val="Rubrik1"/>
        <w:rPr>
          <w:noProof w:val="0"/>
        </w:rPr>
      </w:pPr>
      <w:bookmarkStart w:id="4" w:name="_Toc4898192"/>
      <w:r w:rsidRPr="000925A8">
        <w:rPr>
          <w:noProof w:val="0"/>
        </w:rPr>
        <w:lastRenderedPageBreak/>
        <w:t>Innehållsförteckning</w:t>
      </w:r>
      <w:bookmarkEnd w:id="4"/>
    </w:p>
    <w:p w14:paraId="4B63C5D9" w14:textId="77777777" w:rsidR="00241093" w:rsidRPr="000925A8" w:rsidRDefault="00241093">
      <w:pPr>
        <w:pStyle w:val="Innehll1"/>
      </w:pPr>
      <w:r w:rsidRPr="000925A8">
        <w:t>Sammanfattning</w:t>
      </w:r>
      <w:r w:rsidRPr="000925A8">
        <w:tab/>
        <w:t>1</w:t>
      </w:r>
    </w:p>
    <w:p w14:paraId="4DA9F5E4" w14:textId="77777777" w:rsidR="00241093" w:rsidRPr="000925A8" w:rsidRDefault="00241093">
      <w:pPr>
        <w:pStyle w:val="Innehll1"/>
      </w:pPr>
      <w:r w:rsidRPr="000925A8">
        <w:t>Innehållsförteckning</w:t>
      </w:r>
      <w:r w:rsidRPr="000925A8">
        <w:tab/>
        <w:t>2</w:t>
      </w:r>
    </w:p>
    <w:p w14:paraId="0C4B006D" w14:textId="77777777" w:rsidR="00241093" w:rsidRPr="000925A8" w:rsidRDefault="00241093">
      <w:pPr>
        <w:pStyle w:val="Innehll1"/>
      </w:pPr>
      <w:r w:rsidRPr="000925A8">
        <w:t>Utskottets förslag till riksdagsbeslut</w:t>
      </w:r>
      <w:r w:rsidRPr="000925A8">
        <w:tab/>
        <w:t>4</w:t>
      </w:r>
    </w:p>
    <w:p w14:paraId="345C0BD9" w14:textId="77777777" w:rsidR="00241093" w:rsidRPr="000925A8" w:rsidRDefault="00241093">
      <w:pPr>
        <w:pStyle w:val="Innehll1"/>
      </w:pPr>
      <w:r w:rsidRPr="000925A8">
        <w:t>Redogörelse för ärendet</w:t>
      </w:r>
      <w:r w:rsidRPr="000925A8">
        <w:tab/>
        <w:t>7</w:t>
      </w:r>
    </w:p>
    <w:p w14:paraId="4A3F4ACA" w14:textId="77777777" w:rsidR="00241093" w:rsidRPr="000925A8" w:rsidRDefault="00241093">
      <w:pPr>
        <w:pStyle w:val="Innehll1"/>
      </w:pPr>
      <w:r w:rsidRPr="000925A8">
        <w:t>Utskottets överväganden</w:t>
      </w:r>
      <w:r w:rsidRPr="000925A8">
        <w:tab/>
        <w:t>8</w:t>
      </w:r>
    </w:p>
    <w:p w14:paraId="792501BE" w14:textId="77777777" w:rsidR="00241093" w:rsidRPr="000925A8" w:rsidRDefault="00241093">
      <w:pPr>
        <w:pStyle w:val="Innehll2"/>
      </w:pPr>
      <w:r w:rsidRPr="000925A8">
        <w:t>Kommunala planer</w:t>
      </w:r>
      <w:r w:rsidRPr="000925A8">
        <w:tab/>
        <w:t>8</w:t>
      </w:r>
    </w:p>
    <w:p w14:paraId="1BC0D87A" w14:textId="77777777" w:rsidR="00241093" w:rsidRPr="000925A8" w:rsidRDefault="00241093">
      <w:pPr>
        <w:pStyle w:val="Innehll3"/>
      </w:pPr>
      <w:r w:rsidRPr="000925A8">
        <w:t>Övergripande krav på planering</w:t>
      </w:r>
      <w:r w:rsidRPr="000925A8">
        <w:tab/>
        <w:t>8</w:t>
      </w:r>
    </w:p>
    <w:p w14:paraId="503D7CF0" w14:textId="77777777" w:rsidR="00241093" w:rsidRPr="000925A8" w:rsidRDefault="00241093">
      <w:pPr>
        <w:pStyle w:val="Innehll3"/>
      </w:pPr>
      <w:r w:rsidRPr="000925A8">
        <w:t>Barns inflytande</w:t>
      </w:r>
      <w:r w:rsidRPr="000925A8">
        <w:tab/>
        <w:t>9</w:t>
      </w:r>
    </w:p>
    <w:p w14:paraId="61EEDB00" w14:textId="77777777" w:rsidR="00241093" w:rsidRPr="000925A8" w:rsidRDefault="00241093">
      <w:pPr>
        <w:pStyle w:val="Innehll3"/>
      </w:pPr>
      <w:r w:rsidRPr="000925A8">
        <w:t>Regionala frågor</w:t>
      </w:r>
      <w:r w:rsidRPr="000925A8">
        <w:tab/>
        <w:t>10</w:t>
      </w:r>
    </w:p>
    <w:p w14:paraId="23548AB5" w14:textId="77777777" w:rsidR="00241093" w:rsidRPr="000925A8" w:rsidRDefault="00241093">
      <w:pPr>
        <w:pStyle w:val="Innehll3"/>
      </w:pPr>
      <w:r w:rsidRPr="000925A8">
        <w:t>Agenda 21 och Habitatagendan</w:t>
      </w:r>
      <w:r w:rsidRPr="000925A8">
        <w:tab/>
        <w:t>12</w:t>
      </w:r>
    </w:p>
    <w:p w14:paraId="7D5A1752" w14:textId="77777777" w:rsidR="00241093" w:rsidRPr="000925A8" w:rsidRDefault="00241093">
      <w:pPr>
        <w:pStyle w:val="Innehll3"/>
      </w:pPr>
      <w:r w:rsidRPr="000925A8">
        <w:t>Planering för en tyst miljö</w:t>
      </w:r>
      <w:r w:rsidRPr="000925A8">
        <w:tab/>
        <w:t>13</w:t>
      </w:r>
    </w:p>
    <w:p w14:paraId="043D8F44" w14:textId="77777777" w:rsidR="00241093" w:rsidRPr="000925A8" w:rsidRDefault="00241093">
      <w:pPr>
        <w:pStyle w:val="Innehll3"/>
      </w:pPr>
      <w:r w:rsidRPr="000925A8">
        <w:t>Brottsförebyggande planering</w:t>
      </w:r>
      <w:r w:rsidRPr="000925A8">
        <w:tab/>
        <w:t>15</w:t>
      </w:r>
    </w:p>
    <w:p w14:paraId="48ADDB86" w14:textId="77777777" w:rsidR="00241093" w:rsidRPr="000925A8" w:rsidRDefault="00241093">
      <w:pPr>
        <w:pStyle w:val="Innehll3"/>
      </w:pPr>
      <w:r w:rsidRPr="000925A8">
        <w:t>Planering vid översvämningsrisk</w:t>
      </w:r>
      <w:r w:rsidRPr="000925A8">
        <w:tab/>
        <w:t>17</w:t>
      </w:r>
    </w:p>
    <w:p w14:paraId="50CB89E2" w14:textId="77777777" w:rsidR="00241093" w:rsidRPr="000925A8" w:rsidRDefault="00241093">
      <w:pPr>
        <w:pStyle w:val="Innehll3"/>
      </w:pPr>
      <w:r w:rsidRPr="000925A8">
        <w:t>Handelsändamålet i detaljplan</w:t>
      </w:r>
      <w:r w:rsidRPr="000925A8">
        <w:tab/>
        <w:t>18</w:t>
      </w:r>
    </w:p>
    <w:p w14:paraId="2B7573A7" w14:textId="77777777" w:rsidR="00241093" w:rsidRPr="000925A8" w:rsidRDefault="00241093">
      <w:pPr>
        <w:pStyle w:val="Innehll3"/>
      </w:pPr>
      <w:r w:rsidRPr="000925A8">
        <w:t>Externa köpcentrum</w:t>
      </w:r>
      <w:r w:rsidRPr="000925A8">
        <w:tab/>
        <w:t>19</w:t>
      </w:r>
    </w:p>
    <w:p w14:paraId="53E28B42" w14:textId="77777777" w:rsidR="00241093" w:rsidRPr="000925A8" w:rsidRDefault="00241093">
      <w:pPr>
        <w:pStyle w:val="Innehll3"/>
      </w:pPr>
      <w:r w:rsidRPr="000925A8">
        <w:t>Miljökonsekvensbeskrivningar vid vägplanering</w:t>
      </w:r>
      <w:r w:rsidRPr="000925A8">
        <w:tab/>
        <w:t>21</w:t>
      </w:r>
    </w:p>
    <w:p w14:paraId="350548A8" w14:textId="77777777" w:rsidR="00241093" w:rsidRPr="000925A8" w:rsidRDefault="00241093">
      <w:pPr>
        <w:pStyle w:val="Innehll3"/>
      </w:pPr>
      <w:r w:rsidRPr="000925A8">
        <w:t>Kommunala servicezoner</w:t>
      </w:r>
      <w:r w:rsidRPr="000925A8">
        <w:tab/>
        <w:t>21</w:t>
      </w:r>
    </w:p>
    <w:p w14:paraId="26C11B2A" w14:textId="77777777" w:rsidR="00241093" w:rsidRPr="000925A8" w:rsidRDefault="00241093">
      <w:pPr>
        <w:pStyle w:val="Innehll3"/>
      </w:pPr>
      <w:r w:rsidRPr="000925A8">
        <w:t>Den statliga kontrollen av kommunala planer</w:t>
      </w:r>
      <w:r w:rsidRPr="000925A8">
        <w:tab/>
        <w:t>22</w:t>
      </w:r>
    </w:p>
    <w:p w14:paraId="593BF4B2" w14:textId="77777777" w:rsidR="00241093" w:rsidRPr="000925A8" w:rsidRDefault="00241093">
      <w:pPr>
        <w:pStyle w:val="Innehll2"/>
      </w:pPr>
      <w:r w:rsidRPr="000925A8">
        <w:t>Vissa särskilda planeringsfrågor</w:t>
      </w:r>
      <w:r w:rsidRPr="000925A8">
        <w:tab/>
        <w:t>23</w:t>
      </w:r>
    </w:p>
    <w:p w14:paraId="6C2733B8" w14:textId="77777777" w:rsidR="00241093" w:rsidRPr="000925A8" w:rsidRDefault="00241093">
      <w:pPr>
        <w:pStyle w:val="Innehll3"/>
      </w:pPr>
      <w:r w:rsidRPr="000925A8">
        <w:t>Grönområden</w:t>
      </w:r>
      <w:r w:rsidRPr="000925A8">
        <w:tab/>
        <w:t>23</w:t>
      </w:r>
    </w:p>
    <w:p w14:paraId="36F7F8A1" w14:textId="77777777" w:rsidR="00241093" w:rsidRPr="000925A8" w:rsidRDefault="00241093">
      <w:pPr>
        <w:pStyle w:val="Innehll3"/>
      </w:pPr>
      <w:r w:rsidRPr="000925A8">
        <w:t>Aktivitetsytor</w:t>
      </w:r>
      <w:r w:rsidRPr="000925A8">
        <w:tab/>
        <w:t>23</w:t>
      </w:r>
    </w:p>
    <w:p w14:paraId="620A09C9" w14:textId="77777777" w:rsidR="00241093" w:rsidRPr="000925A8" w:rsidRDefault="00241093">
      <w:pPr>
        <w:pStyle w:val="Innehll3"/>
      </w:pPr>
      <w:r w:rsidRPr="000925A8">
        <w:t>Kulturhistoriskt värdefull bebyggelse</w:t>
      </w:r>
      <w:r w:rsidRPr="000925A8">
        <w:tab/>
        <w:t>24</w:t>
      </w:r>
    </w:p>
    <w:p w14:paraId="362640EE" w14:textId="77777777" w:rsidR="00241093" w:rsidRPr="000925A8" w:rsidRDefault="00241093">
      <w:pPr>
        <w:pStyle w:val="Innehll3"/>
      </w:pPr>
      <w:r w:rsidRPr="000925A8">
        <w:t>Yrkesmässig verksamhet i bostadsområden</w:t>
      </w:r>
      <w:r w:rsidRPr="000925A8">
        <w:tab/>
        <w:t>25</w:t>
      </w:r>
    </w:p>
    <w:p w14:paraId="7495CD4A" w14:textId="77777777" w:rsidR="00241093" w:rsidRPr="000925A8" w:rsidRDefault="00241093">
      <w:pPr>
        <w:pStyle w:val="Innehll3"/>
      </w:pPr>
      <w:r w:rsidRPr="000925A8">
        <w:t>Hästgårdar</w:t>
      </w:r>
      <w:r w:rsidRPr="000925A8">
        <w:tab/>
        <w:t>25</w:t>
      </w:r>
    </w:p>
    <w:p w14:paraId="31F18020" w14:textId="77777777" w:rsidR="00241093" w:rsidRPr="000925A8" w:rsidRDefault="00241093">
      <w:pPr>
        <w:pStyle w:val="Innehll3"/>
      </w:pPr>
      <w:r w:rsidRPr="000925A8">
        <w:t>Lokaler för religiösa ändamål</w:t>
      </w:r>
      <w:r w:rsidRPr="000925A8">
        <w:tab/>
        <w:t>26</w:t>
      </w:r>
    </w:p>
    <w:p w14:paraId="18CD295D" w14:textId="77777777" w:rsidR="00241093" w:rsidRPr="000925A8" w:rsidRDefault="00241093">
      <w:pPr>
        <w:pStyle w:val="Innehll3"/>
      </w:pPr>
      <w:r w:rsidRPr="000925A8">
        <w:t>Rätten att använda offentlig plats</w:t>
      </w:r>
      <w:r w:rsidRPr="000925A8">
        <w:tab/>
        <w:t>26</w:t>
      </w:r>
    </w:p>
    <w:p w14:paraId="11B8912E" w14:textId="77777777" w:rsidR="00241093" w:rsidRPr="000925A8" w:rsidRDefault="00241093">
      <w:pPr>
        <w:pStyle w:val="Innehll1"/>
      </w:pPr>
      <w:r w:rsidRPr="000925A8">
        <w:t>Reservationer</w:t>
      </w:r>
      <w:r w:rsidRPr="000925A8">
        <w:tab/>
        <w:t>29</w:t>
      </w:r>
    </w:p>
    <w:p w14:paraId="70A6549F" w14:textId="77777777" w:rsidR="00241093" w:rsidRPr="000925A8" w:rsidRDefault="00241093">
      <w:pPr>
        <w:pStyle w:val="Innehll2"/>
        <w:tabs>
          <w:tab w:val="left" w:pos="568"/>
        </w:tabs>
      </w:pPr>
      <w:r w:rsidRPr="000925A8">
        <w:t>1.</w:t>
      </w:r>
      <w:r w:rsidRPr="000925A8">
        <w:tab/>
        <w:t>Övergripande krav på planering (kd, c, mp)</w:t>
      </w:r>
      <w:r w:rsidRPr="000925A8">
        <w:tab/>
        <w:t>29</w:t>
      </w:r>
    </w:p>
    <w:p w14:paraId="38093978" w14:textId="77777777" w:rsidR="00241093" w:rsidRPr="000925A8" w:rsidRDefault="00241093">
      <w:pPr>
        <w:pStyle w:val="Innehll2"/>
        <w:tabs>
          <w:tab w:val="left" w:pos="568"/>
        </w:tabs>
      </w:pPr>
      <w:r w:rsidRPr="000925A8">
        <w:rPr>
          <w:snapToGrid w:val="0"/>
        </w:rPr>
        <w:t>2.</w:t>
      </w:r>
      <w:r w:rsidRPr="000925A8">
        <w:tab/>
      </w:r>
      <w:r w:rsidRPr="000925A8">
        <w:rPr>
          <w:snapToGrid w:val="0"/>
        </w:rPr>
        <w:t>Barns inflytande (v, c, fp, mp)</w:t>
      </w:r>
      <w:r w:rsidRPr="000925A8">
        <w:tab/>
        <w:t>30</w:t>
      </w:r>
    </w:p>
    <w:p w14:paraId="54EE8509" w14:textId="77777777" w:rsidR="00241093" w:rsidRPr="000925A8" w:rsidRDefault="00241093">
      <w:pPr>
        <w:pStyle w:val="Innehll2"/>
        <w:tabs>
          <w:tab w:val="left" w:pos="568"/>
        </w:tabs>
      </w:pPr>
      <w:r w:rsidRPr="000925A8">
        <w:t>3.</w:t>
      </w:r>
      <w:r w:rsidRPr="000925A8">
        <w:tab/>
        <w:t>Barns inflytande (kd)</w:t>
      </w:r>
      <w:r w:rsidRPr="000925A8">
        <w:tab/>
        <w:t>31</w:t>
      </w:r>
    </w:p>
    <w:p w14:paraId="5D729F4E" w14:textId="77777777" w:rsidR="00241093" w:rsidRPr="000925A8" w:rsidRDefault="00241093">
      <w:pPr>
        <w:pStyle w:val="Innehll2"/>
        <w:tabs>
          <w:tab w:val="left" w:pos="568"/>
        </w:tabs>
      </w:pPr>
      <w:r w:rsidRPr="000925A8">
        <w:t>4.</w:t>
      </w:r>
      <w:r w:rsidRPr="000925A8">
        <w:tab/>
        <w:t>Regionala frågor (kd, c, fp)</w:t>
      </w:r>
      <w:r w:rsidRPr="000925A8">
        <w:tab/>
        <w:t>32</w:t>
      </w:r>
    </w:p>
    <w:p w14:paraId="115668E7" w14:textId="77777777" w:rsidR="00241093" w:rsidRPr="000925A8" w:rsidRDefault="00241093">
      <w:pPr>
        <w:pStyle w:val="Innehll2"/>
        <w:tabs>
          <w:tab w:val="left" w:pos="568"/>
        </w:tabs>
      </w:pPr>
      <w:r w:rsidRPr="000925A8">
        <w:t>5.</w:t>
      </w:r>
      <w:r w:rsidRPr="000925A8">
        <w:tab/>
        <w:t>Regionala frågor (v)</w:t>
      </w:r>
      <w:r w:rsidRPr="000925A8">
        <w:tab/>
        <w:t>33</w:t>
      </w:r>
    </w:p>
    <w:p w14:paraId="3B03192B" w14:textId="77777777" w:rsidR="00241093" w:rsidRPr="000925A8" w:rsidRDefault="00241093">
      <w:pPr>
        <w:pStyle w:val="Innehll2"/>
        <w:tabs>
          <w:tab w:val="left" w:pos="568"/>
        </w:tabs>
      </w:pPr>
      <w:r w:rsidRPr="000925A8">
        <w:t>6.</w:t>
      </w:r>
      <w:r w:rsidRPr="000925A8">
        <w:tab/>
        <w:t>Planering för en tyst miljö (kd)</w:t>
      </w:r>
      <w:r w:rsidRPr="000925A8">
        <w:tab/>
        <w:t>34</w:t>
      </w:r>
    </w:p>
    <w:p w14:paraId="00E969C1" w14:textId="77777777" w:rsidR="00241093" w:rsidRPr="000925A8" w:rsidRDefault="00241093">
      <w:pPr>
        <w:pStyle w:val="Innehll2"/>
        <w:tabs>
          <w:tab w:val="left" w:pos="568"/>
        </w:tabs>
      </w:pPr>
      <w:r w:rsidRPr="000925A8">
        <w:t>7.</w:t>
      </w:r>
      <w:r w:rsidRPr="000925A8">
        <w:tab/>
        <w:t>Planering för en tyst miljö (c, mp)</w:t>
      </w:r>
      <w:r w:rsidRPr="000925A8">
        <w:tab/>
        <w:t>35</w:t>
      </w:r>
    </w:p>
    <w:p w14:paraId="158AD081" w14:textId="77777777" w:rsidR="00241093" w:rsidRPr="000925A8" w:rsidRDefault="00241093">
      <w:pPr>
        <w:pStyle w:val="Innehll2"/>
        <w:tabs>
          <w:tab w:val="left" w:pos="568"/>
        </w:tabs>
      </w:pPr>
      <w:r w:rsidRPr="000925A8">
        <w:t>8.</w:t>
      </w:r>
      <w:r w:rsidRPr="000925A8">
        <w:tab/>
        <w:t>Brottsförebyggande planering (kd, c)</w:t>
      </w:r>
      <w:r w:rsidRPr="000925A8">
        <w:tab/>
        <w:t>36</w:t>
      </w:r>
    </w:p>
    <w:p w14:paraId="096DB1F8" w14:textId="77777777" w:rsidR="00241093" w:rsidRPr="000925A8" w:rsidRDefault="00241093">
      <w:pPr>
        <w:pStyle w:val="Innehll2"/>
        <w:tabs>
          <w:tab w:val="left" w:pos="568"/>
        </w:tabs>
      </w:pPr>
      <w:r w:rsidRPr="000925A8">
        <w:t>9.</w:t>
      </w:r>
      <w:r w:rsidRPr="000925A8">
        <w:tab/>
        <w:t>Planering vid översvämningsrisk (kd, c, fp, mp)</w:t>
      </w:r>
      <w:r w:rsidRPr="000925A8">
        <w:tab/>
        <w:t>37</w:t>
      </w:r>
    </w:p>
    <w:p w14:paraId="5051328C" w14:textId="77777777" w:rsidR="00241093" w:rsidRPr="000925A8" w:rsidRDefault="00241093">
      <w:pPr>
        <w:pStyle w:val="Innehll2"/>
        <w:tabs>
          <w:tab w:val="left" w:pos="851"/>
        </w:tabs>
      </w:pPr>
      <w:r w:rsidRPr="000925A8">
        <w:t>10.</w:t>
      </w:r>
      <w:r w:rsidRPr="000925A8">
        <w:tab/>
        <w:t>Handelsändamålet i detaljplan (m, fp, -)</w:t>
      </w:r>
      <w:r w:rsidRPr="000925A8">
        <w:tab/>
        <w:t>38</w:t>
      </w:r>
    </w:p>
    <w:p w14:paraId="560D16F0" w14:textId="77777777" w:rsidR="00241093" w:rsidRPr="000925A8" w:rsidRDefault="00241093">
      <w:pPr>
        <w:pStyle w:val="Innehll2"/>
        <w:tabs>
          <w:tab w:val="left" w:pos="851"/>
        </w:tabs>
      </w:pPr>
      <w:r w:rsidRPr="000925A8">
        <w:t>11.</w:t>
      </w:r>
      <w:r w:rsidRPr="000925A8">
        <w:tab/>
        <w:t>Externa köpcentrum (m, fp, -, motiveringen)</w:t>
      </w:r>
      <w:r w:rsidRPr="000925A8">
        <w:tab/>
        <w:t>39</w:t>
      </w:r>
    </w:p>
    <w:p w14:paraId="4F35D0E6" w14:textId="77777777" w:rsidR="00241093" w:rsidRPr="000925A8" w:rsidRDefault="00241093">
      <w:pPr>
        <w:pStyle w:val="Innehll2"/>
        <w:tabs>
          <w:tab w:val="left" w:pos="851"/>
        </w:tabs>
      </w:pPr>
      <w:r w:rsidRPr="000925A8">
        <w:t>12.</w:t>
      </w:r>
      <w:r w:rsidRPr="000925A8">
        <w:tab/>
        <w:t>Externa köpcentrum (kd, c)</w:t>
      </w:r>
      <w:r w:rsidRPr="000925A8">
        <w:tab/>
        <w:t>40</w:t>
      </w:r>
    </w:p>
    <w:p w14:paraId="5E9BEDFB" w14:textId="77777777" w:rsidR="00241093" w:rsidRPr="000925A8" w:rsidRDefault="00241093">
      <w:pPr>
        <w:pStyle w:val="Innehll2"/>
        <w:tabs>
          <w:tab w:val="left" w:pos="851"/>
        </w:tabs>
      </w:pPr>
      <w:r w:rsidRPr="000925A8">
        <w:t>13.</w:t>
      </w:r>
      <w:r w:rsidRPr="000925A8">
        <w:tab/>
        <w:t>Externa köpcentrum (v)</w:t>
      </w:r>
      <w:r w:rsidRPr="000925A8">
        <w:tab/>
        <w:t>41</w:t>
      </w:r>
    </w:p>
    <w:p w14:paraId="1F059BA4" w14:textId="77777777" w:rsidR="00241093" w:rsidRPr="000925A8" w:rsidRDefault="00241093">
      <w:pPr>
        <w:pStyle w:val="Innehll2"/>
        <w:tabs>
          <w:tab w:val="left" w:pos="851"/>
        </w:tabs>
      </w:pPr>
      <w:r w:rsidRPr="000925A8">
        <w:t>14.</w:t>
      </w:r>
      <w:r w:rsidRPr="000925A8">
        <w:tab/>
        <w:t>Externa köpcentrum (mp)</w:t>
      </w:r>
      <w:r w:rsidRPr="000925A8">
        <w:tab/>
        <w:t>42</w:t>
      </w:r>
    </w:p>
    <w:p w14:paraId="353093CF" w14:textId="77777777" w:rsidR="00241093" w:rsidRPr="000925A8" w:rsidRDefault="00241093">
      <w:pPr>
        <w:pStyle w:val="Innehll2"/>
        <w:tabs>
          <w:tab w:val="left" w:pos="851"/>
        </w:tabs>
      </w:pPr>
      <w:r w:rsidRPr="000925A8">
        <w:t>15.</w:t>
      </w:r>
      <w:r w:rsidRPr="000925A8">
        <w:tab/>
        <w:t>Kommunala servicezoner (m, -)</w:t>
      </w:r>
      <w:r w:rsidRPr="000925A8">
        <w:tab/>
        <w:t>43</w:t>
      </w:r>
    </w:p>
    <w:p w14:paraId="23A32CA4" w14:textId="77777777" w:rsidR="00241093" w:rsidRPr="000925A8" w:rsidRDefault="00241093">
      <w:pPr>
        <w:pStyle w:val="Innehll2"/>
        <w:tabs>
          <w:tab w:val="left" w:pos="851"/>
        </w:tabs>
      </w:pPr>
      <w:r w:rsidRPr="000925A8">
        <w:t>16.</w:t>
      </w:r>
      <w:r w:rsidRPr="000925A8">
        <w:tab/>
        <w:t>Den statliga kontrollen av kommunala planer (m, -)</w:t>
      </w:r>
      <w:r w:rsidRPr="000925A8">
        <w:tab/>
        <w:t>44</w:t>
      </w:r>
    </w:p>
    <w:p w14:paraId="45F44B25" w14:textId="77777777" w:rsidR="00241093" w:rsidRPr="000925A8" w:rsidRDefault="00241093">
      <w:pPr>
        <w:pStyle w:val="Innehll2"/>
        <w:tabs>
          <w:tab w:val="left" w:pos="851"/>
        </w:tabs>
      </w:pPr>
      <w:r w:rsidRPr="000925A8">
        <w:t>17.</w:t>
      </w:r>
      <w:r w:rsidRPr="000925A8">
        <w:tab/>
        <w:t>Grönområden (kd, c, mp)</w:t>
      </w:r>
      <w:r w:rsidRPr="000925A8">
        <w:tab/>
        <w:t>45</w:t>
      </w:r>
    </w:p>
    <w:p w14:paraId="47F3B3CA" w14:textId="77777777" w:rsidR="00241093" w:rsidRPr="000925A8" w:rsidRDefault="00241093">
      <w:pPr>
        <w:pStyle w:val="Innehll2"/>
        <w:tabs>
          <w:tab w:val="left" w:pos="851"/>
        </w:tabs>
      </w:pPr>
      <w:r w:rsidRPr="000925A8">
        <w:t>18.</w:t>
      </w:r>
      <w:r w:rsidRPr="000925A8">
        <w:tab/>
        <w:t>Kulturhistoriskt värdefull bebyggelse (c)</w:t>
      </w:r>
      <w:r w:rsidRPr="000925A8">
        <w:tab/>
        <w:t>46</w:t>
      </w:r>
    </w:p>
    <w:p w14:paraId="6B45350E" w14:textId="77777777" w:rsidR="00241093" w:rsidRPr="000925A8" w:rsidRDefault="00241093">
      <w:pPr>
        <w:pStyle w:val="Innehll2"/>
        <w:tabs>
          <w:tab w:val="left" w:pos="851"/>
        </w:tabs>
      </w:pPr>
      <w:r w:rsidRPr="000925A8">
        <w:t>19.</w:t>
      </w:r>
      <w:r w:rsidRPr="000925A8">
        <w:tab/>
        <w:t>Rätten att använda offentlig plats (m, kd, -)</w:t>
      </w:r>
      <w:r w:rsidRPr="000925A8">
        <w:tab/>
        <w:t>46</w:t>
      </w:r>
    </w:p>
    <w:p w14:paraId="591150C5" w14:textId="77777777" w:rsidR="00241093" w:rsidRPr="000925A8" w:rsidRDefault="00241093">
      <w:pPr>
        <w:pStyle w:val="Innehll1"/>
      </w:pPr>
      <w:r w:rsidRPr="000925A8">
        <w:t>Förteckning över behandlade förslag</w:t>
      </w:r>
      <w:r w:rsidRPr="000925A8">
        <w:tab/>
        <w:t>48</w:t>
      </w:r>
    </w:p>
    <w:p w14:paraId="08548AFC" w14:textId="77777777" w:rsidR="00241093" w:rsidRPr="000925A8" w:rsidRDefault="00241093">
      <w:pPr>
        <w:pStyle w:val="Innehll2"/>
      </w:pPr>
      <w:r w:rsidRPr="000925A8">
        <w:t>Motioner från allmänna motionstiden 2001</w:t>
      </w:r>
      <w:r w:rsidRPr="000925A8">
        <w:tab/>
        <w:t>48</w:t>
      </w:r>
    </w:p>
    <w:p w14:paraId="2E648ADD" w14:textId="77777777" w:rsidR="00241093" w:rsidRPr="000925A8" w:rsidRDefault="00241093">
      <w:pPr>
        <w:pStyle w:val="Innehll2"/>
      </w:pPr>
      <w:r w:rsidRPr="000925A8">
        <w:t>Motion väckt med anledning av Riksdagens revisorers förslag 2001/02:RR8</w:t>
      </w:r>
      <w:r w:rsidRPr="000925A8">
        <w:tab/>
        <w:t>52</w:t>
      </w:r>
    </w:p>
    <w:p w14:paraId="6230054B" w14:textId="77777777" w:rsidR="00241093" w:rsidRPr="000925A8" w:rsidRDefault="00241093">
      <w:pPr>
        <w:pStyle w:val="Innehll1"/>
      </w:pPr>
      <w:r w:rsidRPr="000925A8">
        <w:t>Uppföljningsrapport</w:t>
      </w:r>
      <w:r w:rsidRPr="000925A8">
        <w:tab/>
        <w:t>53</w:t>
      </w:r>
    </w:p>
    <w:p w14:paraId="6747F33F" w14:textId="77777777" w:rsidR="00241093" w:rsidRPr="000925A8" w:rsidRDefault="00241093">
      <w:pPr>
        <w:pStyle w:val="Innehll2"/>
      </w:pPr>
      <w:r w:rsidRPr="000925A8">
        <w:t>1 Inledning</w:t>
      </w:r>
      <w:r w:rsidRPr="000925A8">
        <w:tab/>
        <w:t>54</w:t>
      </w:r>
    </w:p>
    <w:p w14:paraId="4E4BB265" w14:textId="77777777" w:rsidR="00241093" w:rsidRPr="000925A8" w:rsidRDefault="00241093">
      <w:pPr>
        <w:pStyle w:val="Innehll2"/>
      </w:pPr>
      <w:r w:rsidRPr="000925A8">
        <w:t>2 Länsstyrelsernas roll</w:t>
      </w:r>
      <w:r w:rsidRPr="000925A8">
        <w:tab/>
        <w:t>56</w:t>
      </w:r>
    </w:p>
    <w:p w14:paraId="4907A5DB" w14:textId="77777777" w:rsidR="00241093" w:rsidRPr="000925A8" w:rsidRDefault="00241093">
      <w:pPr>
        <w:pStyle w:val="Innehll2"/>
      </w:pPr>
      <w:r w:rsidRPr="000925A8">
        <w:t>3 Länsstyrelsernas roll enligt PBL</w:t>
      </w:r>
      <w:r w:rsidRPr="000925A8">
        <w:tab/>
        <w:t>59</w:t>
      </w:r>
    </w:p>
    <w:p w14:paraId="4572A23E" w14:textId="77777777" w:rsidR="00241093" w:rsidRPr="000925A8" w:rsidRDefault="00241093">
      <w:pPr>
        <w:pStyle w:val="Innehll2"/>
      </w:pPr>
      <w:r w:rsidRPr="000925A8">
        <w:t>4 Ytterligare utredningar m.m. som berör mellankommunala PBL-frågor</w:t>
      </w:r>
      <w:r w:rsidRPr="000925A8">
        <w:tab/>
        <w:t>72</w:t>
      </w:r>
    </w:p>
    <w:p w14:paraId="59C6FCA3" w14:textId="77777777" w:rsidR="00241093" w:rsidRPr="000925A8" w:rsidRDefault="00241093">
      <w:pPr>
        <w:pStyle w:val="Innehll2"/>
      </w:pPr>
      <w:r w:rsidRPr="000925A8">
        <w:t>5 Länsstyrelsernas syn på mellankommunal samordning och sin egen roll i det sammanhanget</w:t>
      </w:r>
      <w:r w:rsidRPr="000925A8">
        <w:tab/>
        <w:t>79</w:t>
      </w:r>
    </w:p>
    <w:p w14:paraId="41D6EA6F" w14:textId="77777777" w:rsidR="00241093" w:rsidRPr="000925A8" w:rsidRDefault="00241093">
      <w:pPr>
        <w:pStyle w:val="Innehll2"/>
      </w:pPr>
      <w:r w:rsidRPr="000925A8">
        <w:t>6 Några kommuners syn på länsstyrelsernas roll i den mellankommunala samordningen</w:t>
      </w:r>
      <w:r w:rsidRPr="000925A8">
        <w:tab/>
        <w:t>94</w:t>
      </w:r>
    </w:p>
    <w:p w14:paraId="6CEC6968" w14:textId="77777777" w:rsidR="00241093" w:rsidRPr="000925A8" w:rsidRDefault="00241093">
      <w:pPr>
        <w:pStyle w:val="Innehll2"/>
      </w:pPr>
      <w:r w:rsidRPr="000925A8">
        <w:t>7 Extern handel som mellankommunal PBL-fråga</w:t>
      </w:r>
      <w:r w:rsidRPr="000925A8">
        <w:tab/>
        <w:t>106</w:t>
      </w:r>
    </w:p>
    <w:p w14:paraId="4494A6C1" w14:textId="77777777" w:rsidR="00241093" w:rsidRPr="000925A8" w:rsidRDefault="00241093">
      <w:pPr>
        <w:pStyle w:val="Innehll2"/>
      </w:pPr>
      <w:r w:rsidRPr="000925A8">
        <w:t>8 Vindkraftsetableringar som mellankommunal PBL-fråga</w:t>
      </w:r>
      <w:r w:rsidRPr="000925A8">
        <w:tab/>
        <w:t>118</w:t>
      </w:r>
    </w:p>
    <w:p w14:paraId="15CE0A37" w14:textId="77777777" w:rsidR="00241093" w:rsidRPr="000925A8" w:rsidRDefault="00241093">
      <w:pPr>
        <w:pStyle w:val="Innehll2"/>
      </w:pPr>
      <w:r w:rsidRPr="000925A8">
        <w:t>9 Några ytterligare mellankommunala PBL-frågor</w:t>
      </w:r>
      <w:r w:rsidRPr="000925A8">
        <w:tab/>
        <w:t>121</w:t>
      </w:r>
    </w:p>
    <w:p w14:paraId="1C6A9A21" w14:textId="77777777" w:rsidR="00241093" w:rsidRPr="000925A8" w:rsidRDefault="00241093">
      <w:pPr>
        <w:pStyle w:val="Innehll2"/>
      </w:pPr>
      <w:r w:rsidRPr="000925A8">
        <w:t>10 Sammanfattande slutsatser</w:t>
      </w:r>
      <w:r w:rsidRPr="000925A8">
        <w:tab/>
        <w:t>123</w:t>
      </w:r>
    </w:p>
    <w:p w14:paraId="40A795AB" w14:textId="77777777" w:rsidR="00241093" w:rsidRPr="000925A8" w:rsidRDefault="00241093"/>
    <w:p w14:paraId="78258501" w14:textId="77777777" w:rsidR="00241093" w:rsidRPr="000925A8" w:rsidRDefault="00241093">
      <w:pPr>
        <w:pStyle w:val="Normaltindrag"/>
        <w:sectPr w:rsidR="00000000" w:rsidRPr="000925A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14:paraId="526C66EE" w14:textId="77777777" w:rsidR="00241093" w:rsidRPr="000925A8" w:rsidRDefault="00241093">
      <w:pPr>
        <w:pStyle w:val="Rubrik1"/>
        <w:rPr>
          <w:noProof w:val="0"/>
        </w:rPr>
      </w:pPr>
      <w:bookmarkStart w:id="5" w:name="_Toc4898193"/>
      <w:r w:rsidRPr="000925A8">
        <w:rPr>
          <w:noProof w:val="0"/>
        </w:rPr>
        <w:t>Utskottets förslag till riksdagsbeslut</w:t>
      </w:r>
      <w:bookmarkEnd w:id="5"/>
    </w:p>
    <w:p w14:paraId="23B5A423" w14:textId="77777777" w:rsidR="00241093" w:rsidRPr="000925A8" w:rsidRDefault="00241093">
      <w:pPr>
        <w:pStyle w:val="Frslagspunkt"/>
        <w:rPr>
          <w:noProof w:val="0"/>
        </w:rPr>
      </w:pPr>
      <w:r w:rsidRPr="000925A8">
        <w:rPr>
          <w:noProof w:val="0"/>
        </w:rPr>
        <w:t>1.</w:t>
      </w:r>
      <w:r w:rsidRPr="000925A8">
        <w:rPr>
          <w:noProof w:val="0"/>
        </w:rPr>
        <w:tab/>
        <w:t>Övergripande krav på planering</w:t>
      </w:r>
    </w:p>
    <w:p w14:paraId="0A6686DE" w14:textId="77777777" w:rsidR="00241093" w:rsidRPr="000925A8" w:rsidRDefault="00241093">
      <w:pPr>
        <w:pStyle w:val="Frslagstext"/>
      </w:pPr>
      <w:r w:rsidRPr="000925A8">
        <w:t xml:space="preserve">Riksdagen avslår motionerna 2001/02:A212 yrkande 13, 2001/02:Bo244 yrkande 17 och 2001/02:MJ341 yrkande 8.      </w:t>
      </w:r>
    </w:p>
    <w:p w14:paraId="1A50B650" w14:textId="77777777" w:rsidR="00241093" w:rsidRPr="000925A8" w:rsidRDefault="00241093">
      <w:pPr>
        <w:pStyle w:val="Reservationshnvisning"/>
      </w:pPr>
      <w:r w:rsidRPr="000925A8">
        <w:t>Reservation 1 (kd, c, mp)</w:t>
      </w:r>
      <w:bookmarkStart w:id="6" w:name="RESPARTI001"/>
      <w:bookmarkEnd w:id="6"/>
    </w:p>
    <w:p w14:paraId="256ECF5D" w14:textId="77777777" w:rsidR="00241093" w:rsidRPr="000925A8" w:rsidRDefault="00241093">
      <w:pPr>
        <w:pStyle w:val="Frslagspunkt"/>
        <w:rPr>
          <w:noProof w:val="0"/>
        </w:rPr>
      </w:pPr>
      <w:r w:rsidRPr="000925A8">
        <w:rPr>
          <w:noProof w:val="0"/>
        </w:rPr>
        <w:t>2.</w:t>
      </w:r>
      <w:r w:rsidRPr="000925A8">
        <w:rPr>
          <w:noProof w:val="0"/>
        </w:rPr>
        <w:tab/>
        <w:t>Barns inflytande</w:t>
      </w:r>
    </w:p>
    <w:p w14:paraId="2715F462" w14:textId="77777777" w:rsidR="00241093" w:rsidRPr="000925A8" w:rsidRDefault="00241093">
      <w:pPr>
        <w:pStyle w:val="Frslagstext"/>
      </w:pPr>
      <w:r w:rsidRPr="000925A8">
        <w:t>Riksdagen avslår motionerna 2001/02:Bo244 yrkande 16, 2001/02:</w:t>
      </w:r>
      <w:r w:rsidRPr="000925A8">
        <w:br/>
        <w:t xml:space="preserve">Bo256 yrkande 1 och 2001/02:K284 yrkande 15.       </w:t>
      </w:r>
    </w:p>
    <w:p w14:paraId="104D2607" w14:textId="77777777" w:rsidR="00241093" w:rsidRPr="000925A8" w:rsidRDefault="00241093">
      <w:pPr>
        <w:pStyle w:val="Reservationshnvisning"/>
      </w:pPr>
      <w:r w:rsidRPr="000925A8">
        <w:t>Reservation 2 (v, c, fp, mp)</w:t>
      </w:r>
    </w:p>
    <w:p w14:paraId="7AB88686" w14:textId="77777777" w:rsidR="00241093" w:rsidRPr="000925A8" w:rsidRDefault="00241093">
      <w:pPr>
        <w:pStyle w:val="Reservationshnvisning"/>
      </w:pPr>
      <w:r w:rsidRPr="000925A8">
        <w:t>Reservation 3 (kd)</w:t>
      </w:r>
      <w:bookmarkStart w:id="7" w:name="RESPARTI002"/>
      <w:bookmarkEnd w:id="7"/>
    </w:p>
    <w:p w14:paraId="140DB46D" w14:textId="77777777" w:rsidR="00241093" w:rsidRPr="000925A8" w:rsidRDefault="00241093">
      <w:pPr>
        <w:pStyle w:val="Frslagspunkt"/>
        <w:rPr>
          <w:noProof w:val="0"/>
        </w:rPr>
      </w:pPr>
      <w:r w:rsidRPr="000925A8">
        <w:rPr>
          <w:noProof w:val="0"/>
        </w:rPr>
        <w:t>3.</w:t>
      </w:r>
      <w:r w:rsidRPr="000925A8">
        <w:rPr>
          <w:noProof w:val="0"/>
        </w:rPr>
        <w:tab/>
        <w:t>Regionala frågor</w:t>
      </w:r>
    </w:p>
    <w:p w14:paraId="6CCF62E1" w14:textId="77777777" w:rsidR="00241093" w:rsidRPr="000925A8" w:rsidRDefault="00241093">
      <w:pPr>
        <w:pStyle w:val="Frslagstext"/>
        <w:rPr>
          <w:rFonts w:ascii="Boverket Utopia Normal" w:hAnsi="Boverket Utopia Normal"/>
          <w:snapToGrid w:val="0"/>
          <w:sz w:val="20"/>
          <w:lang w:eastAsia="sv-SE"/>
        </w:rPr>
      </w:pPr>
      <w:r w:rsidRPr="000925A8">
        <w:t xml:space="preserve">Riksdagen avslår motionerna </w:t>
      </w:r>
      <w:r w:rsidRPr="000925A8">
        <w:rPr>
          <w:rFonts w:ascii="Boverket Utopia Normal" w:hAnsi="Boverket Utopia Normal"/>
          <w:snapToGrid w:val="0"/>
          <w:sz w:val="20"/>
          <w:lang w:eastAsia="sv-SE"/>
        </w:rPr>
        <w:t>2001/02:Bo244 yrkande 10 och 2001/02:</w:t>
      </w:r>
      <w:r w:rsidRPr="000925A8">
        <w:rPr>
          <w:rFonts w:ascii="Boverket Utopia Normal" w:hAnsi="Boverket Utopia Normal"/>
          <w:snapToGrid w:val="0"/>
          <w:sz w:val="20"/>
          <w:lang w:eastAsia="sv-SE"/>
        </w:rPr>
        <w:br/>
        <w:t xml:space="preserve">Bo297.        </w:t>
      </w:r>
    </w:p>
    <w:p w14:paraId="6B115529" w14:textId="77777777" w:rsidR="00241093" w:rsidRPr="000925A8" w:rsidRDefault="00241093">
      <w:pPr>
        <w:pStyle w:val="Reservationshnvisning"/>
      </w:pPr>
      <w:r w:rsidRPr="000925A8">
        <w:t>Reservation 4 (kd, c, fp)</w:t>
      </w:r>
    </w:p>
    <w:p w14:paraId="12FCF6D1" w14:textId="77777777" w:rsidR="00241093" w:rsidRPr="000925A8" w:rsidRDefault="00241093">
      <w:pPr>
        <w:pStyle w:val="Reservationshnvisning"/>
      </w:pPr>
      <w:r w:rsidRPr="000925A8">
        <w:t>Reservation 5 (v)</w:t>
      </w:r>
      <w:bookmarkStart w:id="8" w:name="RESPARTI003"/>
      <w:bookmarkEnd w:id="8"/>
    </w:p>
    <w:p w14:paraId="0D955937" w14:textId="77777777" w:rsidR="00241093" w:rsidRPr="000925A8" w:rsidRDefault="00241093">
      <w:pPr>
        <w:pStyle w:val="Frslagspunkt"/>
        <w:rPr>
          <w:noProof w:val="0"/>
        </w:rPr>
      </w:pPr>
      <w:r w:rsidRPr="000925A8">
        <w:rPr>
          <w:noProof w:val="0"/>
        </w:rPr>
        <w:t>4.</w:t>
      </w:r>
      <w:r w:rsidRPr="000925A8">
        <w:rPr>
          <w:noProof w:val="0"/>
        </w:rPr>
        <w:tab/>
        <w:t>Agenda 21 och Habitatagendan</w:t>
      </w:r>
    </w:p>
    <w:p w14:paraId="358C49AE" w14:textId="77777777" w:rsidR="00241093" w:rsidRPr="000925A8" w:rsidRDefault="00241093">
      <w:pPr>
        <w:pStyle w:val="Frslagstext"/>
      </w:pPr>
      <w:r w:rsidRPr="000925A8">
        <w:t xml:space="preserve"> Riksdagen avslår motionerna 2001/02:Bo244 yrkande 9 och 2001/02:</w:t>
      </w:r>
      <w:r w:rsidRPr="000925A8">
        <w:br/>
        <w:t xml:space="preserve">Bo310.  </w:t>
      </w:r>
    </w:p>
    <w:p w14:paraId="61F3629D" w14:textId="77777777" w:rsidR="00241093" w:rsidRPr="000925A8" w:rsidRDefault="00241093">
      <w:pPr>
        <w:pStyle w:val="Frslagspunkt"/>
        <w:rPr>
          <w:noProof w:val="0"/>
        </w:rPr>
      </w:pPr>
      <w:bookmarkStart w:id="9" w:name="RESPARTI004"/>
      <w:bookmarkEnd w:id="9"/>
      <w:r w:rsidRPr="000925A8">
        <w:rPr>
          <w:noProof w:val="0"/>
        </w:rPr>
        <w:t>5.</w:t>
      </w:r>
      <w:r w:rsidRPr="000925A8">
        <w:rPr>
          <w:noProof w:val="0"/>
        </w:rPr>
        <w:tab/>
        <w:t>Planering för en tyst miljö</w:t>
      </w:r>
    </w:p>
    <w:p w14:paraId="511B0909" w14:textId="77777777" w:rsidR="00241093" w:rsidRPr="000925A8" w:rsidRDefault="00241093">
      <w:pPr>
        <w:pStyle w:val="Frslagstext"/>
      </w:pPr>
      <w:r w:rsidRPr="000925A8">
        <w:t>Riksdagen avslår motionerna 2001/02:Bo217 yrkandena 1–4 och 6, 2001/02:Bo244 y</w:t>
      </w:r>
      <w:r w:rsidRPr="000925A8">
        <w:t>r</w:t>
      </w:r>
      <w:r w:rsidRPr="000925A8">
        <w:t xml:space="preserve">kande 8 samt 2001/02:So276 yrkande 2.      </w:t>
      </w:r>
    </w:p>
    <w:p w14:paraId="15367C9B" w14:textId="77777777" w:rsidR="00241093" w:rsidRPr="000925A8" w:rsidRDefault="00241093">
      <w:pPr>
        <w:pStyle w:val="Reservationshnvisning"/>
      </w:pPr>
      <w:r w:rsidRPr="000925A8">
        <w:t>Reservation 6 (kd)</w:t>
      </w:r>
    </w:p>
    <w:p w14:paraId="66571415" w14:textId="77777777" w:rsidR="00241093" w:rsidRPr="000925A8" w:rsidRDefault="00241093">
      <w:pPr>
        <w:pStyle w:val="Reservationshnvisning"/>
      </w:pPr>
      <w:r w:rsidRPr="000925A8">
        <w:t>Reservation 7 (c, mp)</w:t>
      </w:r>
      <w:bookmarkStart w:id="10" w:name="RESPARTI005"/>
      <w:bookmarkEnd w:id="10"/>
    </w:p>
    <w:p w14:paraId="35AA584D" w14:textId="77777777" w:rsidR="00241093" w:rsidRPr="000925A8" w:rsidRDefault="00241093">
      <w:pPr>
        <w:pStyle w:val="Frslagspunkt"/>
        <w:rPr>
          <w:noProof w:val="0"/>
        </w:rPr>
      </w:pPr>
      <w:r w:rsidRPr="000925A8">
        <w:rPr>
          <w:noProof w:val="0"/>
        </w:rPr>
        <w:t>6.</w:t>
      </w:r>
      <w:r w:rsidRPr="000925A8">
        <w:rPr>
          <w:noProof w:val="0"/>
        </w:rPr>
        <w:tab/>
        <w:t>Brottsförebyggande planering</w:t>
      </w:r>
    </w:p>
    <w:p w14:paraId="630A4050" w14:textId="77777777" w:rsidR="00241093" w:rsidRPr="000925A8" w:rsidRDefault="00241093">
      <w:pPr>
        <w:pStyle w:val="Frslagstext"/>
      </w:pPr>
      <w:r w:rsidRPr="000925A8">
        <w:t xml:space="preserve">Riksdagen avslår motionerna 2001/02:Bo243 yrkandena 3 och 4, 2001/02:Bo325 yrkande 24, 2001/02:Ju237 yrkande 19, 2001/02:Ju389 yrkande 6 samt 2001/02:So613 yrkande 15.      </w:t>
      </w:r>
    </w:p>
    <w:p w14:paraId="1B521BB3" w14:textId="77777777" w:rsidR="00241093" w:rsidRPr="000925A8" w:rsidRDefault="00241093">
      <w:pPr>
        <w:pStyle w:val="Reservationshnvisning"/>
      </w:pPr>
      <w:r w:rsidRPr="000925A8">
        <w:t>Reservation 8 (kd, c)</w:t>
      </w:r>
      <w:bookmarkStart w:id="11" w:name="RESPARTI006"/>
      <w:bookmarkEnd w:id="11"/>
    </w:p>
    <w:p w14:paraId="37FD6550" w14:textId="77777777" w:rsidR="00241093" w:rsidRPr="000925A8" w:rsidRDefault="00241093">
      <w:pPr>
        <w:pStyle w:val="Frslagspunkt"/>
        <w:rPr>
          <w:noProof w:val="0"/>
        </w:rPr>
      </w:pPr>
      <w:r w:rsidRPr="000925A8">
        <w:rPr>
          <w:noProof w:val="0"/>
        </w:rPr>
        <w:t>7.</w:t>
      </w:r>
      <w:r w:rsidRPr="000925A8">
        <w:rPr>
          <w:noProof w:val="0"/>
        </w:rPr>
        <w:tab/>
        <w:t>Planering vid översvämningsrisk</w:t>
      </w:r>
    </w:p>
    <w:p w14:paraId="0F248C40" w14:textId="77777777" w:rsidR="00241093" w:rsidRPr="000925A8" w:rsidRDefault="00241093">
      <w:pPr>
        <w:pStyle w:val="Frslagstext"/>
      </w:pPr>
      <w:r w:rsidRPr="000925A8">
        <w:t>Riksdagen avslår motionerna 2001/02:Bo244 yrkande 3 och 2001/02:</w:t>
      </w:r>
      <w:r w:rsidRPr="000925A8">
        <w:br/>
        <w:t xml:space="preserve">Bo282. </w:t>
      </w:r>
    </w:p>
    <w:p w14:paraId="08253318" w14:textId="77777777" w:rsidR="00241093" w:rsidRPr="000925A8" w:rsidRDefault="00241093">
      <w:pPr>
        <w:pStyle w:val="Reservationshnvisning"/>
      </w:pPr>
      <w:r w:rsidRPr="000925A8">
        <w:t>Reservation 9 (kd, c, fp, mp)</w:t>
      </w:r>
      <w:bookmarkStart w:id="12" w:name="RESPARTI007"/>
      <w:bookmarkEnd w:id="12"/>
    </w:p>
    <w:p w14:paraId="1625C9E8" w14:textId="77777777" w:rsidR="00241093" w:rsidRPr="000925A8" w:rsidRDefault="00241093">
      <w:pPr>
        <w:pStyle w:val="Frslagspunkt"/>
        <w:rPr>
          <w:noProof w:val="0"/>
        </w:rPr>
      </w:pPr>
      <w:r w:rsidRPr="000925A8">
        <w:rPr>
          <w:noProof w:val="0"/>
        </w:rPr>
        <w:t>8.</w:t>
      </w:r>
      <w:r w:rsidRPr="000925A8">
        <w:rPr>
          <w:noProof w:val="0"/>
        </w:rPr>
        <w:tab/>
        <w:t>Handelsändamålet i detaljplan</w:t>
      </w:r>
    </w:p>
    <w:p w14:paraId="42BF86DF" w14:textId="77777777" w:rsidR="00241093" w:rsidRPr="000925A8" w:rsidRDefault="00241093">
      <w:pPr>
        <w:pStyle w:val="Frslagstext"/>
      </w:pPr>
      <w:r w:rsidRPr="000925A8">
        <w:t>Riksdagen avslår motionerna 2001/02:Bo9 yrkande 2, 2001/02:Bo207, 2001/02:Bo213 yrkandena 1 och 2, 2001/02:Bo216 yrkande 7, 2001/02:</w:t>
      </w:r>
      <w:r w:rsidRPr="000925A8">
        <w:br/>
        <w:t xml:space="preserve">Bo234 samt 2001/02:N267 yrkande 22.       </w:t>
      </w:r>
    </w:p>
    <w:p w14:paraId="48A5FEB0" w14:textId="77777777" w:rsidR="00241093" w:rsidRPr="000925A8" w:rsidRDefault="00241093">
      <w:pPr>
        <w:pStyle w:val="Reservationshnvisning"/>
      </w:pPr>
      <w:r w:rsidRPr="000925A8">
        <w:t>Reservation 10 (m, fp, -)</w:t>
      </w:r>
      <w:bookmarkStart w:id="13" w:name="RESPARTI008"/>
      <w:bookmarkEnd w:id="13"/>
    </w:p>
    <w:p w14:paraId="23289270" w14:textId="77777777" w:rsidR="00241093" w:rsidRPr="000925A8" w:rsidRDefault="00241093">
      <w:pPr>
        <w:pStyle w:val="Frslagspunkt"/>
        <w:rPr>
          <w:noProof w:val="0"/>
        </w:rPr>
      </w:pPr>
      <w:r w:rsidRPr="000925A8">
        <w:rPr>
          <w:noProof w:val="0"/>
        </w:rPr>
        <w:t>9.</w:t>
      </w:r>
      <w:r w:rsidRPr="000925A8">
        <w:rPr>
          <w:noProof w:val="0"/>
        </w:rPr>
        <w:tab/>
        <w:t>Externa köpcentrum</w:t>
      </w:r>
    </w:p>
    <w:p w14:paraId="668686C3" w14:textId="77777777" w:rsidR="00241093" w:rsidRPr="000925A8" w:rsidRDefault="00241093">
      <w:pPr>
        <w:pStyle w:val="Frslagstext"/>
      </w:pPr>
      <w:r w:rsidRPr="000925A8">
        <w:t>Riksdagen avslår motionerna 2001/02:Bo244 yrkande 4 och 2001/02:</w:t>
      </w:r>
      <w:r w:rsidRPr="000925A8">
        <w:br/>
        <w:t xml:space="preserve">Bo300.     </w:t>
      </w:r>
    </w:p>
    <w:p w14:paraId="51ECC9E5" w14:textId="77777777" w:rsidR="00241093" w:rsidRPr="000925A8" w:rsidRDefault="00241093">
      <w:pPr>
        <w:pStyle w:val="Reservationshnvisning"/>
      </w:pPr>
      <w:r w:rsidRPr="000925A8">
        <w:t>Reservation 11 (m, fp, -) - motiv.</w:t>
      </w:r>
    </w:p>
    <w:p w14:paraId="040A34FB" w14:textId="77777777" w:rsidR="00241093" w:rsidRPr="000925A8" w:rsidRDefault="00241093">
      <w:pPr>
        <w:pStyle w:val="Reservationshnvisning"/>
      </w:pPr>
      <w:r w:rsidRPr="000925A8">
        <w:t>Reservation 12 (kd, c)</w:t>
      </w:r>
    </w:p>
    <w:p w14:paraId="169F2C0C" w14:textId="77777777" w:rsidR="00241093" w:rsidRPr="000925A8" w:rsidRDefault="00241093">
      <w:pPr>
        <w:pStyle w:val="Reservationshnvisning"/>
      </w:pPr>
      <w:r w:rsidRPr="000925A8">
        <w:t>Reservation 13 (v)</w:t>
      </w:r>
    </w:p>
    <w:p w14:paraId="736977F0" w14:textId="77777777" w:rsidR="00241093" w:rsidRPr="000925A8" w:rsidRDefault="00241093">
      <w:pPr>
        <w:pStyle w:val="Reservationshnvisning"/>
      </w:pPr>
      <w:r w:rsidRPr="000925A8">
        <w:t>Reservation 14 (mp)</w:t>
      </w:r>
      <w:bookmarkStart w:id="14" w:name="RESPARTI009"/>
      <w:bookmarkEnd w:id="14"/>
    </w:p>
    <w:p w14:paraId="302B1924" w14:textId="77777777" w:rsidR="00241093" w:rsidRPr="000925A8" w:rsidRDefault="00241093">
      <w:pPr>
        <w:pStyle w:val="Frslagspunkt"/>
        <w:rPr>
          <w:noProof w:val="0"/>
        </w:rPr>
      </w:pPr>
      <w:r w:rsidRPr="000925A8">
        <w:rPr>
          <w:noProof w:val="0"/>
        </w:rPr>
        <w:t>10.</w:t>
      </w:r>
      <w:r w:rsidRPr="000925A8">
        <w:rPr>
          <w:noProof w:val="0"/>
        </w:rPr>
        <w:tab/>
        <w:t>Miljökonsekvensbeskrivningar vid vägplanering</w:t>
      </w:r>
    </w:p>
    <w:p w14:paraId="007043BD" w14:textId="77777777" w:rsidR="00241093" w:rsidRPr="000925A8" w:rsidRDefault="00241093">
      <w:pPr>
        <w:pStyle w:val="Frslagstext"/>
      </w:pPr>
      <w:r w:rsidRPr="000925A8">
        <w:t xml:space="preserve">Riksdagen avslår motion 2001/02:So501 yrkande 12.        </w:t>
      </w:r>
      <w:bookmarkStart w:id="15" w:name="RESPARTI010"/>
      <w:bookmarkEnd w:id="15"/>
    </w:p>
    <w:p w14:paraId="6DE34BFA" w14:textId="77777777" w:rsidR="00241093" w:rsidRPr="000925A8" w:rsidRDefault="00241093">
      <w:pPr>
        <w:pStyle w:val="Frslagspunkt"/>
        <w:rPr>
          <w:noProof w:val="0"/>
        </w:rPr>
      </w:pPr>
      <w:r w:rsidRPr="000925A8">
        <w:rPr>
          <w:noProof w:val="0"/>
        </w:rPr>
        <w:t>11.</w:t>
      </w:r>
      <w:r w:rsidRPr="000925A8">
        <w:rPr>
          <w:noProof w:val="0"/>
        </w:rPr>
        <w:tab/>
        <w:t>Kommunala servicezoner</w:t>
      </w:r>
    </w:p>
    <w:p w14:paraId="43E69701" w14:textId="77777777" w:rsidR="00241093" w:rsidRPr="000925A8" w:rsidRDefault="00241093">
      <w:pPr>
        <w:pStyle w:val="Frslagstext"/>
      </w:pPr>
      <w:r w:rsidRPr="000925A8">
        <w:t>Riksdagen avslår motionerna 2001/02:Bo210 och 2001/02:Bo216 yrka</w:t>
      </w:r>
      <w:r w:rsidRPr="000925A8">
        <w:t>n</w:t>
      </w:r>
      <w:r w:rsidRPr="000925A8">
        <w:t xml:space="preserve">de 13.     </w:t>
      </w:r>
    </w:p>
    <w:p w14:paraId="003BD703" w14:textId="77777777" w:rsidR="00241093" w:rsidRPr="000925A8" w:rsidRDefault="00241093">
      <w:pPr>
        <w:pStyle w:val="Reservationshnvisning"/>
      </w:pPr>
      <w:r w:rsidRPr="000925A8">
        <w:t>Reservation 15 (m, -)</w:t>
      </w:r>
      <w:bookmarkStart w:id="16" w:name="RESPARTI011"/>
      <w:bookmarkEnd w:id="16"/>
    </w:p>
    <w:p w14:paraId="12B432CF" w14:textId="77777777" w:rsidR="00241093" w:rsidRPr="000925A8" w:rsidRDefault="00241093">
      <w:pPr>
        <w:pStyle w:val="Frslagspunkt"/>
        <w:rPr>
          <w:noProof w:val="0"/>
        </w:rPr>
      </w:pPr>
      <w:r w:rsidRPr="000925A8">
        <w:rPr>
          <w:noProof w:val="0"/>
        </w:rPr>
        <w:t>12.</w:t>
      </w:r>
      <w:r w:rsidRPr="000925A8">
        <w:rPr>
          <w:noProof w:val="0"/>
        </w:rPr>
        <w:tab/>
        <w:t>Den statliga kontrollen av kommunala planer</w:t>
      </w:r>
    </w:p>
    <w:p w14:paraId="260DE2D4" w14:textId="77777777" w:rsidR="00241093" w:rsidRPr="000925A8" w:rsidRDefault="00241093">
      <w:pPr>
        <w:pStyle w:val="Frslagstext"/>
      </w:pPr>
      <w:r w:rsidRPr="000925A8">
        <w:t xml:space="preserve">Riksdagen avslår motion 2001/02:Bo216 yrkande 8.        </w:t>
      </w:r>
    </w:p>
    <w:p w14:paraId="7DC3A6A0" w14:textId="77777777" w:rsidR="00241093" w:rsidRPr="000925A8" w:rsidRDefault="00241093">
      <w:pPr>
        <w:pStyle w:val="Reservationshnvisning"/>
      </w:pPr>
      <w:r w:rsidRPr="000925A8">
        <w:t>Reservation 16 (m, -)</w:t>
      </w:r>
      <w:bookmarkStart w:id="17" w:name="RESPARTI012"/>
      <w:bookmarkEnd w:id="17"/>
    </w:p>
    <w:p w14:paraId="55DC42B5" w14:textId="77777777" w:rsidR="00241093" w:rsidRPr="000925A8" w:rsidRDefault="00241093">
      <w:pPr>
        <w:pStyle w:val="Frslagspunkt"/>
        <w:rPr>
          <w:noProof w:val="0"/>
        </w:rPr>
      </w:pPr>
      <w:r w:rsidRPr="000925A8">
        <w:rPr>
          <w:noProof w:val="0"/>
        </w:rPr>
        <w:t>13.</w:t>
      </w:r>
      <w:r w:rsidRPr="000925A8">
        <w:rPr>
          <w:noProof w:val="0"/>
        </w:rPr>
        <w:tab/>
        <w:t>Grönområden</w:t>
      </w:r>
    </w:p>
    <w:p w14:paraId="7DF7F9E2" w14:textId="77777777" w:rsidR="00241093" w:rsidRPr="000925A8" w:rsidRDefault="00241093">
      <w:pPr>
        <w:pStyle w:val="Frslagstext"/>
      </w:pPr>
      <w:r w:rsidRPr="000925A8">
        <w:t xml:space="preserve">Riksdagen avslår motion 2001/02:Bo325 yrkandena 25 och 26.        </w:t>
      </w:r>
    </w:p>
    <w:p w14:paraId="2D3A5507" w14:textId="77777777" w:rsidR="00241093" w:rsidRPr="000925A8" w:rsidRDefault="00241093">
      <w:pPr>
        <w:pStyle w:val="Reservationshnvisning"/>
      </w:pPr>
      <w:r w:rsidRPr="000925A8">
        <w:t>Reservation 17 (kd, c, mp)</w:t>
      </w:r>
      <w:bookmarkStart w:id="18" w:name="RESPARTI013"/>
      <w:bookmarkEnd w:id="18"/>
    </w:p>
    <w:p w14:paraId="31DCC62F" w14:textId="77777777" w:rsidR="00241093" w:rsidRPr="000925A8" w:rsidRDefault="00241093">
      <w:pPr>
        <w:pStyle w:val="Frslagspunkt"/>
        <w:rPr>
          <w:noProof w:val="0"/>
        </w:rPr>
      </w:pPr>
      <w:r w:rsidRPr="000925A8">
        <w:rPr>
          <w:noProof w:val="0"/>
        </w:rPr>
        <w:t>14.</w:t>
      </w:r>
      <w:r w:rsidRPr="000925A8">
        <w:rPr>
          <w:noProof w:val="0"/>
        </w:rPr>
        <w:tab/>
        <w:t>Aktivitetsytor</w:t>
      </w:r>
    </w:p>
    <w:p w14:paraId="7DABCE57" w14:textId="77777777" w:rsidR="00241093" w:rsidRPr="000925A8" w:rsidRDefault="00241093">
      <w:pPr>
        <w:pStyle w:val="Frslagstext"/>
      </w:pPr>
      <w:r w:rsidRPr="000925A8">
        <w:t xml:space="preserve">Riksdagen avslår motion 2001/02:Bo254.  </w:t>
      </w:r>
      <w:bookmarkStart w:id="19" w:name="RESPARTI014"/>
      <w:bookmarkEnd w:id="19"/>
    </w:p>
    <w:p w14:paraId="4317D492" w14:textId="77777777" w:rsidR="00241093" w:rsidRPr="000925A8" w:rsidRDefault="00241093">
      <w:pPr>
        <w:pStyle w:val="Frslagspunkt"/>
        <w:rPr>
          <w:noProof w:val="0"/>
        </w:rPr>
      </w:pPr>
      <w:r w:rsidRPr="000925A8">
        <w:rPr>
          <w:noProof w:val="0"/>
        </w:rPr>
        <w:t>15.</w:t>
      </w:r>
      <w:r w:rsidRPr="000925A8">
        <w:rPr>
          <w:noProof w:val="0"/>
        </w:rPr>
        <w:tab/>
        <w:t>Kulturhistoriskt värdefull bebyggelse</w:t>
      </w:r>
    </w:p>
    <w:p w14:paraId="0442AD59" w14:textId="77777777" w:rsidR="00241093" w:rsidRPr="000925A8" w:rsidRDefault="00241093">
      <w:pPr>
        <w:pStyle w:val="Frslagstext"/>
      </w:pPr>
      <w:r w:rsidRPr="000925A8">
        <w:t>Riksdagen avslår motionerna 2001/02:Bo288 och 2001/02:Bo325 yrka</w:t>
      </w:r>
      <w:r w:rsidRPr="000925A8">
        <w:t>n</w:t>
      </w:r>
      <w:r w:rsidRPr="000925A8">
        <w:t xml:space="preserve">de 27.      </w:t>
      </w:r>
    </w:p>
    <w:p w14:paraId="0D00EDAD" w14:textId="77777777" w:rsidR="00241093" w:rsidRPr="000925A8" w:rsidRDefault="00241093">
      <w:pPr>
        <w:pStyle w:val="Reservationshnvisning"/>
      </w:pPr>
      <w:r w:rsidRPr="000925A8">
        <w:t>Reservation 18 (c)</w:t>
      </w:r>
      <w:bookmarkStart w:id="20" w:name="RESPARTI015"/>
      <w:bookmarkEnd w:id="20"/>
    </w:p>
    <w:p w14:paraId="77AABE1E" w14:textId="77777777" w:rsidR="00241093" w:rsidRPr="000925A8" w:rsidRDefault="00241093">
      <w:pPr>
        <w:pStyle w:val="Frslagspunkt"/>
        <w:rPr>
          <w:noProof w:val="0"/>
        </w:rPr>
      </w:pPr>
      <w:r w:rsidRPr="000925A8">
        <w:rPr>
          <w:noProof w:val="0"/>
        </w:rPr>
        <w:t>16.</w:t>
      </w:r>
      <w:r w:rsidRPr="000925A8">
        <w:rPr>
          <w:noProof w:val="0"/>
        </w:rPr>
        <w:tab/>
        <w:t>Yrkesmässig verksamhet i bostadsområden</w:t>
      </w:r>
    </w:p>
    <w:p w14:paraId="6C4C6E8C" w14:textId="77777777" w:rsidR="00241093" w:rsidRPr="000925A8" w:rsidRDefault="00241093">
      <w:pPr>
        <w:pStyle w:val="Frslagstext"/>
      </w:pPr>
      <w:r w:rsidRPr="000925A8">
        <w:t xml:space="preserve">Riksdagen avslår motion 2001/02:Bo233.  </w:t>
      </w:r>
      <w:bookmarkStart w:id="21" w:name="RESPARTI016"/>
      <w:bookmarkEnd w:id="21"/>
    </w:p>
    <w:p w14:paraId="4B39CF32" w14:textId="77777777" w:rsidR="00241093" w:rsidRPr="000925A8" w:rsidRDefault="00241093">
      <w:pPr>
        <w:pStyle w:val="Frslagspunkt"/>
        <w:rPr>
          <w:noProof w:val="0"/>
        </w:rPr>
      </w:pPr>
      <w:r w:rsidRPr="000925A8">
        <w:rPr>
          <w:noProof w:val="0"/>
        </w:rPr>
        <w:t>17.</w:t>
      </w:r>
      <w:r w:rsidRPr="000925A8">
        <w:rPr>
          <w:noProof w:val="0"/>
        </w:rPr>
        <w:tab/>
        <w:t>Hästgårdar</w:t>
      </w:r>
    </w:p>
    <w:p w14:paraId="03CE7F05" w14:textId="77777777" w:rsidR="00241093" w:rsidRPr="000925A8" w:rsidRDefault="00241093">
      <w:pPr>
        <w:pStyle w:val="Frslagstext"/>
      </w:pPr>
      <w:r w:rsidRPr="000925A8">
        <w:t xml:space="preserve">Riksdagen avslår motion 2001/02:Bo258.  </w:t>
      </w:r>
      <w:bookmarkStart w:id="22" w:name="RESPARTI017"/>
      <w:bookmarkEnd w:id="22"/>
    </w:p>
    <w:p w14:paraId="23EB8BBB" w14:textId="77777777" w:rsidR="00241093" w:rsidRPr="000925A8" w:rsidRDefault="00241093">
      <w:pPr>
        <w:pStyle w:val="Frslagspunkt"/>
        <w:rPr>
          <w:noProof w:val="0"/>
        </w:rPr>
      </w:pPr>
      <w:r w:rsidRPr="000925A8">
        <w:rPr>
          <w:noProof w:val="0"/>
        </w:rPr>
        <w:t>18.</w:t>
      </w:r>
      <w:r w:rsidRPr="000925A8">
        <w:rPr>
          <w:noProof w:val="0"/>
        </w:rPr>
        <w:tab/>
        <w:t>Lokaler för religiösa ändamål</w:t>
      </w:r>
    </w:p>
    <w:p w14:paraId="1E5C3F28" w14:textId="77777777" w:rsidR="00241093" w:rsidRPr="000925A8" w:rsidRDefault="00241093">
      <w:pPr>
        <w:pStyle w:val="Frslagstext"/>
      </w:pPr>
      <w:r w:rsidRPr="000925A8">
        <w:t xml:space="preserve">Riksdagen avslår motion 2001/02:Bo260.  </w:t>
      </w:r>
      <w:bookmarkStart w:id="23" w:name="RESPARTI018"/>
      <w:bookmarkEnd w:id="23"/>
    </w:p>
    <w:p w14:paraId="53EF9A2D" w14:textId="77777777" w:rsidR="00241093" w:rsidRPr="000925A8" w:rsidRDefault="00241093">
      <w:pPr>
        <w:pStyle w:val="Frslagspunkt"/>
        <w:rPr>
          <w:noProof w:val="0"/>
        </w:rPr>
      </w:pPr>
      <w:r w:rsidRPr="000925A8">
        <w:rPr>
          <w:noProof w:val="0"/>
        </w:rPr>
        <w:t>19.</w:t>
      </w:r>
      <w:r w:rsidRPr="000925A8">
        <w:rPr>
          <w:noProof w:val="0"/>
        </w:rPr>
        <w:tab/>
        <w:t>Rätten att använda offentlig plats</w:t>
      </w:r>
    </w:p>
    <w:p w14:paraId="29FA967A" w14:textId="77777777" w:rsidR="00241093" w:rsidRPr="000925A8" w:rsidRDefault="00241093">
      <w:pPr>
        <w:pStyle w:val="Frslagstext"/>
      </w:pPr>
      <w:r w:rsidRPr="000925A8">
        <w:t>Riksdagen tillkännager för regeringen som sin mening vad utskottet anför under rubriken Rätten att använda offentlig plats. Därmed bifaller u</w:t>
      </w:r>
      <w:r w:rsidRPr="000925A8">
        <w:t>t</w:t>
      </w:r>
      <w:r w:rsidRPr="000925A8">
        <w:t xml:space="preserve">skottet delvis motionerna 2001/02:Bo228 och 2001/02:Bo249.     </w:t>
      </w:r>
    </w:p>
    <w:p w14:paraId="0D6B8FE7" w14:textId="77777777" w:rsidR="00241093" w:rsidRPr="000925A8" w:rsidRDefault="00241093">
      <w:pPr>
        <w:pStyle w:val="Reservationshnvisning"/>
      </w:pPr>
      <w:r w:rsidRPr="000925A8">
        <w:t>Reservation 19 (m, kd, -)</w:t>
      </w:r>
      <w:bookmarkStart w:id="24" w:name="RESPARTI019"/>
      <w:bookmarkEnd w:id="24"/>
    </w:p>
    <w:p w14:paraId="727C52A1" w14:textId="77777777" w:rsidR="00241093" w:rsidRPr="000925A8" w:rsidRDefault="00241093">
      <w:pPr>
        <w:pStyle w:val="Frslagstext"/>
      </w:pPr>
      <w:bookmarkStart w:id="25" w:name="Nästa_Hpunkt"/>
      <w:bookmarkEnd w:id="25"/>
    </w:p>
    <w:p w14:paraId="267ACFCB" w14:textId="77777777" w:rsidR="00241093" w:rsidRPr="000925A8" w:rsidRDefault="00241093">
      <w:pPr>
        <w:pStyle w:val="Normaltindrag"/>
        <w:ind w:firstLine="0"/>
      </w:pPr>
    </w:p>
    <w:p w14:paraId="50826866" w14:textId="77777777" w:rsidR="00241093" w:rsidRPr="000925A8" w:rsidRDefault="00241093">
      <w:pPr>
        <w:pStyle w:val="Utskriftsdatum"/>
      </w:pPr>
      <w:r w:rsidRPr="000925A8">
        <w:t xml:space="preserve">Stockholm den 21 mars 2002 </w:t>
      </w:r>
    </w:p>
    <w:p w14:paraId="35EC0019" w14:textId="77777777" w:rsidR="00241093" w:rsidRPr="000925A8" w:rsidRDefault="00241093">
      <w:r w:rsidRPr="000925A8">
        <w:t>På bostadsutskottets vägnar</w:t>
      </w:r>
    </w:p>
    <w:p w14:paraId="39CCA044" w14:textId="77777777" w:rsidR="00241093" w:rsidRPr="000925A8" w:rsidRDefault="00241093">
      <w:pPr>
        <w:pStyle w:val="Ordfranden"/>
        <w:rPr>
          <w:noProof w:val="0"/>
        </w:rPr>
      </w:pPr>
      <w:bookmarkStart w:id="26" w:name="Ordförande"/>
      <w:bookmarkEnd w:id="26"/>
      <w:r w:rsidRPr="000925A8">
        <w:rPr>
          <w:noProof w:val="0"/>
        </w:rPr>
        <w:t xml:space="preserve">Knut Billing </w:t>
      </w:r>
    </w:p>
    <w:p w14:paraId="7A2D1ABB" w14:textId="77777777" w:rsidR="00241093" w:rsidRPr="000925A8" w:rsidRDefault="00241093">
      <w:pPr>
        <w:pStyle w:val="Deltagare"/>
        <w:rPr>
          <w:noProof w:val="0"/>
        </w:rPr>
      </w:pPr>
      <w:bookmarkStart w:id="27" w:name="Deltagare"/>
      <w:bookmarkEnd w:id="27"/>
      <w:r w:rsidRPr="000925A8">
        <w:rPr>
          <w:noProof w:val="0"/>
        </w:rPr>
        <w:t>Följande ledamöter har deltagit i beslutet: Knut Billing (m), Lennart Nilsson (s), Bengt-Ola Ryttar (s), Lilian Virgin (s), Owe Hellberg (v), Ulla-Britt Hagström (kd), Sten Andersson (-), Carina Moberg (s), Inga Berggren (m), Siw Wittgren-Ahl (s), Sten Lundström (v), Annelie Enochson (kd), Helena Hillar Rosenqvist (mp), Rigmor Stenmark (c), Yvonne Ångström (fp), Ewa Thalén Finné (m) och Leif Jakobsson (s).</w:t>
      </w:r>
    </w:p>
    <w:p w14:paraId="2F676375" w14:textId="77777777" w:rsidR="00241093" w:rsidRPr="000925A8" w:rsidRDefault="00241093">
      <w:pPr>
        <w:pStyle w:val="Normaltindrag"/>
      </w:pPr>
    </w:p>
    <w:p w14:paraId="2C5F4C28" w14:textId="77777777" w:rsidR="00241093" w:rsidRPr="000925A8" w:rsidRDefault="00241093">
      <w:pPr>
        <w:pStyle w:val="Normaltindrag"/>
        <w:sectPr w:rsidR="00000000" w:rsidRPr="000925A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14:paraId="5EF96D66" w14:textId="77777777" w:rsidR="00241093" w:rsidRPr="000925A8" w:rsidRDefault="00241093">
      <w:pPr>
        <w:pStyle w:val="Rubrik1"/>
        <w:rPr>
          <w:noProof w:val="0"/>
        </w:rPr>
      </w:pPr>
      <w:bookmarkStart w:id="28" w:name="_Toc4898194"/>
      <w:r w:rsidRPr="000925A8">
        <w:rPr>
          <w:noProof w:val="0"/>
        </w:rPr>
        <w:t>Redogörelse för ärendet</w:t>
      </w:r>
      <w:bookmarkEnd w:id="28"/>
    </w:p>
    <w:p w14:paraId="21E6DE37" w14:textId="77777777" w:rsidR="00241093" w:rsidRPr="000925A8" w:rsidRDefault="00241093">
      <w:r w:rsidRPr="000925A8">
        <w:t>I detta betänkande behandlas motioner från 2001 års allmänna motionstid i frågor om kommunala planer m.m. Dessutom behandlas ett yrkande i en motion väckt med anledning av Riksdagens revisorers förslag 2001/02:RR8 Plan- och byggprocessens längd. Detta förslag har tidigare behandlats av utskottet i betänkande 2001/02:BoU6. Utskottet föreslog i betänkandet rik</w:t>
      </w:r>
      <w:r w:rsidRPr="000925A8">
        <w:t>s</w:t>
      </w:r>
      <w:r w:rsidRPr="000925A8">
        <w:t>dagen att göra ett tillkännagivande med innebörden att en bred översyn av plan- och bygglagen (1987:10) bör komma till stånd. Riksdagen följde u</w:t>
      </w:r>
      <w:r w:rsidRPr="000925A8">
        <w:t>t</w:t>
      </w:r>
      <w:r w:rsidRPr="000925A8">
        <w:t xml:space="preserve">skottets förslag. </w:t>
      </w:r>
    </w:p>
    <w:p w14:paraId="30E796A2" w14:textId="77777777" w:rsidR="00241093" w:rsidRPr="000925A8" w:rsidRDefault="00241093">
      <w:pPr>
        <w:pStyle w:val="Normaltindrag"/>
      </w:pPr>
      <w:r w:rsidRPr="000925A8">
        <w:t>De motioner som tas upp i betänkandet avser i första hand frågor som r</w:t>
      </w:r>
      <w:r w:rsidRPr="000925A8">
        <w:t>e</w:t>
      </w:r>
      <w:r w:rsidRPr="000925A8">
        <w:t>gleras genom plan- och bygglagen (PBL). Motionsförslag i frågor som regl</w:t>
      </w:r>
      <w:r w:rsidRPr="000925A8">
        <w:t>e</w:t>
      </w:r>
      <w:r w:rsidRPr="000925A8">
        <w:t>ras genom plan- och bygglagstiftningen tas även upp i utskottets betänkande 2001/02:BoU9 Byggfrågor. Det betänkandet behandlar bl.a. förslag om PBL:s reglering av bygglov, tillsyn och kontroll samt sådana frågor som regleras genom lagen (1994:847) om tekniska egenskapskrav på byggn</w:t>
      </w:r>
      <w:r w:rsidRPr="000925A8">
        <w:t>a</w:t>
      </w:r>
      <w:r w:rsidRPr="000925A8">
        <w:t xml:space="preserve">der. </w:t>
      </w:r>
    </w:p>
    <w:p w14:paraId="3F8A9699" w14:textId="77777777" w:rsidR="00241093" w:rsidRPr="000925A8" w:rsidRDefault="00241093">
      <w:pPr>
        <w:pStyle w:val="Normaltindrag"/>
      </w:pPr>
      <w:r w:rsidRPr="000925A8">
        <w:t>Som bilaga till betänkandet har fogats en rapport – Länsstyrelserna och mellankommunal samordning inom PBL-området. Rapporten är en redovi</w:t>
      </w:r>
      <w:r w:rsidRPr="000925A8">
        <w:t>s</w:t>
      </w:r>
      <w:r w:rsidRPr="000925A8">
        <w:t>ning av en uppföljning som bostadsutskottet låtit genomföra av länsstyrelse</w:t>
      </w:r>
      <w:r w:rsidRPr="000925A8">
        <w:t>r</w:t>
      </w:r>
      <w:r w:rsidRPr="000925A8">
        <w:t>nas behandling av planfrågor som berör två eller flera kommuner. Denna rapport tar upp vissa frågor, bl.a. om mellankommunal planering och extern handel, som även aktualiserats genom de motioner som behandlas i detta betänka</w:t>
      </w:r>
      <w:r w:rsidRPr="000925A8">
        <w:t>n</w:t>
      </w:r>
      <w:r w:rsidRPr="000925A8">
        <w:t xml:space="preserve">de. </w:t>
      </w:r>
    </w:p>
    <w:p w14:paraId="42C04BF1" w14:textId="77777777" w:rsidR="00241093" w:rsidRPr="000925A8" w:rsidRDefault="00241093"/>
    <w:p w14:paraId="662E26A7" w14:textId="77777777" w:rsidR="00241093" w:rsidRPr="000925A8" w:rsidRDefault="00241093">
      <w:pPr>
        <w:pStyle w:val="Normaltindrag"/>
        <w:sectPr w:rsidR="00000000" w:rsidRPr="000925A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14:paraId="138DC729" w14:textId="77777777" w:rsidR="00241093" w:rsidRPr="000925A8" w:rsidRDefault="00241093">
      <w:pPr>
        <w:pStyle w:val="Rubrik1"/>
        <w:rPr>
          <w:noProof w:val="0"/>
        </w:rPr>
      </w:pPr>
      <w:bookmarkStart w:id="29" w:name="_Toc4898195"/>
      <w:r w:rsidRPr="000925A8">
        <w:rPr>
          <w:noProof w:val="0"/>
        </w:rPr>
        <w:t>Utskottets överväganden</w:t>
      </w:r>
      <w:bookmarkEnd w:id="29"/>
    </w:p>
    <w:p w14:paraId="411E385A" w14:textId="77777777" w:rsidR="00241093" w:rsidRPr="000925A8" w:rsidRDefault="00241093">
      <w:pPr>
        <w:pStyle w:val="Rubrik2"/>
        <w:spacing w:before="0"/>
      </w:pPr>
      <w:bookmarkStart w:id="30" w:name="_Toc4898196"/>
      <w:r w:rsidRPr="000925A8">
        <w:t>Kommunala planer</w:t>
      </w:r>
      <w:bookmarkEnd w:id="30"/>
    </w:p>
    <w:p w14:paraId="3F64A0F9" w14:textId="77777777" w:rsidR="00241093" w:rsidRPr="000925A8" w:rsidRDefault="00241093">
      <w:pPr>
        <w:pStyle w:val="Utskottsfrslagikorthet-Rubrik"/>
        <w:rPr>
          <w:noProof w:val="0"/>
        </w:rPr>
      </w:pPr>
      <w:r w:rsidRPr="000925A8">
        <w:rPr>
          <w:noProof w:val="0"/>
        </w:rPr>
        <w:t>Utskottets förslag i korthet</w:t>
      </w:r>
    </w:p>
    <w:p w14:paraId="128046DA" w14:textId="77777777" w:rsidR="00241093" w:rsidRPr="000925A8" w:rsidRDefault="00241093">
      <w:pPr>
        <w:pStyle w:val="Utskottsfrslagikorthet-Text"/>
      </w:pPr>
      <w:r w:rsidRPr="000925A8">
        <w:t>Riksdagen bör avslå motionsförslagen om</w:t>
      </w:r>
    </w:p>
    <w:p w14:paraId="5E2ADD3B" w14:textId="77777777" w:rsidR="00241093" w:rsidRPr="000925A8" w:rsidRDefault="00241093">
      <w:pPr>
        <w:pStyle w:val="Utskottsfrslagikorthet-Text"/>
      </w:pPr>
      <w:r w:rsidRPr="000925A8">
        <w:t xml:space="preserve">– övergipande krav på planering, </w:t>
      </w:r>
      <w:r w:rsidRPr="000925A8">
        <w:rPr>
          <w:i/>
        </w:rPr>
        <w:t>jämför reservation 1 (kd, c, mp),</w:t>
      </w:r>
    </w:p>
    <w:p w14:paraId="2D75F794" w14:textId="77777777" w:rsidR="00241093" w:rsidRPr="000925A8" w:rsidRDefault="00241093">
      <w:pPr>
        <w:pStyle w:val="Utskottsfrslagikorthet-Text"/>
        <w:rPr>
          <w:i/>
        </w:rPr>
      </w:pPr>
      <w:r w:rsidRPr="000925A8">
        <w:t xml:space="preserve">– barns inflytande, </w:t>
      </w:r>
      <w:r w:rsidRPr="000925A8">
        <w:rPr>
          <w:i/>
        </w:rPr>
        <w:t xml:space="preserve">jämför reservationerna 2 (v, c, fp, mp) och </w:t>
      </w:r>
    </w:p>
    <w:p w14:paraId="21A7A5C2" w14:textId="77777777" w:rsidR="00241093" w:rsidRPr="000925A8" w:rsidRDefault="00241093">
      <w:pPr>
        <w:pStyle w:val="Utskottsfrslagikorthet-Text"/>
        <w:rPr>
          <w:i/>
        </w:rPr>
      </w:pPr>
      <w:r w:rsidRPr="000925A8">
        <w:rPr>
          <w:i/>
        </w:rPr>
        <w:t xml:space="preserve">   3 (kd),</w:t>
      </w:r>
    </w:p>
    <w:p w14:paraId="378ED7C6" w14:textId="77777777" w:rsidR="00241093" w:rsidRPr="000925A8" w:rsidRDefault="00241093">
      <w:pPr>
        <w:pStyle w:val="Utskottsfrslagikorthet-Text"/>
      </w:pPr>
      <w:r w:rsidRPr="000925A8">
        <w:t xml:space="preserve">– regionala frågor, </w:t>
      </w:r>
      <w:r w:rsidRPr="000925A8">
        <w:rPr>
          <w:i/>
        </w:rPr>
        <w:t>jämför reservationerna 4 (kd, c, fp) och 5 (v),</w:t>
      </w:r>
    </w:p>
    <w:p w14:paraId="7DF887AA" w14:textId="77777777" w:rsidR="00241093" w:rsidRPr="000925A8" w:rsidRDefault="00241093">
      <w:pPr>
        <w:pStyle w:val="Utskottsfrslagikorthet-Text"/>
      </w:pPr>
      <w:r w:rsidRPr="000925A8">
        <w:t>– Agenda 21 och Habitatagendan</w:t>
      </w:r>
      <w:r w:rsidRPr="000925A8">
        <w:rPr>
          <w:i/>
        </w:rPr>
        <w:t>,</w:t>
      </w:r>
    </w:p>
    <w:p w14:paraId="42798290" w14:textId="77777777" w:rsidR="00241093" w:rsidRPr="000925A8" w:rsidRDefault="00241093">
      <w:pPr>
        <w:pStyle w:val="Utskottsfrslagikorthet-Text"/>
        <w:rPr>
          <w:i/>
        </w:rPr>
      </w:pPr>
      <w:r w:rsidRPr="000925A8">
        <w:t xml:space="preserve">– planering för en tyst miljö, </w:t>
      </w:r>
      <w:r w:rsidRPr="000925A8">
        <w:rPr>
          <w:i/>
        </w:rPr>
        <w:t>jämför reservationerna 6 (kd) och 7</w:t>
      </w:r>
    </w:p>
    <w:p w14:paraId="4A92A741" w14:textId="77777777" w:rsidR="00241093" w:rsidRPr="000925A8" w:rsidRDefault="00241093">
      <w:pPr>
        <w:pStyle w:val="Utskottsfrslagikorthet-Text"/>
        <w:rPr>
          <w:i/>
        </w:rPr>
      </w:pPr>
      <w:r w:rsidRPr="000925A8">
        <w:rPr>
          <w:i/>
        </w:rPr>
        <w:t xml:space="preserve">   (c, mp),</w:t>
      </w:r>
    </w:p>
    <w:p w14:paraId="77273364" w14:textId="77777777" w:rsidR="00241093" w:rsidRPr="000925A8" w:rsidRDefault="00241093">
      <w:pPr>
        <w:pStyle w:val="Utskottsfrslagikorthet-Text"/>
      </w:pPr>
      <w:r w:rsidRPr="000925A8">
        <w:t xml:space="preserve">– brottsförebyggande planering, </w:t>
      </w:r>
      <w:r w:rsidRPr="000925A8">
        <w:rPr>
          <w:i/>
        </w:rPr>
        <w:t>jämför reservation 8 (kd, c),</w:t>
      </w:r>
      <w:r w:rsidRPr="000925A8">
        <w:t xml:space="preserve"> </w:t>
      </w:r>
    </w:p>
    <w:p w14:paraId="35EB67CF" w14:textId="77777777" w:rsidR="00241093" w:rsidRPr="000925A8" w:rsidRDefault="00241093">
      <w:pPr>
        <w:pStyle w:val="Utskottsfrslagikorthet-Text"/>
        <w:rPr>
          <w:i/>
        </w:rPr>
      </w:pPr>
      <w:r w:rsidRPr="000925A8">
        <w:t xml:space="preserve">– planering vid översvämningsrisk, </w:t>
      </w:r>
      <w:r w:rsidRPr="000925A8">
        <w:rPr>
          <w:i/>
        </w:rPr>
        <w:t xml:space="preserve">jämför reservation 9 (kd, c, fp, </w:t>
      </w:r>
    </w:p>
    <w:p w14:paraId="22FA3A01" w14:textId="77777777" w:rsidR="00241093" w:rsidRPr="000925A8" w:rsidRDefault="00241093">
      <w:pPr>
        <w:pStyle w:val="Utskottsfrslagikorthet-Text"/>
        <w:rPr>
          <w:i/>
        </w:rPr>
      </w:pPr>
      <w:r w:rsidRPr="000925A8">
        <w:rPr>
          <w:i/>
        </w:rPr>
        <w:t xml:space="preserve">   mp),</w:t>
      </w:r>
    </w:p>
    <w:p w14:paraId="74900EFA" w14:textId="77777777" w:rsidR="00241093" w:rsidRPr="000925A8" w:rsidRDefault="00241093">
      <w:pPr>
        <w:pStyle w:val="Utskottsfrslagikorthet-Text"/>
      </w:pPr>
      <w:r w:rsidRPr="000925A8">
        <w:t xml:space="preserve">– handelsändamålet i detaljplan, </w:t>
      </w:r>
      <w:r w:rsidRPr="000925A8">
        <w:rPr>
          <w:i/>
        </w:rPr>
        <w:t>jämför reservation 10 (m, fp, -),</w:t>
      </w:r>
    </w:p>
    <w:p w14:paraId="559B8C1F" w14:textId="77777777" w:rsidR="00241093" w:rsidRPr="000925A8" w:rsidRDefault="00241093">
      <w:pPr>
        <w:pStyle w:val="Utskottsfrslagikorthet-Text"/>
        <w:rPr>
          <w:i/>
        </w:rPr>
      </w:pPr>
      <w:r w:rsidRPr="000925A8">
        <w:t xml:space="preserve">– externa köpcentrum,  </w:t>
      </w:r>
      <w:r w:rsidRPr="000925A8">
        <w:rPr>
          <w:i/>
        </w:rPr>
        <w:t xml:space="preserve">jämför reservation 11 (m, fp, -), 12 (kd, c), </w:t>
      </w:r>
    </w:p>
    <w:p w14:paraId="4B5B727A" w14:textId="77777777" w:rsidR="00241093" w:rsidRPr="000925A8" w:rsidRDefault="00241093">
      <w:pPr>
        <w:pStyle w:val="Utskottsfrslagikorthet-Text"/>
      </w:pPr>
      <w:r w:rsidRPr="000925A8">
        <w:rPr>
          <w:i/>
        </w:rPr>
        <w:t xml:space="preserve">   13 (v) och 14 (mp),</w:t>
      </w:r>
    </w:p>
    <w:p w14:paraId="0E439DC5" w14:textId="77777777" w:rsidR="00241093" w:rsidRPr="000925A8" w:rsidRDefault="00241093">
      <w:pPr>
        <w:pStyle w:val="Utskottsfrslagikorthet-Text"/>
        <w:rPr>
          <w:i/>
        </w:rPr>
      </w:pPr>
      <w:r w:rsidRPr="000925A8">
        <w:t>– miljökonsekvensbeskrivningar vid vägplanering,</w:t>
      </w:r>
    </w:p>
    <w:p w14:paraId="5308542D" w14:textId="77777777" w:rsidR="00241093" w:rsidRPr="000925A8" w:rsidRDefault="00241093">
      <w:pPr>
        <w:pStyle w:val="Utskottsfrslagikorthet-Text"/>
      </w:pPr>
      <w:r w:rsidRPr="000925A8">
        <w:t xml:space="preserve">– kommunala servicezoner, </w:t>
      </w:r>
      <w:r w:rsidRPr="000925A8">
        <w:rPr>
          <w:i/>
        </w:rPr>
        <w:t>jämför reservation 15 (m, -),</w:t>
      </w:r>
    </w:p>
    <w:p w14:paraId="01921260" w14:textId="77777777" w:rsidR="00241093" w:rsidRPr="000925A8" w:rsidRDefault="00241093">
      <w:pPr>
        <w:pStyle w:val="Utskottsfrslagikorthet-Text"/>
        <w:rPr>
          <w:i/>
        </w:rPr>
      </w:pPr>
      <w:r w:rsidRPr="000925A8">
        <w:t xml:space="preserve">– den statliga kontrollen av kommunala planer, </w:t>
      </w:r>
      <w:r w:rsidRPr="000925A8">
        <w:rPr>
          <w:i/>
        </w:rPr>
        <w:t xml:space="preserve">jämför reservation </w:t>
      </w:r>
    </w:p>
    <w:p w14:paraId="5BD7A00D" w14:textId="77777777" w:rsidR="00241093" w:rsidRPr="000925A8" w:rsidRDefault="00241093">
      <w:pPr>
        <w:pStyle w:val="Utskottsfrslagikorthet-Text"/>
        <w:rPr>
          <w:i/>
        </w:rPr>
      </w:pPr>
      <w:r w:rsidRPr="000925A8">
        <w:rPr>
          <w:i/>
        </w:rPr>
        <w:t xml:space="preserve">   16 (m, -).</w:t>
      </w:r>
    </w:p>
    <w:p w14:paraId="7A23EEE2" w14:textId="77777777" w:rsidR="00241093" w:rsidRPr="000925A8" w:rsidRDefault="00241093"/>
    <w:p w14:paraId="4F904970" w14:textId="77777777" w:rsidR="00241093" w:rsidRPr="000925A8" w:rsidRDefault="00241093">
      <w:pPr>
        <w:pStyle w:val="Rubrik3"/>
        <w:spacing w:before="0"/>
        <w:rPr>
          <w:noProof w:val="0"/>
        </w:rPr>
      </w:pPr>
      <w:bookmarkStart w:id="31" w:name="_Toc4898197"/>
      <w:r w:rsidRPr="000925A8">
        <w:rPr>
          <w:noProof w:val="0"/>
        </w:rPr>
        <w:t>Övergripande krav på planering</w:t>
      </w:r>
      <w:bookmarkEnd w:id="31"/>
    </w:p>
    <w:p w14:paraId="6D5E38E8" w14:textId="77777777" w:rsidR="00241093" w:rsidRPr="000925A8" w:rsidRDefault="00241093">
      <w:r w:rsidRPr="000925A8">
        <w:t>Inledningsvis tar utskottet upp tre motionsförslag som avser mer övergripande krav som bör ställas i samhällsplaneringen och på kommunala planer.</w:t>
      </w:r>
    </w:p>
    <w:p w14:paraId="52BA19B6" w14:textId="77777777" w:rsidR="00241093" w:rsidRPr="000925A8" w:rsidRDefault="00241093">
      <w:pPr>
        <w:pStyle w:val="Normaltindrag"/>
      </w:pPr>
      <w:r w:rsidRPr="000925A8">
        <w:t>I Centerpartiets partimotion 2001/02:A212 yrkande 13 föreslås att rege</w:t>
      </w:r>
      <w:r w:rsidRPr="000925A8">
        <w:t>r</w:t>
      </w:r>
      <w:r w:rsidRPr="000925A8">
        <w:t>ingen bör ta initiativ till att samhällsplaneringen utformas utifrån ett jä</w:t>
      </w:r>
      <w:r w:rsidRPr="000925A8">
        <w:t>m</w:t>
      </w:r>
      <w:r w:rsidRPr="000925A8">
        <w:t>ställdhetsperspektiv. Motionärerna anför bl.a. att byggnader och utemiljöer bör utformas med denna utgångspunkt.</w:t>
      </w:r>
    </w:p>
    <w:p w14:paraId="487937A7" w14:textId="77777777" w:rsidR="00241093" w:rsidRPr="000925A8" w:rsidRDefault="00241093">
      <w:pPr>
        <w:pStyle w:val="Normaltindrag"/>
      </w:pPr>
      <w:r w:rsidRPr="000925A8">
        <w:t>Vikten av att i samhällsplaneringen väga in de äldres och funktionshindr</w:t>
      </w:r>
      <w:r w:rsidRPr="000925A8">
        <w:t>a</w:t>
      </w:r>
      <w:r w:rsidRPr="000925A8">
        <w:t>des perspektiv framhålls i motion 2001/02:Bo244 (kd) yrkande 17. Motion</w:t>
      </w:r>
      <w:r w:rsidRPr="000925A8">
        <w:t>ä</w:t>
      </w:r>
      <w:r w:rsidRPr="000925A8">
        <w:t>rerna anser att tillgänglighetsaspekten är särskilt värd att uppmärksammas i planeringen.</w:t>
      </w:r>
    </w:p>
    <w:p w14:paraId="6D58E804" w14:textId="77777777" w:rsidR="00241093" w:rsidRPr="000925A8" w:rsidRDefault="00241093">
      <w:pPr>
        <w:pStyle w:val="Normaltindrag"/>
      </w:pPr>
      <w:r w:rsidRPr="000925A8">
        <w:t>Åkermarkens betydelse i samhällsplaneringen framhålls i motion 2001/02:</w:t>
      </w:r>
      <w:r w:rsidRPr="000925A8">
        <w:br/>
        <w:t xml:space="preserve">MJ341 (c) yrkande 8. Motionären anser att denna fråga på ett tydligare sätt bör beaktas i bl.a. kommunernas översiktsplanering. </w:t>
      </w:r>
    </w:p>
    <w:p w14:paraId="06C9E64E" w14:textId="77777777" w:rsidR="00241093" w:rsidRPr="000925A8" w:rsidRDefault="00241093">
      <w:pPr>
        <w:pStyle w:val="Normaltindrag"/>
      </w:pPr>
      <w:r w:rsidRPr="000925A8">
        <w:t>De övergripande utgångspunkter för samhällsplaneringen som lyfts fram i de aktuella motionerna torde delas av så gott som alla. Det får således anses vara av stor vikt att frågor om bl.a. jämställdhet, tillgänglighet och de äldres behov beaktas vid utformningen av kommunala planer. Det är också angel</w:t>
      </w:r>
      <w:r w:rsidRPr="000925A8">
        <w:t>ä</w:t>
      </w:r>
      <w:r w:rsidRPr="000925A8">
        <w:t xml:space="preserve">get att beakta de särskilda krav som gäller för vissa typer av markområden, bl.a. för åkermark. Utskottet har uppfattningen att gällande lagstiftning ger uttryck för dessa utgångspunkter. Här kan exempelvis erinras om att det i </w:t>
      </w:r>
      <w:r w:rsidRPr="000925A8">
        <w:br/>
        <w:t>1 kap. 1 § PBL sägs att lagens bestämmelser syftar till att med beaktande av den enskilda människans frihet främja en samhällsutveckling med jämlika och goda sociala levnadsförhållanden och en god långsiktigt hållbar livsmiljö för människorna i dagens samhälle och för kommande gene</w:t>
      </w:r>
      <w:r w:rsidRPr="000925A8">
        <w:t>rationer. I milj</w:t>
      </w:r>
      <w:r w:rsidRPr="000925A8">
        <w:t>ö</w:t>
      </w:r>
      <w:r w:rsidRPr="000925A8">
        <w:t>balken (3 kap. 4 §) finns bestämmelser om att brukningsvärd jordbruksmark får  tas i anspråk för bebyggelse eller anläggningar endast om det behövs för att tillgodose väsentliga samhällsintressen och detta behov inte kan tillgod</w:t>
      </w:r>
      <w:r w:rsidRPr="000925A8">
        <w:t>o</w:t>
      </w:r>
      <w:r w:rsidRPr="000925A8">
        <w:t>ses genom att annan mark tas i anspråk.</w:t>
      </w:r>
    </w:p>
    <w:p w14:paraId="0A94F3C3" w14:textId="77777777" w:rsidR="00241093" w:rsidRPr="000925A8" w:rsidRDefault="00241093">
      <w:pPr>
        <w:pStyle w:val="Normaltindrag"/>
      </w:pPr>
      <w:r w:rsidRPr="000925A8">
        <w:t xml:space="preserve"> Utskottet är således av den uppfattningen att regelverket är så utformat att det ger kommunerna de verktyg som krävs för att bedriva sitt planeringsa</w:t>
      </w:r>
      <w:r w:rsidRPr="000925A8">
        <w:t>r</w:t>
      </w:r>
      <w:r w:rsidRPr="000925A8">
        <w:t xml:space="preserve">bete med bl.a. de utgångspunkter som motionärerna förordar. Ett allmänt formulerat tillkännagivande om vikten av att beakta dessa utgångspunkter skulle därmed inte tjäna något reellt syfte. Motionerna 2001/02:A212 (c) yrkande 13, 2001/02:Bo244 (kd) yrkande 17 och 2001/02:MJ341 (c) yrkande 8 avstyrks av detta skäl.  </w:t>
      </w:r>
    </w:p>
    <w:p w14:paraId="0F5846E0" w14:textId="77777777" w:rsidR="00241093" w:rsidRPr="000925A8" w:rsidRDefault="00241093">
      <w:pPr>
        <w:pStyle w:val="Rubrik3"/>
        <w:rPr>
          <w:noProof w:val="0"/>
        </w:rPr>
      </w:pPr>
      <w:bookmarkStart w:id="32" w:name="_Toc4898198"/>
      <w:r w:rsidRPr="000925A8">
        <w:rPr>
          <w:noProof w:val="0"/>
        </w:rPr>
        <w:t>Barns inflytande</w:t>
      </w:r>
      <w:bookmarkEnd w:id="32"/>
    </w:p>
    <w:p w14:paraId="48A3BA58" w14:textId="77777777" w:rsidR="00241093" w:rsidRPr="000925A8" w:rsidRDefault="00241093">
      <w:r w:rsidRPr="000925A8">
        <w:t>Tre motioner tar upp frågor om vikten av att i samhällsplaneringen väga in barnens perspektiv.</w:t>
      </w:r>
    </w:p>
    <w:p w14:paraId="4C3099EF" w14:textId="77777777" w:rsidR="00241093" w:rsidRPr="000925A8" w:rsidRDefault="00241093">
      <w:pPr>
        <w:pStyle w:val="Normaltindrag"/>
      </w:pPr>
      <w:r w:rsidRPr="000925A8">
        <w:t>I motion Bo244 (kd) yrkande 16 framhålls särskilt att den fysiska plan</w:t>
      </w:r>
      <w:r w:rsidRPr="000925A8">
        <w:t>e</w:t>
      </w:r>
      <w:r w:rsidRPr="000925A8">
        <w:t xml:space="preserve">ringen skall ske </w:t>
      </w:r>
      <w:r w:rsidRPr="000925A8">
        <w:rPr>
          <w:i/>
        </w:rPr>
        <w:t>med</w:t>
      </w:r>
      <w:r w:rsidRPr="000925A8">
        <w:t xml:space="preserve"> barnen, inte </w:t>
      </w:r>
      <w:r w:rsidRPr="000925A8">
        <w:rPr>
          <w:i/>
        </w:rPr>
        <w:t>för</w:t>
      </w:r>
      <w:r w:rsidRPr="000925A8">
        <w:t xml:space="preserve"> barnen. Barnens inflytande vid planering av boendemiljöer framhålls även i motion 2001/02:Bo256 (v) yrkande 1. Motionärerna anser att regeringen bör lämna förslag till nationella riktlinjer för barns deltagande och rättigheter i samhällsbyggandet. I Centerpartiets partimotion 2001/02:K284 yrkande 15 anförs att barn och ungdomar bör ges möjlighet att p</w:t>
      </w:r>
      <w:r w:rsidRPr="000925A8">
        <w:t>å</w:t>
      </w:r>
      <w:r w:rsidRPr="000925A8">
        <w:t xml:space="preserve">verka samhällsplaneringen i större utsträckning än i dag. </w:t>
      </w:r>
    </w:p>
    <w:p w14:paraId="7F8E491A" w14:textId="77777777" w:rsidR="00241093" w:rsidRPr="000925A8" w:rsidRDefault="00241093">
      <w:pPr>
        <w:pStyle w:val="Normaltindrag"/>
      </w:pPr>
      <w:r w:rsidRPr="000925A8">
        <w:t>Inte heller i fråga om vikten av att väga in ett barnperspek</w:t>
      </w:r>
      <w:r w:rsidRPr="000925A8">
        <w:t>tiv i planering</w:t>
      </w:r>
      <w:r w:rsidRPr="000925A8">
        <w:t>s</w:t>
      </w:r>
      <w:r w:rsidRPr="000925A8">
        <w:t xml:space="preserve">arbetet torde det finnas några egentliga delade meningar. Barnens behov skall enligt byggnadslagstiftningen särskilt beaktas i olika avseenden. </w:t>
      </w:r>
    </w:p>
    <w:p w14:paraId="10975E23" w14:textId="77777777" w:rsidR="00241093" w:rsidRPr="000925A8" w:rsidRDefault="00241093">
      <w:pPr>
        <w:pStyle w:val="Normaltindrag"/>
      </w:pPr>
      <w:r w:rsidRPr="000925A8">
        <w:t>När motsvarande motionsyrkanden om barns inflytande i samhällsplan</w:t>
      </w:r>
      <w:r w:rsidRPr="000925A8">
        <w:t>e</w:t>
      </w:r>
      <w:r w:rsidRPr="000925A8">
        <w:t>ringen behandlats vid tidigare tillfällen har utskottet hänvisat till olika initiativ som tagits från statsmakterna med den inriktning som förordas i motionerna. Ett exempel på detta är ett regeringsuppdrag till Boverket att tillsammans med bl.a. Barnombudsmannen och Svenska Kommunförbundet utveckla metoder för hur barns och ungdomars inflytande skall förverkligas i kommuner i fr</w:t>
      </w:r>
      <w:r w:rsidRPr="000925A8">
        <w:t>å</w:t>
      </w:r>
      <w:r w:rsidRPr="000925A8">
        <w:t>gor som rör samhällsplanering och liknande frågor. Uppdraget redovisades i april 2000 under  titeln Unga är också medborgare – o</w:t>
      </w:r>
      <w:r w:rsidRPr="000925A8">
        <w:t>m barns och ungdomars inflytande i planeringen. De frågor som tas upp i rapporten bereds inom R</w:t>
      </w:r>
      <w:r w:rsidRPr="000925A8">
        <w:t>e</w:t>
      </w:r>
      <w:r w:rsidRPr="000925A8">
        <w:t>geringskansliet. Rapporten uppmärksammades också i Kommundemokrat</w:t>
      </w:r>
      <w:r w:rsidRPr="000925A8">
        <w:t>i</w:t>
      </w:r>
      <w:r w:rsidRPr="000925A8">
        <w:t>kommitténs betänkande Att vara med på riktigt (SOU 2001:48) i avsnittet om barns och ungdomars rätt till inflytande. Kommittén betonar bl.a. skolans betydelse som en arena för att upprätta en dialog mellan barn/ungdomar och kommunala beslutsfatt</w:t>
      </w:r>
      <w:r w:rsidRPr="000925A8">
        <w:t>a</w:t>
      </w:r>
      <w:r w:rsidRPr="000925A8">
        <w:t>re.</w:t>
      </w:r>
    </w:p>
    <w:p w14:paraId="1A032994" w14:textId="77777777" w:rsidR="00241093" w:rsidRPr="000925A8" w:rsidRDefault="00241093">
      <w:pPr>
        <w:pStyle w:val="Normaltindrag"/>
      </w:pPr>
      <w:r w:rsidRPr="000925A8">
        <w:t>Kommundemokratikommitténs betänkande är ett av underlagen för den proposition om demokratifrågor (pr</w:t>
      </w:r>
      <w:r w:rsidRPr="000925A8">
        <w:t>op. 2001/02:80) som regeringen avgav tidigare i år och som för närvarande bereds inom riksdagen. Ett av förslagen i propositionen gäller en möjlighet till medborgerlig förslagsrätt i kommu</w:t>
      </w:r>
      <w:r w:rsidRPr="000925A8">
        <w:t>n</w:t>
      </w:r>
      <w:r w:rsidRPr="000925A8">
        <w:t>fullmäktige. Även barn och ungdomar föreslås få denna rätt.</w:t>
      </w:r>
    </w:p>
    <w:p w14:paraId="065EC379" w14:textId="77777777" w:rsidR="00241093" w:rsidRPr="000925A8" w:rsidRDefault="00241093">
      <w:pPr>
        <w:pStyle w:val="Normaltindrag"/>
      </w:pPr>
      <w:r w:rsidRPr="000925A8">
        <w:t>I sammanhanget kan även nämnas det arbete som bedrivs av Barnsäke</w:t>
      </w:r>
      <w:r w:rsidRPr="000925A8">
        <w:t>r</w:t>
      </w:r>
      <w:r w:rsidRPr="000925A8">
        <w:t>hetsdelegationen. Delegationen har till uppgift att se över frågor om säkerhet och förebyggande av skador i barns och ungdomars miljö. Delegationen skall enligt sina direktiv (dir. 2001:79) bl.a. finna former för hur barn och ungd</w:t>
      </w:r>
      <w:r w:rsidRPr="000925A8">
        <w:t>o</w:t>
      </w:r>
      <w:r w:rsidRPr="000925A8">
        <w:t>mar kan involveras i det lokala förebyggande arbetet i syfte att ta till vara deras synpunkter på hur detta arbete skall bedr</w:t>
      </w:r>
      <w:r w:rsidRPr="000925A8">
        <w:t>i</w:t>
      </w:r>
      <w:r w:rsidRPr="000925A8">
        <w:t xml:space="preserve">vas. </w:t>
      </w:r>
    </w:p>
    <w:p w14:paraId="7C7DAEFA" w14:textId="77777777" w:rsidR="00241093" w:rsidRPr="000925A8" w:rsidRDefault="00241093">
      <w:pPr>
        <w:pStyle w:val="Normaltindrag"/>
      </w:pPr>
      <w:r w:rsidRPr="000925A8">
        <w:t>Det bör också framhållas att många kommuner redan i dag bedriver ett a</w:t>
      </w:r>
      <w:r w:rsidRPr="000925A8">
        <w:t>k</w:t>
      </w:r>
      <w:r w:rsidRPr="000925A8">
        <w:t>tivt utvecklingsarbete för att bättre kunna beakta barnfrågorna i den fysiska planeringen. En del i ett sådant arbete kan vara att alltid genomföra en bar</w:t>
      </w:r>
      <w:r w:rsidRPr="000925A8">
        <w:t>n</w:t>
      </w:r>
      <w:r w:rsidRPr="000925A8">
        <w:t>konsekvensanalys i samband med planarbetet och redovisa resultatet i planb</w:t>
      </w:r>
      <w:r w:rsidRPr="000925A8">
        <w:t>e</w:t>
      </w:r>
      <w:r w:rsidRPr="000925A8">
        <w:t>skrivningarna. Utskottet har erfarit att exempelvis Växjö kommun arbetar med denna utgångspunkt. Kommunen har också ambitionen att på olika sätt involvera och engagera barn och ungdomar i planeringsarbetet. Utskottet förutsätter att de exempel och råd som Boverket redovisat i bl.a</w:t>
      </w:r>
      <w:r w:rsidRPr="000925A8">
        <w:t>. den ovan omnämnda rapporten – Unga är också medborgare – skall kunna bidra till kommunernas utvecklingsarbete på området. Det får vidare förutsättas att den pågående beredningen inom Regeringskansliet av vissa förslag i den aktuella rapporten kommer att redovisas i lämpligt sammanhang, exempelvis i sa</w:t>
      </w:r>
      <w:r w:rsidRPr="000925A8">
        <w:t>m</w:t>
      </w:r>
      <w:r w:rsidRPr="000925A8">
        <w:t xml:space="preserve">band med den aviserade översynen av PBL. </w:t>
      </w:r>
    </w:p>
    <w:p w14:paraId="7CAEAB98" w14:textId="77777777" w:rsidR="00241093" w:rsidRPr="000925A8" w:rsidRDefault="00241093">
      <w:pPr>
        <w:pStyle w:val="Normaltindrag"/>
      </w:pPr>
      <w:r w:rsidRPr="000925A8">
        <w:t>Med hänvisning till det anförda anser utskottet att ett tillkännagivande med den inriktning som föreslås i de aktuella motionerna inte kan anses vara e</w:t>
      </w:r>
      <w:r w:rsidRPr="000925A8">
        <w:t>r</w:t>
      </w:r>
      <w:r w:rsidRPr="000925A8">
        <w:t>forderligt. Motionerna 2001/02:Bo244 (kd) yrkande 16, 2001/02:Bo256 (v) yrkande 1 och 2001/02:K284 (c) yrkande 15 avstyrks således.</w:t>
      </w:r>
    </w:p>
    <w:p w14:paraId="53F9F34F" w14:textId="77777777" w:rsidR="00241093" w:rsidRPr="000925A8" w:rsidRDefault="00241093">
      <w:pPr>
        <w:pStyle w:val="Rubrik3"/>
        <w:rPr>
          <w:noProof w:val="0"/>
        </w:rPr>
      </w:pPr>
      <w:bookmarkStart w:id="33" w:name="_Toc4898199"/>
      <w:r w:rsidRPr="000925A8">
        <w:rPr>
          <w:noProof w:val="0"/>
        </w:rPr>
        <w:t>Regionala frågor</w:t>
      </w:r>
      <w:bookmarkEnd w:id="33"/>
    </w:p>
    <w:p w14:paraId="36F7F8BD" w14:textId="77777777" w:rsidR="00241093" w:rsidRPr="000925A8" w:rsidRDefault="00241093">
      <w:r w:rsidRPr="000925A8">
        <w:t>Utskottet behandlar under denna rubrik motionsförslag om dels ett nytt pla</w:t>
      </w:r>
      <w:r w:rsidRPr="000925A8">
        <w:t>n</w:t>
      </w:r>
      <w:r w:rsidRPr="000925A8">
        <w:t>instrument för regional planering, dels en utredning om hur nuvarande la</w:t>
      </w:r>
      <w:r w:rsidRPr="000925A8">
        <w:t>g</w:t>
      </w:r>
      <w:r w:rsidRPr="000925A8">
        <w:t>stiftning kan tillgodose olika regionala b</w:t>
      </w:r>
      <w:r w:rsidRPr="000925A8">
        <w:t>e</w:t>
      </w:r>
      <w:r w:rsidRPr="000925A8">
        <w:t>hov.</w:t>
      </w:r>
    </w:p>
    <w:p w14:paraId="620E38BC" w14:textId="77777777" w:rsidR="00241093" w:rsidRPr="000925A8" w:rsidRDefault="00241093">
      <w:pPr>
        <w:pStyle w:val="Normaltindrag"/>
      </w:pPr>
      <w:r w:rsidRPr="000925A8">
        <w:t>Förslaget om en utredning om ett planinstrument för regional samhällspl</w:t>
      </w:r>
      <w:r w:rsidRPr="000925A8">
        <w:t>a</w:t>
      </w:r>
      <w:r w:rsidRPr="000925A8">
        <w:t>nering läggs fram i motion 2001/02:Bo297 (v). Motionärerna föreslår att det utvecklas ett planinstrument för infrastruktur- och bebyggelseplanering på regional nivå som möjliggör för flera samhällsorgan att analysera, samordna och utveckla övergripande strategier. Ett sådant instrument anses kunna ge goda förutsättningar för bl.a. ett samordnat bostadsbyggande och hantering av olika mella</w:t>
      </w:r>
      <w:r w:rsidRPr="000925A8">
        <w:t>n</w:t>
      </w:r>
      <w:r w:rsidRPr="000925A8">
        <w:t>kommunala intressekonflikter.</w:t>
      </w:r>
    </w:p>
    <w:p w14:paraId="56A3687A" w14:textId="77777777" w:rsidR="00241093" w:rsidRPr="000925A8" w:rsidRDefault="00241093">
      <w:pPr>
        <w:pStyle w:val="Normaltindrag"/>
      </w:pPr>
      <w:r w:rsidRPr="000925A8">
        <w:t>I motion 2001/02:Bo244 (kd) yrkande 10 föreslås att regeringen utreder hur lagstiftningen</w:t>
      </w:r>
      <w:r w:rsidRPr="000925A8">
        <w:t xml:space="preserve"> kring samhällsplaneringen i större utsträckning kan ta hä</w:t>
      </w:r>
      <w:r w:rsidRPr="000925A8">
        <w:t>n</w:t>
      </w:r>
      <w:r w:rsidRPr="000925A8">
        <w:t>syn till regionala skillnader och behov. Som bakgrund till detta förslag b</w:t>
      </w:r>
      <w:r w:rsidRPr="000925A8">
        <w:t>e</w:t>
      </w:r>
      <w:r w:rsidRPr="000925A8">
        <w:t>skriver motionärerna de skilda förutsättningar för bl.a. bostadsbyggande som råder i olika delar av landet.</w:t>
      </w:r>
    </w:p>
    <w:p w14:paraId="55EBE48A" w14:textId="77777777" w:rsidR="00241093" w:rsidRPr="000925A8" w:rsidRDefault="00241093">
      <w:pPr>
        <w:pStyle w:val="Normaltindrag"/>
      </w:pPr>
      <w:r w:rsidRPr="000925A8">
        <w:t>Bostadsutskottet vill inledningsvis erinra om att PBL innehåller bestä</w:t>
      </w:r>
      <w:r w:rsidRPr="000925A8">
        <w:t>m</w:t>
      </w:r>
      <w:r w:rsidRPr="000925A8">
        <w:t xml:space="preserve">melser som ger förutsättningar för såväl en regionplanering (7 kap.) som en regionalt och lokalt anpassad kravnivå på bl.a. bebyggelsens utformning. Det kan emellertid konstateras att det instrument som PBL erbjuder för regional planering inte har kommit att utnyttjats på det sätt som var avsikten vid lagens införande. Det har vidare i olika sammanhang hävdats att kommunerna endast i begränsad utsträckning kommit att utnyttja den möjlighet till flexibilitet och lokal anpassning som PBL erbjuder. Utskottet </w:t>
      </w:r>
      <w:r w:rsidRPr="000925A8">
        <w:t xml:space="preserve">vill därför inte utesluta att det finns skäl att se över PBL i dessa avseenden. </w:t>
      </w:r>
    </w:p>
    <w:p w14:paraId="55AB6244" w14:textId="77777777" w:rsidR="00241093" w:rsidRPr="000925A8" w:rsidRDefault="00241093">
      <w:pPr>
        <w:pStyle w:val="Normaltindrag"/>
      </w:pPr>
      <w:r w:rsidRPr="000925A8">
        <w:t>Bostadsutskottet har, som framgått ovan, låtit genomföra en uppföljning av frågor med anknytning till mellankommunal och regional planering (Länsst</w:t>
      </w:r>
      <w:r w:rsidRPr="000925A8">
        <w:t>y</w:t>
      </w:r>
      <w:r w:rsidRPr="000925A8">
        <w:t>relserna och mellankommunal samordning inom PBL-området). I rap</w:t>
      </w:r>
      <w:r w:rsidRPr="000925A8">
        <w:softHyphen/>
        <w:t>porten, som är fogad som bilaga till betänkandet, tas flera frågor upp som anknyter till vad som behandlas i motion 2001/02:Bo297 (v). En kortfattad redogörelse lämnas för bl.a. hur frågor om regional planering aktualiserats i utredningar och försöksverksamheter under de senaste åren. Rapporten utmynnar i ett antal sammanfattande slutsatser om förutsättningarna för den mellankomm</w:t>
      </w:r>
      <w:r w:rsidRPr="000925A8">
        <w:t>u</w:t>
      </w:r>
      <w:r w:rsidRPr="000925A8">
        <w:t xml:space="preserve">nala och regionala planeringen. </w:t>
      </w:r>
    </w:p>
    <w:p w14:paraId="2AE5A644" w14:textId="77777777" w:rsidR="00241093" w:rsidRPr="000925A8" w:rsidRDefault="00241093">
      <w:pPr>
        <w:pStyle w:val="Normaltindrag"/>
      </w:pPr>
      <w:r w:rsidRPr="000925A8">
        <w:t xml:space="preserve">De frågor som motionärerna tar </w:t>
      </w:r>
      <w:r w:rsidRPr="000925A8">
        <w:t>upp har också till viss del behandlats i u</w:t>
      </w:r>
      <w:r w:rsidRPr="000925A8">
        <w:t>t</w:t>
      </w:r>
      <w:r w:rsidRPr="000925A8">
        <w:t>skottets betänkande 2001/02:BoU6, där utskottet på förslag från Riksdagens revisorer förordade att en bred översyn av PBL kommer till stånd. Bland de frågor som enligt utskottet borde ingå i översynen framhölls bl.a. möjligh</w:t>
      </w:r>
      <w:r w:rsidRPr="000925A8">
        <w:t>e</w:t>
      </w:r>
      <w:r w:rsidRPr="000925A8">
        <w:t>terna till flexibilitet i dagens regelsystem och frågor om det mellankomm</w:t>
      </w:r>
      <w:r w:rsidRPr="000925A8">
        <w:t>u</w:t>
      </w:r>
      <w:r w:rsidRPr="000925A8">
        <w:t>nala och regionala perspektivet i planeringen. I betänkandet, som riksdagen ställt sig bakom, anförde utskottet att den förordade översynen i övrigt bör inbegripa uppgift</w:t>
      </w:r>
      <w:r w:rsidRPr="000925A8">
        <w:t>en att sammanställa och strukturera de överväganden och förslag om PBL som tidigare framförts i flera utredningar och där den for</w:t>
      </w:r>
      <w:r w:rsidRPr="000925A8">
        <w:t>t</w:t>
      </w:r>
      <w:r w:rsidRPr="000925A8">
        <w:t>satta beredningen ännu inte lett fram till ett ställningstagande. Vidare fra</w:t>
      </w:r>
      <w:r w:rsidRPr="000925A8">
        <w:t>m</w:t>
      </w:r>
      <w:r w:rsidRPr="000925A8">
        <w:t>höll utskottet att de iakttagelser om reformbehovet som Boverket gjort i sin egenskap av ansvarig myndighet för uppföljning och utvärdering av lagens tillämpning bör ingå i underlaget för övers</w:t>
      </w:r>
      <w:r w:rsidRPr="000925A8">
        <w:t>y</w:t>
      </w:r>
      <w:r w:rsidRPr="000925A8">
        <w:t xml:space="preserve">nen. </w:t>
      </w:r>
    </w:p>
    <w:p w14:paraId="47285731" w14:textId="77777777" w:rsidR="00241093" w:rsidRPr="000925A8" w:rsidRDefault="00241093">
      <w:pPr>
        <w:pStyle w:val="Normaltindrag"/>
        <w:rPr>
          <w:rFonts w:ascii="Boverket Utopia Normal" w:hAnsi="Boverket Utopia Normal"/>
          <w:snapToGrid w:val="0"/>
          <w:sz w:val="20"/>
          <w:lang w:eastAsia="sv-SE"/>
        </w:rPr>
      </w:pPr>
      <w:r w:rsidRPr="000925A8">
        <w:t>Boverket har nyligen till Miljödepartementet överlämnat en promemoria med en redovisning av de frågor som</w:t>
      </w:r>
      <w:r w:rsidRPr="000925A8">
        <w:t xml:space="preserve"> enligt verket bör uppmärksammas vid en översyn av PBL. I denna promemoria anför verket att </w:t>
      </w:r>
      <w:r w:rsidRPr="000925A8">
        <w:rPr>
          <w:rFonts w:ascii="Boverket Utopia Normal" w:hAnsi="Boverket Utopia Normal"/>
          <w:snapToGrid w:val="0"/>
          <w:sz w:val="20"/>
          <w:lang w:eastAsia="sv-SE"/>
        </w:rPr>
        <w:t>PBL:s bestämme</w:t>
      </w:r>
      <w:r w:rsidRPr="000925A8">
        <w:rPr>
          <w:rFonts w:ascii="Boverket Utopia Normal" w:hAnsi="Boverket Utopia Normal"/>
          <w:snapToGrid w:val="0"/>
          <w:sz w:val="20"/>
          <w:lang w:eastAsia="sv-SE"/>
        </w:rPr>
        <w:t>l</w:t>
      </w:r>
      <w:r w:rsidRPr="000925A8">
        <w:rPr>
          <w:rFonts w:ascii="Boverket Utopia Normal" w:hAnsi="Boverket Utopia Normal"/>
          <w:snapToGrid w:val="0"/>
          <w:sz w:val="20"/>
          <w:lang w:eastAsia="sv-SE"/>
        </w:rPr>
        <w:t>ser om regionplan inte har visat sig särskilt tillämpliga på de regionala samhällsutvecklingsfrågor som kommunerna och regionerna/länen står inför. En anpassning av regelverket bör därför enligt verket övervägas, så att det bättre möter dagens planeringssituation. Verket uppmärksammar även att arbetet med den svenska implementeringen av ESDP (European Spatial Development Perspective) kan kräva att meto</w:t>
      </w:r>
      <w:r w:rsidRPr="000925A8">
        <w:rPr>
          <w:rFonts w:ascii="Boverket Utopia Normal" w:hAnsi="Boverket Utopia Normal"/>
          <w:snapToGrid w:val="0"/>
          <w:sz w:val="20"/>
          <w:lang w:eastAsia="sv-SE"/>
        </w:rPr>
        <w:t>der utarbetas för en regional utvecklingsplanering. I promemorian anför verket också att det vid en översyn av PBL bör övervägas hur olika regioners skilda villkor tillgod</w:t>
      </w:r>
      <w:r w:rsidRPr="000925A8">
        <w:rPr>
          <w:rFonts w:ascii="Boverket Utopia Normal" w:hAnsi="Boverket Utopia Normal"/>
          <w:snapToGrid w:val="0"/>
          <w:sz w:val="20"/>
          <w:lang w:eastAsia="sv-SE"/>
        </w:rPr>
        <w:t>o</w:t>
      </w:r>
      <w:r w:rsidRPr="000925A8">
        <w:rPr>
          <w:rFonts w:ascii="Boverket Utopia Normal" w:hAnsi="Boverket Utopia Normal"/>
          <w:snapToGrid w:val="0"/>
          <w:sz w:val="20"/>
          <w:lang w:eastAsia="sv-SE"/>
        </w:rPr>
        <w:t>ses i plan- och byggprocessen.</w:t>
      </w:r>
    </w:p>
    <w:p w14:paraId="71A5E07E" w14:textId="77777777" w:rsidR="00241093" w:rsidRPr="000925A8" w:rsidRDefault="00241093">
      <w:pPr>
        <w:pStyle w:val="Normaltindrag"/>
      </w:pPr>
      <w:r w:rsidRPr="000925A8">
        <w:rPr>
          <w:rFonts w:ascii="Boverket Utopia Normal" w:hAnsi="Boverket Utopia Normal"/>
          <w:snapToGrid w:val="0"/>
          <w:sz w:val="20"/>
          <w:lang w:eastAsia="sv-SE"/>
        </w:rPr>
        <w:t>Som framgår av det anförda är de frågeställningar som tas upp i de aktuella motionerna redan uppmärksammade genom bl.a. riksdagens tillkännagivande till regeringen med anledning av bostadsutskottets b</w:t>
      </w:r>
      <w:r w:rsidRPr="000925A8">
        <w:rPr>
          <w:rFonts w:ascii="Boverket Utopia Normal" w:hAnsi="Boverket Utopia Normal"/>
          <w:snapToGrid w:val="0"/>
          <w:sz w:val="20"/>
          <w:lang w:eastAsia="sv-SE"/>
        </w:rPr>
        <w:t>e</w:t>
      </w:r>
      <w:r w:rsidRPr="000925A8">
        <w:rPr>
          <w:rFonts w:ascii="Boverket Utopia Normal" w:hAnsi="Boverket Utopia Normal"/>
          <w:snapToGrid w:val="0"/>
          <w:sz w:val="20"/>
          <w:lang w:eastAsia="sv-SE"/>
        </w:rPr>
        <w:t>tänkande 2001/02:BoU6 samt den promemoria som Boverket nyligen överlämnat till Regeringskansliet. Det kan därför inte nu anses vara erfo</w:t>
      </w:r>
      <w:r w:rsidRPr="000925A8">
        <w:rPr>
          <w:rFonts w:ascii="Boverket Utopia Normal" w:hAnsi="Boverket Utopia Normal"/>
          <w:snapToGrid w:val="0"/>
          <w:sz w:val="20"/>
          <w:lang w:eastAsia="sv-SE"/>
        </w:rPr>
        <w:t>r</w:t>
      </w:r>
      <w:r w:rsidRPr="000925A8">
        <w:rPr>
          <w:rFonts w:ascii="Boverket Utopia Normal" w:hAnsi="Boverket Utopia Normal"/>
          <w:snapToGrid w:val="0"/>
          <w:sz w:val="20"/>
          <w:lang w:eastAsia="sv-SE"/>
        </w:rPr>
        <w:t>derligt med ett nytt riksdagens tillkännagivande i dessa frågor. Motione</w:t>
      </w:r>
      <w:r w:rsidRPr="000925A8">
        <w:rPr>
          <w:rFonts w:ascii="Boverket Utopia Normal" w:hAnsi="Boverket Utopia Normal"/>
          <w:snapToGrid w:val="0"/>
          <w:sz w:val="20"/>
          <w:lang w:eastAsia="sv-SE"/>
        </w:rPr>
        <w:t>r</w:t>
      </w:r>
      <w:r w:rsidRPr="000925A8">
        <w:rPr>
          <w:rFonts w:ascii="Boverket Utopia Normal" w:hAnsi="Boverket Utopia Normal"/>
          <w:snapToGrid w:val="0"/>
          <w:sz w:val="20"/>
          <w:lang w:eastAsia="sv-SE"/>
        </w:rPr>
        <w:t xml:space="preserve">na 2001/02:Bo297 (v) samt 2001/02:Bo244 (kd) yrkande 10 avstyrks av detta skäl. </w:t>
      </w:r>
    </w:p>
    <w:p w14:paraId="03A23EFC" w14:textId="77777777" w:rsidR="00241093" w:rsidRPr="000925A8" w:rsidRDefault="00241093">
      <w:pPr>
        <w:pStyle w:val="Rubrik3"/>
        <w:rPr>
          <w:noProof w:val="0"/>
        </w:rPr>
      </w:pPr>
      <w:r w:rsidRPr="000925A8">
        <w:rPr>
          <w:noProof w:val="0"/>
        </w:rPr>
        <w:t xml:space="preserve"> </w:t>
      </w:r>
      <w:bookmarkStart w:id="34" w:name="_Toc4898200"/>
      <w:r w:rsidRPr="000925A8">
        <w:rPr>
          <w:noProof w:val="0"/>
        </w:rPr>
        <w:t>Agenda 21 och Habitatagendan</w:t>
      </w:r>
      <w:bookmarkEnd w:id="34"/>
    </w:p>
    <w:p w14:paraId="0256EABF" w14:textId="77777777" w:rsidR="00241093" w:rsidRPr="000925A8" w:rsidRDefault="00241093">
      <w:r w:rsidRPr="000925A8">
        <w:t>I två motioner tas frågor om Agenda 21 och Habitatagendan upp. Agenda 21 är det handlingsprogram för hållbar utveckling som antogs vid FN:s konf</w:t>
      </w:r>
      <w:r w:rsidRPr="000925A8">
        <w:t>e</w:t>
      </w:r>
      <w:r w:rsidRPr="000925A8">
        <w:t>rens om miljö och utveckling i Rio de Janeiro år 1992. Habitat är namnet på två FN-konferenser som genomförts kring boende, bebyggelse- och stadspl</w:t>
      </w:r>
      <w:r w:rsidRPr="000925A8">
        <w:t>a</w:t>
      </w:r>
      <w:r w:rsidRPr="000925A8">
        <w:t xml:space="preserve">neringsfrågor. Den första ägde rum i Vancouver år 1976 medan den andra konferensen, Habitat II, hölls i Istanbul år 1996. </w:t>
      </w:r>
    </w:p>
    <w:p w14:paraId="5B784068" w14:textId="77777777" w:rsidR="00241093" w:rsidRPr="000925A8" w:rsidRDefault="00241093">
      <w:pPr>
        <w:pStyle w:val="Normaltindrag"/>
      </w:pPr>
      <w:r w:rsidRPr="000925A8">
        <w:t>I motion 2001/02:Bo244 (kd) yrkande 9  förespråkas att regeringen tillsä</w:t>
      </w:r>
      <w:r w:rsidRPr="000925A8">
        <w:t>t</w:t>
      </w:r>
      <w:r w:rsidRPr="000925A8">
        <w:t>ter en utredning om vilket genomslag som Agenda 21 och Habitatagendan fått i kommunernas översiktsplaner. Enligt motionärerna finns det tecken på att arbetet i alla kommuner inte är helt tillfredsställande. I motion 2001/02:</w:t>
      </w:r>
      <w:r w:rsidRPr="000925A8">
        <w:br/>
        <w:t>Bo310 (s) föreslås riksdagen göra ett tillkännagivande med innebörden att det bör satsas på forskning inriktad på en helhetssyn i samhällsbyggandet och att kommunerna bör stimuleras att integrera det lokala Agenda 21-arbetet i sa</w:t>
      </w:r>
      <w:r w:rsidRPr="000925A8">
        <w:t>m</w:t>
      </w:r>
      <w:r w:rsidRPr="000925A8">
        <w:t>hällsplaneringen.</w:t>
      </w:r>
    </w:p>
    <w:p w14:paraId="2F4BB744" w14:textId="77777777" w:rsidR="00241093" w:rsidRPr="000925A8" w:rsidRDefault="00241093">
      <w:pPr>
        <w:pStyle w:val="Normaltindrag"/>
      </w:pPr>
      <w:r w:rsidRPr="000925A8">
        <w:t>Bostadsutskottet instämmer i motionäre</w:t>
      </w:r>
      <w:r w:rsidRPr="000925A8">
        <w:t xml:space="preserve">rnas syn på vikten av det arbete som bedrivs med utgångspunkt från Agenda 21 och Habitatagendan. Som motionärerna anför är det också av stor vikt att det synsätt som agendorna ger uttryck för integreras i och genomsyrar det lokala planeringsarbetet och att forskning och metodutveckling på området ges tillräckligt stöd. </w:t>
      </w:r>
    </w:p>
    <w:p w14:paraId="06C28240" w14:textId="77777777" w:rsidR="00241093" w:rsidRPr="000925A8" w:rsidRDefault="00241093">
      <w:pPr>
        <w:pStyle w:val="Normaltindrag"/>
      </w:pPr>
      <w:r w:rsidRPr="000925A8">
        <w:t>Det kan konstateras att såväl Agenda 21 som Habitatagendan resulterat i ett omfattande arbete på såväl internationell som nationell nivå. För Sveriges del har Nationalkommittén för Agenda 21</w:t>
      </w:r>
      <w:r w:rsidRPr="000925A8">
        <w:t xml:space="preserve"> och Habitat bildats för att samor</w:t>
      </w:r>
      <w:r w:rsidRPr="000925A8">
        <w:t>d</w:t>
      </w:r>
      <w:r w:rsidRPr="000925A8">
        <w:t>na det svenska arbetet. I uppdraget ingår att bistå regeringen med underlag till FN:s uppföljningsmöten om Habitatagendan och Agenda 21. Kommittén har hittills klarat av en av dessa uppgifter, i form av den svenska nationalrapport som lades fram vid FN:s uppföljningskonferens om Habitat i juni 2001. En motsvarande nationalrapport förbereds nu inför världstoppmötet i Johanne</w:t>
      </w:r>
      <w:r w:rsidRPr="000925A8">
        <w:t>s</w:t>
      </w:r>
      <w:r w:rsidRPr="000925A8">
        <w:t>burg i augusti–september 2002. Rapporten skall ge en bred beskrivning av det svenska arbetet kring h</w:t>
      </w:r>
      <w:r w:rsidRPr="000925A8">
        <w:t>ållbar utveckling och redovisa vilka de stora utm</w:t>
      </w:r>
      <w:r w:rsidRPr="000925A8">
        <w:t>a</w:t>
      </w:r>
      <w:r w:rsidRPr="000925A8">
        <w:t>ningarna är inför det fortsatta arbetet. Senast den 31 januari 2003 skall sedan kommittén lägga fram sitt slutbetänkande. I detta skall det lokala och nati</w:t>
      </w:r>
      <w:r w:rsidRPr="000925A8">
        <w:t>o</w:t>
      </w:r>
      <w:r w:rsidRPr="000925A8">
        <w:t>nella arbetet i Sverige under de år som gått sedan världskonferenserna i Rio de Janeiro respektive Istanbul gås igenom. Dessutom skall förslag till u</w:t>
      </w:r>
      <w:r w:rsidRPr="000925A8">
        <w:t>t</w:t>
      </w:r>
      <w:r w:rsidRPr="000925A8">
        <w:t>gångspunkter för det framtida arbetet på området present</w:t>
      </w:r>
      <w:r w:rsidRPr="000925A8">
        <w:t>e</w:t>
      </w:r>
      <w:r w:rsidRPr="000925A8">
        <w:t xml:space="preserve">ras. </w:t>
      </w:r>
    </w:p>
    <w:p w14:paraId="6F0B7CDB" w14:textId="77777777" w:rsidR="00241093" w:rsidRPr="000925A8" w:rsidRDefault="00241093">
      <w:pPr>
        <w:pStyle w:val="Normaltindrag"/>
      </w:pPr>
      <w:r w:rsidRPr="000925A8">
        <w:t>Kommittén skall också samordna och utveckla det lokala arbetet med Agenda 21 och Habitatagend</w:t>
      </w:r>
      <w:r w:rsidRPr="000925A8">
        <w:t>an, som rör hållbar utveckling av städer och bebyggelsemiljöer. I både Agenda 21- och Habitatarbetet har kommunerna en nyckelroll, eftersom det är på den lokala nivån som mycket av det praktiska arbetet måste ske. Det är också där man kan utgå från de problem och möjli</w:t>
      </w:r>
      <w:r w:rsidRPr="000925A8">
        <w:t>g</w:t>
      </w:r>
      <w:r w:rsidRPr="000925A8">
        <w:t>heter som finns i det egna närområdet och nå en bred delaktighet bland många olika samhäll</w:t>
      </w:r>
      <w:r w:rsidRPr="000925A8">
        <w:t>s</w:t>
      </w:r>
      <w:r w:rsidRPr="000925A8">
        <w:t xml:space="preserve">grupper. </w:t>
      </w:r>
    </w:p>
    <w:p w14:paraId="26C1D2D3" w14:textId="77777777" w:rsidR="00241093" w:rsidRPr="000925A8" w:rsidRDefault="00241093">
      <w:pPr>
        <w:pStyle w:val="Normaltindrag"/>
      </w:pPr>
      <w:r w:rsidRPr="000925A8">
        <w:t>Utskottet kan inte här närmare gå in på allt det arbete som på lokal nivå bedrivits inom ramen för Agenda 21 och Habitatagendan. Det är utsko</w:t>
      </w:r>
      <w:r w:rsidRPr="000925A8">
        <w:t>ttets allmänna intryck att arbetet fått ett brett genomslag i det kommunala och övriga lokala arbetet. Det bör emellertid betonas att det fortfarande är frågan om ett arbete som befinner sig i en utvecklingsfas. Det ligger därför i sakens natur att vissa kommuner nått längre i arbetet än andra. Stor betydelse har därför en kunskap</w:t>
      </w:r>
      <w:r w:rsidRPr="000925A8">
        <w:t>s</w:t>
      </w:r>
      <w:r w:rsidRPr="000925A8">
        <w:t xml:space="preserve">spridning i form av råd och goda exempel.  </w:t>
      </w:r>
    </w:p>
    <w:p w14:paraId="74C1A677" w14:textId="77777777" w:rsidR="00241093" w:rsidRPr="000925A8" w:rsidRDefault="00241093">
      <w:pPr>
        <w:pStyle w:val="Normaltindrag"/>
      </w:pPr>
      <w:r w:rsidRPr="000925A8">
        <w:t>Det kan vidare konstateras att ett omfattande utbildnings- och forskning</w:t>
      </w:r>
      <w:r w:rsidRPr="000925A8">
        <w:t>s</w:t>
      </w:r>
      <w:r w:rsidRPr="000925A8">
        <w:t xml:space="preserve">arbete bedrivs med den inriktning som agendorna ger uttryck för. Ett flertal universitet och högskolor har såväl utbildningar som forskningsprogram med denna inriktning. Bland de forskningsfinansiärer som ger stöd för forskningen på området kan nämnas Formas – Forskningsrådet för miljö, areella näringar och samhällsbyggande.  </w:t>
      </w:r>
    </w:p>
    <w:p w14:paraId="441C1DD0" w14:textId="77777777" w:rsidR="00241093" w:rsidRPr="000925A8" w:rsidRDefault="00241093">
      <w:pPr>
        <w:pStyle w:val="Normaltindrag"/>
      </w:pPr>
      <w:r w:rsidRPr="000925A8">
        <w:t xml:space="preserve">Vad gäller förslaget i motion 2001/02:Bo244 (kd) om en kartläggning av genomslaget av Agenda 21 och Habitatagendan i kommunernas planering kan utskottet konstatera att en analys med </w:t>
      </w:r>
      <w:r w:rsidRPr="000925A8">
        <w:t>denna inriktning genomförts för Nati</w:t>
      </w:r>
      <w:r w:rsidRPr="000925A8">
        <w:t>o</w:t>
      </w:r>
      <w:r w:rsidRPr="000925A8">
        <w:t>nalkommitténs räkning. I rapporten – Svenska kommuners arbete med Age</w:t>
      </w:r>
      <w:r w:rsidRPr="000925A8">
        <w:t>n</w:t>
      </w:r>
      <w:r w:rsidRPr="000925A8">
        <w:t>da 21, Umeå universitet – som nyligen överlämnats till kommittén, konstat</w:t>
      </w:r>
      <w:r w:rsidRPr="000925A8">
        <w:t>e</w:t>
      </w:r>
      <w:r w:rsidRPr="000925A8">
        <w:t>ras att de svenska kommunerna i en internationell jämförelse varit mycket framgångsrika i sitt lokala arbete med Agenda 21. Det framgår emellertid också att engagemanget i det lokala arbetet i vissa avseenden tycks ha min</w:t>
      </w:r>
      <w:r w:rsidRPr="000925A8">
        <w:t>s</w:t>
      </w:r>
      <w:r w:rsidRPr="000925A8">
        <w:t>kat något under de senaste åren. Även i fråga om integreringen mellan den lokala Agenda 21-planen och översik</w:t>
      </w:r>
      <w:r w:rsidRPr="000925A8">
        <w:t>tsplanen anses det finnas tecken på ett minskat samband. Enligt utskottets mening bör det nu i första hand ankomma på Nationalkommittén att analysera rapporten. Det får anses ligga inom r</w:t>
      </w:r>
      <w:r w:rsidRPr="000925A8">
        <w:t>a</w:t>
      </w:r>
      <w:r w:rsidRPr="000925A8">
        <w:t>men för kommitténs direktiv att därefter ta de initiativ som kan anses vara befogade och vid behov särskilt uppmärksamma r</w:t>
      </w:r>
      <w:r w:rsidRPr="000925A8">
        <w:t>e</w:t>
      </w:r>
      <w:r w:rsidRPr="000925A8">
        <w:t>geringen på frågan.</w:t>
      </w:r>
    </w:p>
    <w:p w14:paraId="05B094B3" w14:textId="77777777" w:rsidR="00241093" w:rsidRPr="000925A8" w:rsidRDefault="00241093">
      <w:pPr>
        <w:pStyle w:val="Normaltindrag"/>
      </w:pPr>
      <w:r w:rsidRPr="000925A8">
        <w:t>Bostadsutskottet kan sammanfattningsvis konstatera att insatser med den inriktning som förordas i de aktuella motionerna redan pågår dels inom ramen för det uppdrag som Nationalkomm</w:t>
      </w:r>
      <w:r w:rsidRPr="000925A8">
        <w:t>ittén för Agenda 21 och Habitat har, dels genom den forskning och utbildning som bedrivs på området. Utskottet föru</w:t>
      </w:r>
      <w:r w:rsidRPr="000925A8">
        <w:t>t</w:t>
      </w:r>
      <w:r w:rsidRPr="000925A8">
        <w:t>sätter också att regeringen aktivt följer utvecklingen på området även utan en särskild begäran om detta från riksdagen. Motionerna 2001/02:Bo244 (kd) yrkande 9 och 2001/02:Bo310 (s) avstyrks av detta skäl.</w:t>
      </w:r>
    </w:p>
    <w:p w14:paraId="62454C3A" w14:textId="77777777" w:rsidR="00241093" w:rsidRPr="000925A8" w:rsidRDefault="00241093">
      <w:pPr>
        <w:pStyle w:val="Rubrik3"/>
        <w:rPr>
          <w:noProof w:val="0"/>
        </w:rPr>
      </w:pPr>
      <w:bookmarkStart w:id="35" w:name="_Toc4898201"/>
      <w:r w:rsidRPr="000925A8">
        <w:rPr>
          <w:noProof w:val="0"/>
        </w:rPr>
        <w:t>Planering för en tyst miljö</w:t>
      </w:r>
      <w:bookmarkEnd w:id="35"/>
      <w:r w:rsidRPr="000925A8">
        <w:rPr>
          <w:noProof w:val="0"/>
        </w:rPr>
        <w:t xml:space="preserve"> </w:t>
      </w:r>
    </w:p>
    <w:p w14:paraId="178A2590" w14:textId="77777777" w:rsidR="00241093" w:rsidRPr="000925A8" w:rsidRDefault="00241093">
      <w:r w:rsidRPr="000925A8">
        <w:t>I tre motioner framförs förslag beträffande planering för tysta miljöer och anknytande frågestäl</w:t>
      </w:r>
      <w:r w:rsidRPr="000925A8">
        <w:t>l</w:t>
      </w:r>
      <w:r w:rsidRPr="000925A8">
        <w:t>ningar.</w:t>
      </w:r>
    </w:p>
    <w:p w14:paraId="29CFCCA5" w14:textId="77777777" w:rsidR="00241093" w:rsidRPr="000925A8" w:rsidRDefault="00241093">
      <w:pPr>
        <w:pStyle w:val="Normaltindrag"/>
      </w:pPr>
      <w:r w:rsidRPr="000925A8">
        <w:t>Ett flertal aspekter på problemen med höga ljudnivåer tas upp i motion 2001/02:Bo217 (mp). I motionen föreslås att riksdagen i tillkännagivanden till regeringen framhåller behovet av miljöer som är bullerfria (yrkande 1), ett tystare samhälle (yrkande 2), gränsvärden för bakgrundsbuller på arbetspla</w:t>
      </w:r>
      <w:r w:rsidRPr="000925A8">
        <w:t>t</w:t>
      </w:r>
      <w:r w:rsidRPr="000925A8">
        <w:t>ser och i samhället (yrkande 3), produktkrav på bullerbegränsande utförande vid upphandling (yrkande 4) samt sänkta gränsvärden i urbana utomhusmilj</w:t>
      </w:r>
      <w:r w:rsidRPr="000925A8">
        <w:t>ö</w:t>
      </w:r>
      <w:r w:rsidRPr="000925A8">
        <w:t>er (yrkande 6).</w:t>
      </w:r>
    </w:p>
    <w:p w14:paraId="23EAACC9" w14:textId="77777777" w:rsidR="00241093" w:rsidRPr="000925A8" w:rsidRDefault="00241093">
      <w:pPr>
        <w:pStyle w:val="Normaltindrag"/>
      </w:pPr>
      <w:r w:rsidRPr="000925A8">
        <w:t>I motion 2001/02:Bo244 (kd) yrkande 8 föreslås att riksdagen i ett tillkä</w:t>
      </w:r>
      <w:r w:rsidRPr="000925A8">
        <w:t>n</w:t>
      </w:r>
      <w:r w:rsidRPr="000925A8">
        <w:t>nagivande framhåller vikten av att kommunerna kartlägger ”tysta zoner” i översiktsplanerna. Enligt motionärerna bör det vara lika självklart att invent</w:t>
      </w:r>
      <w:r w:rsidRPr="000925A8">
        <w:t>e</w:t>
      </w:r>
      <w:r w:rsidRPr="000925A8">
        <w:t>ra ostörda områden som natur- och kulturintressen och att markera dessa i kommunens översiktsplan.</w:t>
      </w:r>
    </w:p>
    <w:p w14:paraId="7CF3627F" w14:textId="77777777" w:rsidR="00241093" w:rsidRPr="000925A8" w:rsidRDefault="00241093">
      <w:pPr>
        <w:pStyle w:val="Normaltindrag"/>
      </w:pPr>
      <w:r w:rsidRPr="000925A8">
        <w:t>Enligt motion So276 (c) yrkande 2 bör ett tillägg göras i PBL med syfte att åstadkomma en placering av bl.a. bostäder, skolor och sjukhus så att bul</w:t>
      </w:r>
      <w:r w:rsidRPr="000925A8">
        <w:t>l</w:t>
      </w:r>
      <w:r w:rsidRPr="000925A8">
        <w:t>erstörningar minimeras.</w:t>
      </w:r>
    </w:p>
    <w:p w14:paraId="2016AD48" w14:textId="77777777" w:rsidR="00241093" w:rsidRPr="000925A8" w:rsidRDefault="00241093">
      <w:pPr>
        <w:pStyle w:val="Normaltindrag"/>
      </w:pPr>
      <w:r w:rsidRPr="000925A8">
        <w:t>När det gäller den sistnämnda motionen vill utskottet inledningsvis erinra om att PBL innehåller ett flertal bestämmelser med bärighet på det aktuella problemet med bullerstörningar. Det gäller exempelvis krav på översiktsplan och detaljplan samt regler om lokalisering av bebyggelse och krav på byg</w:t>
      </w:r>
      <w:r w:rsidRPr="000925A8">
        <w:t>g</w:t>
      </w:r>
      <w:r w:rsidRPr="000925A8">
        <w:t>naders utformning. Det framgår inte av den aktuella motionen i vilket avsee</w:t>
      </w:r>
      <w:r w:rsidRPr="000925A8">
        <w:t>n</w:t>
      </w:r>
      <w:r w:rsidRPr="000925A8">
        <w:t>de som dessa b</w:t>
      </w:r>
      <w:r w:rsidRPr="000925A8">
        <w:t>e</w:t>
      </w:r>
      <w:r w:rsidRPr="000925A8">
        <w:t>stämmelser skulle behöva kompletteras.</w:t>
      </w:r>
    </w:p>
    <w:p w14:paraId="21026279" w14:textId="77777777" w:rsidR="00241093" w:rsidRPr="000925A8" w:rsidRDefault="00241093">
      <w:pPr>
        <w:pStyle w:val="Normaltindrag"/>
      </w:pPr>
      <w:r w:rsidRPr="000925A8">
        <w:t>Bostadsutskottet har vid ett flertal tillfällen givit uttryck för åsikten att problemen med bullerstörningar i vår vardagsmiljö bör ägnas stor uppmär</w:t>
      </w:r>
      <w:r w:rsidRPr="000925A8">
        <w:t>k</w:t>
      </w:r>
      <w:r w:rsidRPr="000925A8">
        <w:t>samhet. Vid behandlingen av vissa motionsförslag våren 1998 konstaterade bostadsutskottet att tystnad i dagens moderna samhälle närmast får betraktas som en ”bristvara”. Den fråga som i detta sammanhang främst diskuterades var problemen med lågfrekvent buller, dvs. buller som har en så låg frekvens att det knappt är hörbart eller inte alls kan uppfattas. Utskottets överväganden (bet. 1997/98:BoU4) ledde fram till ett tillkännagivande till regeringen om behovet av en översyn av frågan. Regeringen uppdrog dä</w:t>
      </w:r>
      <w:r w:rsidRPr="000925A8">
        <w:t xml:space="preserve">refter åt Boverket att i samråd med Naturvårdsverket och Socialstyrelsen kartlägga orsakerna till och omfattningen av lågfrekvent buller i bostäder samt lämna förslag till ändamålsenliga åtgärder. Enligt vad utskottet erfarit kommer slutsatserna av myndigheternas arbete att redovisas i den proposition om inomhusmiljö (prop. 2001/02:128) som regeringen senare i dag avser att överlämna till riksdagen. </w:t>
      </w:r>
    </w:p>
    <w:p w14:paraId="73888216" w14:textId="77777777" w:rsidR="00241093" w:rsidRPr="000925A8" w:rsidRDefault="00241093">
      <w:pPr>
        <w:pStyle w:val="Normaltindrag"/>
      </w:pPr>
      <w:r w:rsidRPr="000925A8">
        <w:t>Bostadsutskottet kommer således senare i vår att få anledning att åte</w:t>
      </w:r>
      <w:r w:rsidRPr="000925A8">
        <w:t>r</w:t>
      </w:r>
      <w:r w:rsidRPr="000925A8">
        <w:t>komma till frågor om ljudmiljön i byggnader i samband med beredningen av propositionen. Utskottets tidigare ställningstaganden om behovet av bullerfria miljöer har emellertid också syftat på utomhusmiljön såväl i tätorter som i kringliggande grönområden. Den syn som motionerna ger uttryck för när det gäller behovet av fortsatta insatser för en tystare utomhusmiljö delas av u</w:t>
      </w:r>
      <w:r w:rsidRPr="000925A8">
        <w:t>t</w:t>
      </w:r>
      <w:r w:rsidRPr="000925A8">
        <w:t>skottet. Det bör samtidigt erinras om de åtgärder som redan är vidtagna eller beslutade. När det gäller bullerfrågornas hantering i b</w:t>
      </w:r>
      <w:r w:rsidRPr="000925A8">
        <w:t>l.a. översiktsplaneringen har Boverket gett vägledning och råd i skrifterna ”Planera för god ljudmiljö” och ”Boken om översiktsplanering del III”. I den sistnämnda skriften ges råd för kommunernas översiktsplanering bl.a. med avseende på utpekande av bullerfria områden.</w:t>
      </w:r>
    </w:p>
    <w:p w14:paraId="56F386CB" w14:textId="77777777" w:rsidR="00241093" w:rsidRPr="000925A8" w:rsidRDefault="00241093">
      <w:pPr>
        <w:pStyle w:val="Normaltindrag"/>
      </w:pPr>
      <w:r w:rsidRPr="000925A8">
        <w:t xml:space="preserve">I sammanhanget bör det också erinras om att riksdagen hösten 2001 fattade beslut om delmål och åtgärdsstrategier för att genomföra de tidigare beslutade miljökvalitetsmålen (prop. 2000/01:130, 2001/02:MJU3, BoU3y). Under miljökvalitetsmålet </w:t>
      </w:r>
      <w:r w:rsidRPr="000925A8">
        <w:t>för God bebyggd miljö fastställdes ett delmål om buller som innebär att antalet människor som utsätts för trafikbullerstörningar öve</w:t>
      </w:r>
      <w:r w:rsidRPr="000925A8">
        <w:t>r</w:t>
      </w:r>
      <w:r w:rsidRPr="000925A8">
        <w:t>stigande vissa riktvärden skall ha minskat med 5 % till år 2010 jämfört med år 1998. Vid riksdagsbehandlingen framhölls emellertid att det krävs handling</w:t>
      </w:r>
      <w:r w:rsidRPr="000925A8">
        <w:t>s</w:t>
      </w:r>
      <w:r w:rsidRPr="000925A8">
        <w:t>program även för andra typer av buller än trafikbuller. Regeringen aviserade också i den aktuella propositionen sin avsikt att ge Naturvårdsverket i up</w:t>
      </w:r>
      <w:r w:rsidRPr="000925A8">
        <w:t>p</w:t>
      </w:r>
      <w:r w:rsidRPr="000925A8">
        <w:t>drag att tillsammans med övriga berörda myndigheter utarbeta ett sådant h</w:t>
      </w:r>
      <w:r w:rsidRPr="000925A8">
        <w:t>andlingsprogram. I propositionen framhöll regeringen vidare att tätortsnära bullerfria områden är värdefulla och därför bör tas till vara. De är emellertid dåligt kartlagda, varför ett arbete för att identifiera och kartlägga dessa omr</w:t>
      </w:r>
      <w:r w:rsidRPr="000925A8">
        <w:t>å</w:t>
      </w:r>
      <w:r w:rsidRPr="000925A8">
        <w:t xml:space="preserve">den bör inledas. Naturvårdsverket har i sin roll som samordnande myndighet för bullerfrågor ett särskilt ansvar för att se över de definierade riktvärdena och om det behövs föreslå ytterligare riktvärden för buller i andra miljöer än de som finns uttryckta i dagens fastlagda </w:t>
      </w:r>
      <w:r w:rsidRPr="000925A8">
        <w:t>riktvärden. Av propositionen fra</w:t>
      </w:r>
      <w:r w:rsidRPr="000925A8">
        <w:t>m</w:t>
      </w:r>
      <w:r w:rsidRPr="000925A8">
        <w:t xml:space="preserve">går att regeringen avser att ge Naturvårdsverket ett tydligt samordnings- och uppföljningsansvar för arbetet med att nå bullermålet. </w:t>
      </w:r>
    </w:p>
    <w:p w14:paraId="5786FCE0" w14:textId="77777777" w:rsidR="00241093" w:rsidRPr="000925A8" w:rsidRDefault="00241093">
      <w:pPr>
        <w:pStyle w:val="Normaltindrag"/>
      </w:pPr>
      <w:r w:rsidRPr="000925A8">
        <w:t>Mot bakgrund av hittills genomförda insatser och det pågående arbetet fi</w:t>
      </w:r>
      <w:r w:rsidRPr="000925A8">
        <w:t>n</w:t>
      </w:r>
      <w:r w:rsidRPr="000925A8">
        <w:t>ner utskottet inte tillräckliga skäl för att nu göra ett tillkännagivande i de frågor som har aktualiserats i motionerna. Utskottet avstyrker således moti</w:t>
      </w:r>
      <w:r w:rsidRPr="000925A8">
        <w:t>o</w:t>
      </w:r>
      <w:r w:rsidRPr="000925A8">
        <w:t>nerna 2001/02:Bo217 (mp) yrkandena 1–4 och 6, 2001/02:Bo244 (kd) yrka</w:t>
      </w:r>
      <w:r w:rsidRPr="000925A8">
        <w:t>n</w:t>
      </w:r>
      <w:r w:rsidRPr="000925A8">
        <w:t>de 8 samt 2001/02:So276 (c) yrkande 2.</w:t>
      </w:r>
    </w:p>
    <w:p w14:paraId="70A00320" w14:textId="77777777" w:rsidR="00241093" w:rsidRPr="000925A8" w:rsidRDefault="00241093">
      <w:pPr>
        <w:pStyle w:val="Rubrik3"/>
        <w:rPr>
          <w:noProof w:val="0"/>
        </w:rPr>
      </w:pPr>
      <w:bookmarkStart w:id="36" w:name="_Toc4898202"/>
      <w:r w:rsidRPr="000925A8">
        <w:rPr>
          <w:noProof w:val="0"/>
        </w:rPr>
        <w:t>Brottsförebyggande planering</w:t>
      </w:r>
      <w:bookmarkEnd w:id="36"/>
    </w:p>
    <w:p w14:paraId="45A4D617" w14:textId="77777777" w:rsidR="00241093" w:rsidRPr="000925A8" w:rsidRDefault="00241093">
      <w:r w:rsidRPr="000925A8">
        <w:t>Behovet av brottsförebyggande åtgärder i samhällsplaneringen tas upp i ett antal motionsyrkanden. I motionerna hänvisas till de problem med otrygghet och tilltagande brottslighet som är särskilt stora i vissa utsatta bostadsomr</w:t>
      </w:r>
      <w:r w:rsidRPr="000925A8">
        <w:t>å</w:t>
      </w:r>
      <w:r w:rsidRPr="000925A8">
        <w:t>den men som också anses öka i samhället i övrigt.</w:t>
      </w:r>
    </w:p>
    <w:p w14:paraId="5FB606BF" w14:textId="77777777" w:rsidR="00241093" w:rsidRPr="000925A8" w:rsidRDefault="00241093">
      <w:pPr>
        <w:pStyle w:val="Normaltindrag"/>
      </w:pPr>
      <w:r w:rsidRPr="000925A8">
        <w:t>I motion 2001/02:Bo243 (kd) yrkande 3 föreslås att PBL ses över i syfte att underlätta införandet av en brottsförebyggande policy i kommunernas översiktsplaner. Vidare föreslås i yrkande 4 att  Boverket skall ges i uppdrag att för kommunerna utarbeta tydliga riktlinjer för bebyggelseinriktade hinder mot brott. Motsvarande förslag läggs också fram i motionerna 2001/02:Ju389 (kd) y</w:t>
      </w:r>
      <w:r w:rsidRPr="000925A8">
        <w:t>r</w:t>
      </w:r>
      <w:r w:rsidRPr="000925A8">
        <w:t>kande 6 samt 2001/02:So613 (kd) yrkande 15.</w:t>
      </w:r>
    </w:p>
    <w:p w14:paraId="652DB7C8" w14:textId="77777777" w:rsidR="00241093" w:rsidRPr="000925A8" w:rsidRDefault="00241093">
      <w:pPr>
        <w:pStyle w:val="Normaltindrag"/>
      </w:pPr>
      <w:r w:rsidRPr="000925A8">
        <w:t>I de två partimotionerna från Centerpartiet 2001/02:Bo325 yrkande 24 och 2001/02:Ju237 yrkande 19 föreslås riksdagen göra ett tillkännagivande med innebörden att brottsförebyggande aspekter måste tas med vid all samhäll</w:t>
      </w:r>
      <w:r w:rsidRPr="000925A8">
        <w:t>s</w:t>
      </w:r>
      <w:r w:rsidRPr="000925A8">
        <w:t>planering. Kommunerna bör enligt motionärerna i sin planeringsprocess sy</w:t>
      </w:r>
      <w:r w:rsidRPr="000925A8">
        <w:t>s</w:t>
      </w:r>
      <w:r w:rsidRPr="000925A8">
        <w:t xml:space="preserve">tematiskt gå igenom alla åtgärder som kan leda till ökad trygghet.   </w:t>
      </w:r>
    </w:p>
    <w:p w14:paraId="25F0712A" w14:textId="77777777" w:rsidR="00241093" w:rsidRPr="000925A8" w:rsidRDefault="00241093">
      <w:pPr>
        <w:pStyle w:val="Normaltindrag"/>
      </w:pPr>
      <w:r w:rsidRPr="000925A8">
        <w:t>Bostadsutskottet har under flera år givit uttryck för uppfattningen att brottsförebyggande åtgärder bör ges hög prioritet såväl i den fysiska plan</w:t>
      </w:r>
      <w:r w:rsidRPr="000925A8">
        <w:t>e</w:t>
      </w:r>
      <w:r w:rsidRPr="000925A8">
        <w:t>ringen som genom olika åtgärder för att öka delaktigheten i samhällsutfor</w:t>
      </w:r>
      <w:r w:rsidRPr="000925A8">
        <w:t>m</w:t>
      </w:r>
      <w:r w:rsidRPr="000925A8">
        <w:t>ningen och minska anonymiteten. I denna fråga råder alltså inga delade m</w:t>
      </w:r>
      <w:r w:rsidRPr="000925A8">
        <w:t>e</w:t>
      </w:r>
      <w:r w:rsidRPr="000925A8">
        <w:t xml:space="preserve">ningar. Utskottet har emellertid också kunnat konstatera att ett arbete med den inriktning som motionärerna efterfrågar redan pågår genom initiativ från regeringen och olika berörda myndigheter. </w:t>
      </w:r>
    </w:p>
    <w:p w14:paraId="14321541" w14:textId="77777777" w:rsidR="00241093" w:rsidRPr="000925A8" w:rsidRDefault="00241093">
      <w:pPr>
        <w:pStyle w:val="Normaltindrag"/>
      </w:pPr>
      <w:r w:rsidRPr="000925A8">
        <w:t>När motioner motsvarande de nu aktuella behandlades föregående år (bet. 2000/01:BoU9) hänvisade utskottet bl.a. till en rapport som Boverket givit ut som stöd för kommu</w:t>
      </w:r>
      <w:r w:rsidRPr="000925A8">
        <w:t>nerna i deras planeringsarbete (Brott, bebyggelse och planering) samt ett pågående arbete med att ta fram en gemensam Europ</w:t>
      </w:r>
      <w:r w:rsidRPr="000925A8">
        <w:t>a</w:t>
      </w:r>
      <w:r w:rsidRPr="000925A8">
        <w:t>standard för förebyggande av brott genom stadsplanering och bebyggelseu</w:t>
      </w:r>
      <w:r w:rsidRPr="000925A8">
        <w:t>t</w:t>
      </w:r>
      <w:r w:rsidRPr="000925A8">
        <w:t>formning (CEN TC325). Utskottet framhöll också att Brottsförebyggande rådet (BRÅ) av regeringen den 1 februari 2001 givits i uppdrag att i samve</w:t>
      </w:r>
      <w:r w:rsidRPr="000925A8">
        <w:t>r</w:t>
      </w:r>
      <w:r w:rsidRPr="000925A8">
        <w:t>kan med Boverket och Rikspolisstyrelsen utveckla arbetet med bebyggelsei</w:t>
      </w:r>
      <w:r w:rsidRPr="000925A8">
        <w:t>n</w:t>
      </w:r>
      <w:r w:rsidRPr="000925A8">
        <w:t>riktade åtgärder som ökar tryggheten och förebygger brott. Uppdraget omfa</w:t>
      </w:r>
      <w:r w:rsidRPr="000925A8">
        <w:t>t</w:t>
      </w:r>
      <w:r w:rsidRPr="000925A8">
        <w:t xml:space="preserve">tar att bl.a. inventera </w:t>
      </w:r>
      <w:r w:rsidRPr="000925A8">
        <w:t>kunskapsläget på området samt kartlägga i vilken u</w:t>
      </w:r>
      <w:r w:rsidRPr="000925A8">
        <w:t>t</w:t>
      </w:r>
      <w:r w:rsidRPr="000925A8">
        <w:t>sträckning bebyggelseinriktade åtgärder för att förebygga brott och öka tryggheten vidtas i Sverige på nationell, regional och lokal nivå. I den u</w:t>
      </w:r>
      <w:r w:rsidRPr="000925A8">
        <w:t>t</w:t>
      </w:r>
      <w:r w:rsidRPr="000925A8">
        <w:t>sträckning som bedöms lämplig bör respektive myndighet inom sitt ansvar</w:t>
      </w:r>
      <w:r w:rsidRPr="000925A8">
        <w:t>s</w:t>
      </w:r>
      <w:r w:rsidRPr="000925A8">
        <w:t>område utarbeta handböcker eller checklistor som riktar sig till relevanta aktörer, t.ex. byggnadsföretag, bostadsföretag, lokala beslutsfattare och lokala brottsförebyggande råd. BRÅ kommer tillsammans med de samverkande myndigheterna att re</w:t>
      </w:r>
      <w:r w:rsidRPr="000925A8">
        <w:t xml:space="preserve">dovisa sitt uppdrag till regeringen den 31 mars 2002. </w:t>
      </w:r>
    </w:p>
    <w:p w14:paraId="60660C8B" w14:textId="77777777" w:rsidR="00241093" w:rsidRPr="000925A8" w:rsidRDefault="00241093">
      <w:pPr>
        <w:pStyle w:val="Normaltindrag"/>
      </w:pPr>
      <w:r w:rsidRPr="000925A8">
        <w:t>Ett regeringsuppdrag med i princip den inriktning som föreslås i flera m</w:t>
      </w:r>
      <w:r w:rsidRPr="000925A8">
        <w:t>o</w:t>
      </w:r>
      <w:r w:rsidRPr="000925A8">
        <w:t>tioner gavs således redan för ett år sedan. Det förefaller mot denna bakgrund inte rimligt att nu, kort innan uppdraget avrapporteras, göra ett tillkännag</w:t>
      </w:r>
      <w:r w:rsidRPr="000925A8">
        <w:t>i</w:t>
      </w:r>
      <w:r w:rsidRPr="000925A8">
        <w:t>vande med en begäran om en ny utredning. Det får förutsättas att myndigh</w:t>
      </w:r>
      <w:r w:rsidRPr="000925A8">
        <w:t>e</w:t>
      </w:r>
      <w:r w:rsidRPr="000925A8">
        <w:t>terna i sin rapport till regeringen redovisar sin bedömning av vilka ytterligare åtgärder som kan behöva vidtas. I den mån det anses att PBL:s regelsystem behöver förtydligas i det aktuella avseendet finns det givetvis möjlighet att ta upp denna fråga i den översyn av PBL som kommer</w:t>
      </w:r>
      <w:r w:rsidRPr="000925A8">
        <w:t xml:space="preserve"> att inledas inom kort.</w:t>
      </w:r>
    </w:p>
    <w:p w14:paraId="45FC1799" w14:textId="77777777" w:rsidR="00241093" w:rsidRPr="000925A8" w:rsidRDefault="00241093">
      <w:pPr>
        <w:pStyle w:val="Normaltindrag"/>
      </w:pPr>
      <w:r w:rsidRPr="000925A8">
        <w:rPr>
          <w:sz w:val="20"/>
        </w:rPr>
        <w:t xml:space="preserve">Bostadsutskottet vill i sammanhanget framhålla att ett arbete </w:t>
      </w:r>
      <w:r w:rsidRPr="000925A8">
        <w:t>med att utveckla en brottsförebyggande bebyggelseplanering också pågår lokalt inom flera organisationer och myndigheter. Exempelvis kan nämnas ett initiativ från polismyndigheten i Stockholms län tillsammans med arkitekturhögsk</w:t>
      </w:r>
      <w:r w:rsidRPr="000925A8">
        <w:t>o</w:t>
      </w:r>
      <w:r w:rsidRPr="000925A8">
        <w:t>lorna vid KTH och Chalmers samt HSB Bostad AB att utveckla en handle</w:t>
      </w:r>
      <w:r w:rsidRPr="000925A8">
        <w:t>d</w:t>
      </w:r>
      <w:r w:rsidRPr="000925A8">
        <w:t>ning för brottsförebyggande åtgärder i bostadsområden (Bo Tryggt 01). Handledningen, som både tar upp frågor om planering, byggnadsutformning och förvaltning, har nyligen färdigställts men har redan kommit till anvä</w:t>
      </w:r>
      <w:r w:rsidRPr="000925A8">
        <w:t>n</w:t>
      </w:r>
      <w:r w:rsidRPr="000925A8">
        <w:t>d</w:t>
      </w:r>
      <w:r w:rsidRPr="000925A8">
        <w:t>ning för att utforma åtgärdsprogram i ett brottsbelastat b</w:t>
      </w:r>
      <w:r w:rsidRPr="000925A8">
        <w:t>o</w:t>
      </w:r>
      <w:r w:rsidRPr="000925A8">
        <w:t>stadsområde.</w:t>
      </w:r>
    </w:p>
    <w:p w14:paraId="73222005" w14:textId="77777777" w:rsidR="00241093" w:rsidRPr="000925A8" w:rsidRDefault="00241093">
      <w:pPr>
        <w:pStyle w:val="Normaltindrag"/>
      </w:pPr>
      <w:r w:rsidRPr="000925A8">
        <w:t>Som framgår av framställningen ovan har redan flera åtgärder initierats i syfte att med hjälp av plan- och bygginsatser motverka brott. Utskottet vill inte föregripa kommande överväganden med anledning av det pågående a</w:t>
      </w:r>
      <w:r w:rsidRPr="000925A8">
        <w:t>r</w:t>
      </w:r>
      <w:r w:rsidRPr="000925A8">
        <w:t>betet och avstyrker därför motionerna 2001/02:Bo243 (kd) yrkandena 3 och 4, 2001/02:Bo325 (c) yrkande 24, 2001/02:Ju237 (c) yrkande 19, 2001/02:</w:t>
      </w:r>
      <w:r w:rsidRPr="000925A8">
        <w:br/>
        <w:t>Ju389 (kd) yrkande 6 samt 2001/02:So613 (kd) yrkande 15.</w:t>
      </w:r>
    </w:p>
    <w:p w14:paraId="7F335F0B" w14:textId="77777777" w:rsidR="00241093" w:rsidRPr="000925A8" w:rsidRDefault="00241093">
      <w:pPr>
        <w:pStyle w:val="Rubrik3"/>
        <w:rPr>
          <w:noProof w:val="0"/>
        </w:rPr>
      </w:pPr>
      <w:bookmarkStart w:id="37" w:name="_Toc4898203"/>
      <w:r w:rsidRPr="000925A8">
        <w:rPr>
          <w:noProof w:val="0"/>
        </w:rPr>
        <w:t>Planering vid översvämningsrisk</w:t>
      </w:r>
      <w:bookmarkEnd w:id="37"/>
    </w:p>
    <w:p w14:paraId="70D21351" w14:textId="77777777" w:rsidR="00241093" w:rsidRPr="000925A8" w:rsidRDefault="00241093">
      <w:r w:rsidRPr="000925A8">
        <w:t xml:space="preserve">I två motioner tas de omfattande översvämningar som under de senaste två åren drabbat delar av Sverige som utgångspunkt för förslag om åtgärder inom den fysiska planeringen. </w:t>
      </w:r>
    </w:p>
    <w:p w14:paraId="463C010A" w14:textId="77777777" w:rsidR="00241093" w:rsidRPr="000925A8" w:rsidRDefault="00241093">
      <w:pPr>
        <w:pStyle w:val="Normaltindrag"/>
      </w:pPr>
      <w:r w:rsidRPr="000925A8">
        <w:t>Enligt motion 2001/02:Bo244 (kd) yrkande 3 bör regeringen tillsätta en u</w:t>
      </w:r>
      <w:r w:rsidRPr="000925A8">
        <w:t>t</w:t>
      </w:r>
      <w:r w:rsidRPr="000925A8">
        <w:t>redning med uppgift att utreda förutsättningarna för att i den fysiska plan</w:t>
      </w:r>
      <w:r w:rsidRPr="000925A8">
        <w:t>e</w:t>
      </w:r>
      <w:r w:rsidRPr="000925A8">
        <w:t>ringen bättre kunna hantera översvämningsfrågorna. Motionärerna anser att det ibland kan finnas ett glapp mellan bestämmelserna i PBL och det prakti</w:t>
      </w:r>
      <w:r w:rsidRPr="000925A8">
        <w:t>s</w:t>
      </w:r>
      <w:r w:rsidRPr="000925A8">
        <w:t>ka utfallet av planeringen.</w:t>
      </w:r>
    </w:p>
    <w:p w14:paraId="0700A4CB" w14:textId="77777777" w:rsidR="00241093" w:rsidRPr="000925A8" w:rsidRDefault="00241093">
      <w:pPr>
        <w:pStyle w:val="Normaltindrag"/>
      </w:pPr>
      <w:r w:rsidRPr="000925A8">
        <w:t>I motion 2001/02:Bo282 föreslås att riksdagen i ett tillkännagivande fra</w:t>
      </w:r>
      <w:r w:rsidRPr="000925A8">
        <w:t>m</w:t>
      </w:r>
      <w:r w:rsidRPr="000925A8">
        <w:t>håller nödvändigheten av att det tas hänsyn till översvämningsrisken i all fysisk planering. Motionärerna understryker att hänsyn måste tas till kunsk</w:t>
      </w:r>
      <w:r w:rsidRPr="000925A8">
        <w:t>a</w:t>
      </w:r>
      <w:r w:rsidRPr="000925A8">
        <w:t>pen om flöden och vattenstånd och att risken för översvämningar inte får underska</w:t>
      </w:r>
      <w:r w:rsidRPr="000925A8">
        <w:t>t</w:t>
      </w:r>
      <w:r w:rsidRPr="000925A8">
        <w:t>tas.</w:t>
      </w:r>
    </w:p>
    <w:p w14:paraId="3EBEB026" w14:textId="77777777" w:rsidR="00241093" w:rsidRPr="000925A8" w:rsidRDefault="00241093">
      <w:pPr>
        <w:pStyle w:val="Normaltindrag"/>
      </w:pPr>
      <w:r w:rsidRPr="000925A8">
        <w:t>Bostadsutskottet instämmer helt i motionärernas syn på behovet av att ta hänsyn till översvämningsrisken i den fysiska planeringen. Sedan gammalt har kunskap funnits om att större översvämningar av vattendrag återkommer med en viss regelbundenhet. Det förefaller emellertid</w:t>
      </w:r>
      <w:r w:rsidRPr="000925A8">
        <w:t xml:space="preserve"> som om såväl den gamla etablerade kunskapen om risken för översvämningar som nyare rön ibland har glömts bort vid planeringen av bebyggelse i anslutning till vatte</w:t>
      </w:r>
      <w:r w:rsidRPr="000925A8">
        <w:t>n</w:t>
      </w:r>
      <w:r w:rsidRPr="000925A8">
        <w:t>drag. Bebyggelse tycks ha kommit till på sådana platser som tidigare gener</w:t>
      </w:r>
      <w:r w:rsidRPr="000925A8">
        <w:t>a</w:t>
      </w:r>
      <w:r w:rsidRPr="000925A8">
        <w:t>tioner bedömt vara olämpliga. De senaste årens översvämningar med omfa</w:t>
      </w:r>
      <w:r w:rsidRPr="000925A8">
        <w:t>t</w:t>
      </w:r>
      <w:r w:rsidRPr="000925A8">
        <w:t>tande skador på byggnader och infrastrukturanläggningar visar att komm</w:t>
      </w:r>
      <w:r w:rsidRPr="000925A8">
        <w:t>u</w:t>
      </w:r>
      <w:r w:rsidRPr="000925A8">
        <w:t>nerna i sin planering bättre måste uppmärksamma dessa frågor. Detta behov framstår givetvis som särskilt angeläget med tanke på de</w:t>
      </w:r>
      <w:r w:rsidRPr="000925A8">
        <w:t xml:space="preserve"> indikationer som finns på att översvämningar i framtiden kan komma att bli allt vanligare. Det handlar emellertid inte bara om att lokalisera nytillkommande bebyggelse med hänsyn till översvämningsrisken. En beredskap måste givetvis finnas för befintlig bebyggelse inom riskområdena. Olika åtgärder kan behöva vidtas när det gäller regleringen av vattendragen eller genom andra fysiska åtgärder som skydd mot översvämningar. Det är naturligtvis också nödvändigt att en tillräcklig beredskap finns inom räddnings</w:t>
      </w:r>
      <w:r w:rsidRPr="000925A8">
        <w:t>tjänsten för att åtgärder snabbt skall kunna vidtas för att begränsa skadorna när öve</w:t>
      </w:r>
      <w:r w:rsidRPr="000925A8">
        <w:t>r</w:t>
      </w:r>
      <w:r w:rsidRPr="000925A8">
        <w:t xml:space="preserve">svämningar väl inträffar. </w:t>
      </w:r>
    </w:p>
    <w:p w14:paraId="347888AF" w14:textId="77777777" w:rsidR="00241093" w:rsidRPr="000925A8" w:rsidRDefault="00241093">
      <w:pPr>
        <w:pStyle w:val="Normaltindrag"/>
      </w:pPr>
      <w:r w:rsidRPr="000925A8">
        <w:t>Under senare tid har kunskapen om flödena i våra vattendrag i hög grad utvecklats genom nya hydrologiska prognosmodeller och genom en utvec</w:t>
      </w:r>
      <w:r w:rsidRPr="000925A8">
        <w:t>k</w:t>
      </w:r>
      <w:r w:rsidRPr="000925A8">
        <w:t>ling av nya metoder för översvämningskartering. Ett exempel på detta arbete är den översvämningskartering längs de svenska vattendragen som SMHI (Sveriges meteorologiska och hydrologiska institut) utför på uppdrag av Räddningsverket. Översvämningskartorna är avsedda för övergripande plan</w:t>
      </w:r>
      <w:r w:rsidRPr="000925A8">
        <w:t>e</w:t>
      </w:r>
      <w:r w:rsidRPr="000925A8">
        <w:t>ring av räddningstjänstens arbete samt som översiktligt underlag för komm</w:t>
      </w:r>
      <w:r w:rsidRPr="000925A8">
        <w:t>u</w:t>
      </w:r>
      <w:r w:rsidRPr="000925A8">
        <w:t>nens planering. Kartorna över vattendragen visar de områden som är öve</w:t>
      </w:r>
      <w:r w:rsidRPr="000925A8">
        <w:t>r</w:t>
      </w:r>
      <w:r w:rsidRPr="000925A8">
        <w:t>svämningsutsatta vid två höga flöden. Det ena flödet är ett flöde med en te</w:t>
      </w:r>
      <w:r w:rsidRPr="000925A8">
        <w:t>o</w:t>
      </w:r>
      <w:r w:rsidRPr="000925A8">
        <w:t>r</w:t>
      </w:r>
      <w:r w:rsidRPr="000925A8">
        <w:t>etisk återkomsttid på 100 år. Sannolikhet är 63 % att det flödet inträffar under en 100-årsperiod. Det andra flödet – ett högsta flöde – beräknas genom en systematisk kombination av alla kritiska faktorer (regn, snösmältning, hög markfuktighet och magasinsfyllning) som bidrar till ett flöde. Någon åte</w:t>
      </w:r>
      <w:r w:rsidRPr="000925A8">
        <w:t>r</w:t>
      </w:r>
      <w:r w:rsidRPr="000925A8">
        <w:t>komsttid kan inte anges för detta flöde, men det är ett mycket extremt flöde.</w:t>
      </w:r>
    </w:p>
    <w:p w14:paraId="0F20641D" w14:textId="77777777" w:rsidR="00241093" w:rsidRPr="000925A8" w:rsidRDefault="00241093">
      <w:pPr>
        <w:pStyle w:val="Normaltindrag"/>
      </w:pPr>
      <w:r w:rsidRPr="000925A8">
        <w:t>Det är enligt utskottets mening nödvändigt att kunskapen om extrema fl</w:t>
      </w:r>
      <w:r w:rsidRPr="000925A8">
        <w:t>ö</w:t>
      </w:r>
      <w:r w:rsidRPr="000925A8">
        <w:t>den, men givetvis också om vanligare förekommande flödesnivåer, utnyttjas i all kommunal planering, från översiktsplanering till bygglovsbeslut. Kravet på att kommunerna i sin översiktsplanering skall beakta grundläggande föru</w:t>
      </w:r>
      <w:r w:rsidRPr="000925A8">
        <w:t>t</w:t>
      </w:r>
      <w:r w:rsidRPr="000925A8">
        <w:t>sättningar som kan innebära restriktioner och begränsningar vad gäller a</w:t>
      </w:r>
      <w:r w:rsidRPr="000925A8">
        <w:t>n</w:t>
      </w:r>
      <w:r w:rsidRPr="000925A8">
        <w:t>vändningen av mark- och vattenområden poängterades senast av riksdagen genom de ändringar i PBL som trädde i kraft år 1996. Genom en ändring i 4 kap. 1 § tydliggjordes kravet på att beakta riskfaktorer som exemp</w:t>
      </w:r>
      <w:r w:rsidRPr="000925A8">
        <w:t>elvis öve</w:t>
      </w:r>
      <w:r w:rsidRPr="000925A8">
        <w:t>r</w:t>
      </w:r>
      <w:r w:rsidRPr="000925A8">
        <w:t xml:space="preserve">svämningar i planeringen. </w:t>
      </w:r>
    </w:p>
    <w:p w14:paraId="68AD6B66" w14:textId="77777777" w:rsidR="00241093" w:rsidRPr="000925A8" w:rsidRDefault="00241093">
      <w:pPr>
        <w:pStyle w:val="Normaltindrag"/>
      </w:pPr>
      <w:r w:rsidRPr="000925A8">
        <w:t>Regeringen gav i oktober 2000 Boverket i uppdrag att tillsammans med Statens räddningsverk och SMHI undersöka i vilken omfattning risken för översvämningar behandlas i kommunernas översiktsplaner och om det plan</w:t>
      </w:r>
      <w:r w:rsidRPr="000925A8">
        <w:t>e</w:t>
      </w:r>
      <w:r w:rsidRPr="000925A8">
        <w:t>ringsunderlag som kommunerna har tillgång till är tillräckligt. Boverket red</w:t>
      </w:r>
      <w:r w:rsidRPr="000925A8">
        <w:t>o</w:t>
      </w:r>
      <w:r w:rsidRPr="000925A8">
        <w:t>visade i september 2001 uppdraget i rapporten Översvämningsfrågor i öve</w:t>
      </w:r>
      <w:r w:rsidRPr="000925A8">
        <w:t>r</w:t>
      </w:r>
      <w:r w:rsidRPr="000925A8">
        <w:t>siktsplanen. I rapporten redogörs bl.a. för hur 19 undersökta kommuner ha</w:t>
      </w:r>
      <w:r w:rsidRPr="000925A8">
        <w:t>n</w:t>
      </w:r>
      <w:r w:rsidRPr="000925A8">
        <w:t>terat frågor om översvämningsrisken i sin planering. Flertalet kommuner bedöms inte ha ett bra planeringsunderlag med avseende på översvämning</w:t>
      </w:r>
      <w:r w:rsidRPr="000925A8">
        <w:t>s</w:t>
      </w:r>
      <w:r w:rsidRPr="000925A8">
        <w:t>risken. De aktuella översiktsplanerna var emellertid i alla fall utom två up</w:t>
      </w:r>
      <w:r w:rsidRPr="000925A8">
        <w:t>p</w:t>
      </w:r>
      <w:r w:rsidRPr="000925A8">
        <w:t>rättade före år 1996. Inför nästa revidering av översiktsplanen utta</w:t>
      </w:r>
      <w:r w:rsidRPr="000925A8">
        <w:t>lar så gott som samtliga kommuner att man kommer att ta hänsyn till lagändringen år 1996 och att öve</w:t>
      </w:r>
      <w:r w:rsidRPr="000925A8">
        <w:t>r</w:t>
      </w:r>
      <w:r w:rsidRPr="000925A8">
        <w:t xml:space="preserve">svämningsriskerna kommer att beaktas. </w:t>
      </w:r>
    </w:p>
    <w:p w14:paraId="5FFE111A" w14:textId="77777777" w:rsidR="00241093" w:rsidRPr="000925A8" w:rsidRDefault="00241093">
      <w:pPr>
        <w:pStyle w:val="Normaltindrag"/>
      </w:pPr>
      <w:r w:rsidRPr="000925A8">
        <w:t>I sammanhanget kan det också erinras om att Miljöbalkskommittén har fått i uppdrag av regeringen att gå igenom sådana vattendomar som kan ha bet</w:t>
      </w:r>
      <w:r w:rsidRPr="000925A8">
        <w:t>y</w:t>
      </w:r>
      <w:r w:rsidRPr="000925A8">
        <w:t>delse för riskerna med översvämningar. Kommittén skall bl.a. bedöma om förutsättningarna för omprövning är tillräckliga för att förbättra möjligheterna  att förebygga och begränsa riskerna för översvämningar.</w:t>
      </w:r>
    </w:p>
    <w:p w14:paraId="30E3059D" w14:textId="77777777" w:rsidR="00241093" w:rsidRPr="000925A8" w:rsidRDefault="00241093">
      <w:pPr>
        <w:pStyle w:val="Normaltindrag"/>
      </w:pPr>
      <w:r w:rsidRPr="000925A8">
        <w:t>Bostadsutskottet förutsätter att bl.a. Boverket och länsstyrelserna up</w:t>
      </w:r>
      <w:r w:rsidRPr="000925A8">
        <w:t>p</w:t>
      </w:r>
      <w:r w:rsidRPr="000925A8">
        <w:t xml:space="preserve">märksamt följer utvecklingen av kommunernas planering med avseende på hanteringen av översvämningsrisken. Det får även förutsättas att de senaste årens översvämningar riktat stor uppmärksamhet på problemet i de närmast berörda kommunerna. Mot denna bakgrund anser utskottet att det i dagsläget inte finns tillräckliga skäl för ett riksdagens tillkännagivande i enlighet med de aktuella motionerna 2001/02:Bo244 (kd) yrkande 3 och 2001/02:Bo282 (s).    </w:t>
      </w:r>
    </w:p>
    <w:p w14:paraId="105B127C" w14:textId="77777777" w:rsidR="00241093" w:rsidRPr="000925A8" w:rsidRDefault="00241093">
      <w:pPr>
        <w:pStyle w:val="Rubrik3"/>
        <w:rPr>
          <w:noProof w:val="0"/>
        </w:rPr>
      </w:pPr>
      <w:bookmarkStart w:id="38" w:name="_Toc4898204"/>
      <w:r w:rsidRPr="000925A8">
        <w:rPr>
          <w:noProof w:val="0"/>
        </w:rPr>
        <w:t>Handelsändamålet i detaljplan</w:t>
      </w:r>
      <w:bookmarkEnd w:id="38"/>
    </w:p>
    <w:p w14:paraId="10E0C63D" w14:textId="77777777" w:rsidR="00241093" w:rsidRPr="000925A8" w:rsidRDefault="00241093">
      <w:r w:rsidRPr="000925A8">
        <w:t>Enligt 5 kap. 7 § PBL får i detaljplan meddelas bestämmelser om byggnaders användning. Planen får inte göras mer detaljerad än vad som är nödvändigt med hänsyn till syftet med den. Bestämmelser som närmare reglerar möjli</w:t>
      </w:r>
      <w:r w:rsidRPr="000925A8">
        <w:t>g</w:t>
      </w:r>
      <w:r w:rsidRPr="000925A8">
        <w:t xml:space="preserve">heterna att bedriva handel får meddelas endast om det finns skäl av betydande vikt. </w:t>
      </w:r>
    </w:p>
    <w:p w14:paraId="1A21C590" w14:textId="77777777" w:rsidR="00241093" w:rsidRPr="000925A8" w:rsidRDefault="00241093">
      <w:pPr>
        <w:pStyle w:val="Normaltindrag"/>
      </w:pPr>
      <w:r w:rsidRPr="000925A8">
        <w:t>I sex motioner förs förslag fram med innebörden att möjligheten till prec</w:t>
      </w:r>
      <w:r w:rsidRPr="000925A8">
        <w:t>i</w:t>
      </w:r>
      <w:r w:rsidRPr="000925A8">
        <w:t>sering av handelsändamålet i detaljplan skall tas bort. Det gäller motionerna 2001/02:Bo9 (fp) yrkande 2, 2001/02:Bo207 (m), 2001/02:Bo213 (m) yrka</w:t>
      </w:r>
      <w:r w:rsidRPr="000925A8">
        <w:t>n</w:t>
      </w:r>
      <w:r w:rsidRPr="000925A8">
        <w:t>de 2, 2001/02:Bo216 (m) yrkande 7, 2001/02:Bo234 (m) samt 2001/02:N267 (fp) yrkande 22. Motionärerna hänvisar bl.a. till att denna reglering begränsar konkurrensen och motverkar konsumenternas intresse av lägre priser. I m</w:t>
      </w:r>
      <w:r w:rsidRPr="000925A8">
        <w:t>o</w:t>
      </w:r>
      <w:r w:rsidRPr="000925A8">
        <w:t>tion 2001/02:Bo213 (m) yrkande 1 föreslås dessutom att riksdagen skall göra ett tillkännagivande om vikten av goda etableringsmöjligheter, v</w:t>
      </w:r>
      <w:r w:rsidRPr="000925A8">
        <w:t>äl fungerande konkurrens och snabb my</w:t>
      </w:r>
      <w:r w:rsidRPr="000925A8">
        <w:t>n</w:t>
      </w:r>
      <w:r w:rsidRPr="000925A8">
        <w:t>dighetshantering av handelsetableringar.</w:t>
      </w:r>
    </w:p>
    <w:p w14:paraId="1CA4F005" w14:textId="77777777" w:rsidR="00241093" w:rsidRPr="000925A8" w:rsidRDefault="00241093">
      <w:pPr>
        <w:pStyle w:val="Normaltindrag"/>
      </w:pPr>
      <w:r w:rsidRPr="000925A8">
        <w:t>Möjligheten att i detaljplan precisera handelsändamålet fanns i PBL:s u</w:t>
      </w:r>
      <w:r w:rsidRPr="000925A8">
        <w:t>r</w:t>
      </w:r>
      <w:r w:rsidRPr="000925A8">
        <w:t>sprungliga utformning men var borttagen under perioden den 1 april 1992– den 31 december 1996. Återinförandet av denna möjlighet skedde efter ett tillkännagivande från riksdagen hösten 1995 på bostadsutskottets förslag (bet. 1995/96:BoU1). Utskottet hänvisade då till behovet av att ge plansystemet en utformning som kan medverka till en långsiktigt hållbar utveckling av våra samhällen. Enligt utskottets mening kvarstår detta behov oförändrat. Det måste därför finnas en möjlighet till reglering utifrån en ve</w:t>
      </w:r>
      <w:r w:rsidRPr="000925A8">
        <w:t xml:space="preserve">rksamhets miljö- och områdespåverkan. Det bör emellertid påpekas att även intresset av en effektiv konkurrens inom handeln skall beaktas i sammanhanget. </w:t>
      </w:r>
    </w:p>
    <w:p w14:paraId="7E98A6F6" w14:textId="77777777" w:rsidR="00241093" w:rsidRPr="000925A8" w:rsidRDefault="00241093">
      <w:pPr>
        <w:pStyle w:val="Normaltindrag"/>
      </w:pPr>
      <w:r w:rsidRPr="000925A8">
        <w:t>Utskottet står fast vid sin tidigare bedömning och avstyrker således de a</w:t>
      </w:r>
      <w:r w:rsidRPr="000925A8">
        <w:t>k</w:t>
      </w:r>
      <w:r w:rsidRPr="000925A8">
        <w:t>tuella motionsy</w:t>
      </w:r>
      <w:r w:rsidRPr="000925A8">
        <w:t>r</w:t>
      </w:r>
      <w:r w:rsidRPr="000925A8">
        <w:t>kandena.</w:t>
      </w:r>
    </w:p>
    <w:p w14:paraId="414A1F95" w14:textId="77777777" w:rsidR="00241093" w:rsidRPr="000925A8" w:rsidRDefault="00241093">
      <w:pPr>
        <w:pStyle w:val="Rubrik3"/>
        <w:rPr>
          <w:noProof w:val="0"/>
        </w:rPr>
      </w:pPr>
      <w:bookmarkStart w:id="39" w:name="_Toc4898205"/>
      <w:r w:rsidRPr="000925A8">
        <w:rPr>
          <w:noProof w:val="0"/>
        </w:rPr>
        <w:t>Externa köpcentrum</w:t>
      </w:r>
      <w:bookmarkEnd w:id="39"/>
      <w:r w:rsidRPr="000925A8">
        <w:rPr>
          <w:noProof w:val="0"/>
        </w:rPr>
        <w:t xml:space="preserve"> </w:t>
      </w:r>
    </w:p>
    <w:p w14:paraId="53AA667A" w14:textId="77777777" w:rsidR="00241093" w:rsidRPr="000925A8" w:rsidRDefault="00241093">
      <w:r w:rsidRPr="000925A8">
        <w:t>I motion 2001/02:Bo300 (mp) tas ett flertal frågor upp om utbyggnaden av externa köpcentrum och stormarknader. Motionärerna anser att utbyggnad</w:t>
      </w:r>
      <w:r w:rsidRPr="000925A8">
        <w:t>s</w:t>
      </w:r>
      <w:r w:rsidRPr="000925A8">
        <w:t>takten ger anledning till oro och att utvecklingen är negativ sett ur flera sy</w:t>
      </w:r>
      <w:r w:rsidRPr="000925A8">
        <w:t>n</w:t>
      </w:r>
      <w:r w:rsidRPr="000925A8">
        <w:t>vinklar. Det gäller bl.a. miljökonsekvenserna och att handeln i andra delar av kommunen kan utarmas. I motionen föreslås att grannkommuner ges vetorätt vid etablering av externa köpcentrum (yrkande 1) och att ett moratorium tills vidare införs för nyetableringar (yrkande 2). Vidare föreslås riksdagen göra ett tillkännagivande om behovet av dels en tydlig policy vad gäller utvec</w:t>
      </w:r>
      <w:r w:rsidRPr="000925A8">
        <w:t>k</w:t>
      </w:r>
      <w:r w:rsidRPr="000925A8">
        <w:t>lingen av externa köpcentrum (yrkande 3), dels en f</w:t>
      </w:r>
      <w:r w:rsidRPr="000925A8">
        <w:t>örstärkt lagstiftning för att skydda samhälleliga värden (yrkande 4). Slutligen föreslås riksdagen unde</w:t>
      </w:r>
      <w:r w:rsidRPr="000925A8">
        <w:t>r</w:t>
      </w:r>
      <w:r w:rsidRPr="000925A8">
        <w:t>stryka att konsekvensanalyser bör omfatta social, ekonomisk och miljömässig påverkan (yrkande 5).</w:t>
      </w:r>
    </w:p>
    <w:p w14:paraId="4B2A3DDF" w14:textId="77777777" w:rsidR="00241093" w:rsidRPr="000925A8" w:rsidRDefault="00241093">
      <w:pPr>
        <w:pStyle w:val="Normaltindrag"/>
      </w:pPr>
      <w:r w:rsidRPr="000925A8">
        <w:t>I motion 2001/02:Bo244 (kd) yrkande 4 föreslås att riksdagen gör ett til</w:t>
      </w:r>
      <w:r w:rsidRPr="000925A8">
        <w:t>l</w:t>
      </w:r>
      <w:r w:rsidRPr="000925A8">
        <w:t>kännagivande om vikten av konsekvensbeskrivningar och handelspolicy vid etablering av extern handel. Motionärerna framhåller bl.a. länsstyrelsernas ansvar för frågor som berör flera kommuner. Vidare sägs att kommunerna bör utarbeta en handelspolicy som kan antas av kommunfullmäktige en gång per mandatperiod.</w:t>
      </w:r>
    </w:p>
    <w:p w14:paraId="2E946EE7" w14:textId="77777777" w:rsidR="00241093" w:rsidRPr="000925A8" w:rsidRDefault="00241093">
      <w:pPr>
        <w:pStyle w:val="Normaltindrag"/>
      </w:pPr>
      <w:r w:rsidRPr="000925A8">
        <w:t>I den uppföljning som bostadsutskottet låtit genomföra och som finns f</w:t>
      </w:r>
      <w:r w:rsidRPr="000925A8">
        <w:t>o</w:t>
      </w:r>
      <w:r w:rsidRPr="000925A8">
        <w:t>gad till detta betänkande (Länsstyrelserna och mellankommunal samordning inom PBL-området) konstateras att den fråga som är i särklass vanligast bland dem som anses kunna skapa mellankommunala samordningsproblem är et</w:t>
      </w:r>
      <w:r w:rsidRPr="000925A8">
        <w:t>a</w:t>
      </w:r>
      <w:r w:rsidRPr="000925A8">
        <w:t>blering av extern handel, företrädesvis med inslag av livsmedelshandel. Det finns i dag ett flertal exempel på planerade utbyggnader där de berörda ko</w:t>
      </w:r>
      <w:r w:rsidRPr="000925A8">
        <w:t>m</w:t>
      </w:r>
      <w:r w:rsidRPr="000925A8">
        <w:t>munerna har olika uppfattning om konsekvenserna av handelsetableringen. Som motionärerna konstaterar har tillkomsten av externa köpcentrum oft</w:t>
      </w:r>
      <w:r w:rsidRPr="000925A8">
        <w:t>a ifrågasatts också från rent inomkommunala utgångspunkter. Det kan då handla om risken för att sådana etableringar utarmar det kommersiella utbudet i centralortens centrum eller i förorternas bostadsområden. En fråga som ofta lyfts fram i detta sammanhang är risken för att de grupper som inte har til</w:t>
      </w:r>
      <w:r w:rsidRPr="000925A8">
        <w:t>l</w:t>
      </w:r>
      <w:r w:rsidRPr="000925A8">
        <w:t>gång till bil skall bli lidande av handelns omstrukturering.</w:t>
      </w:r>
    </w:p>
    <w:p w14:paraId="0F6F540F" w14:textId="77777777" w:rsidR="00241093" w:rsidRPr="000925A8" w:rsidRDefault="00241093">
      <w:pPr>
        <w:pStyle w:val="Normaltindrag"/>
      </w:pPr>
      <w:r w:rsidRPr="000925A8">
        <w:t>Bostadsutskottet har vid sin tidigare behandling av motionsyrkanden med innebörden att utbyggnaden av externa köpcentrum på något sätt skall hindras</w:t>
      </w:r>
      <w:r w:rsidRPr="000925A8">
        <w:t xml:space="preserve"> eller försvåras erinrat om de möjligheter som kommunerna redan i dag har att styra utvecklingen. Utskottet har också erinrat om länsstyrelsens ansvar för bl.a. samordningen av frågor som berör flera kommuner. Det kan vidare konstateras att PBL:s regelsystem ställer krav på att de olika intressen som kan göra sig gällande blir väl belysta i samband med planeringen för exe</w:t>
      </w:r>
      <w:r w:rsidRPr="000925A8">
        <w:t>m</w:t>
      </w:r>
      <w:r w:rsidRPr="000925A8">
        <w:t>pelvis ett nytt externt köpcentrum. Det gäller bl.a. olika konsumentintressen, handelns konkurrensintresse och hänsynen till olika miljöa</w:t>
      </w:r>
      <w:r w:rsidRPr="000925A8">
        <w:t>spekter. Samtidigt kan det konstateras att värderingen av de olika, ibland motstående, intressena i hög grad kan skilja sig mellan de berörda parterna. Den snabba omstruktur</w:t>
      </w:r>
      <w:r w:rsidRPr="000925A8">
        <w:t>e</w:t>
      </w:r>
      <w:r w:rsidRPr="000925A8">
        <w:t>ring av handeln som under de senaste åren skett i delar av landet kan ha inn</w:t>
      </w:r>
      <w:r w:rsidRPr="000925A8">
        <w:t>e</w:t>
      </w:r>
      <w:r w:rsidRPr="000925A8">
        <w:t>burit att vissa intressen inte beaktats i tillräckligt hög grad. Det finns mot denna bakgrund anledning att närmare analysera denna utveckling och om den kan anses svara mot bl.a. de allmänna intressen som skall beaktas vid planläggning och vid lokal</w:t>
      </w:r>
      <w:r w:rsidRPr="000925A8">
        <w:t>i</w:t>
      </w:r>
      <w:r w:rsidRPr="000925A8">
        <w:t xml:space="preserve">sering av </w:t>
      </w:r>
      <w:r w:rsidRPr="000925A8">
        <w:t xml:space="preserve">bebyggelse.     </w:t>
      </w:r>
    </w:p>
    <w:p w14:paraId="3CF88982" w14:textId="77777777" w:rsidR="00241093" w:rsidRPr="000925A8" w:rsidRDefault="00241093">
      <w:pPr>
        <w:pStyle w:val="Normaltindrag"/>
      </w:pPr>
      <w:r w:rsidRPr="000925A8">
        <w:t>Som framgått ovan har riksdagen nyligen på bostadsutskottets förslag (bet. 2001/02:BoU6) förordat att en bred översyn av PBL kommer till stånd. R</w:t>
      </w:r>
      <w:r w:rsidRPr="000925A8">
        <w:t>e</w:t>
      </w:r>
      <w:r w:rsidRPr="000925A8">
        <w:t>geringen hade emellertid redan före detta ställningstagande aviserat sin avsikt att se över lagen i relation till vissa frågor om en långsiktigt hållbar samhäll</w:t>
      </w:r>
      <w:r w:rsidRPr="000925A8">
        <w:t>s</w:t>
      </w:r>
      <w:r w:rsidRPr="000925A8">
        <w:t xml:space="preserve">utveckling. </w:t>
      </w:r>
    </w:p>
    <w:p w14:paraId="25C013B3" w14:textId="77777777" w:rsidR="00241093" w:rsidRPr="000925A8" w:rsidRDefault="00241093">
      <w:pPr>
        <w:pStyle w:val="Normaltindrag"/>
      </w:pPr>
      <w:r w:rsidRPr="000925A8">
        <w:t>I propositionen Sveriges klimatstrategi (prop. 2001/02:55) anförde rege</w:t>
      </w:r>
      <w:r w:rsidRPr="000925A8">
        <w:t>r</w:t>
      </w:r>
      <w:r w:rsidRPr="000925A8">
        <w:t>ingen följande:</w:t>
      </w:r>
    </w:p>
    <w:p w14:paraId="54C07AD7" w14:textId="77777777" w:rsidR="00241093" w:rsidRPr="000925A8" w:rsidRDefault="00241093">
      <w:pPr>
        <w:pStyle w:val="Citat"/>
      </w:pPr>
      <w:r w:rsidRPr="000925A8">
        <w:t>Omställningen till ett ekologiskt hållbart samhälle kräver att samhäll</w:t>
      </w:r>
      <w:r w:rsidRPr="000925A8">
        <w:t>s</w:t>
      </w:r>
      <w:r w:rsidRPr="000925A8">
        <w:t>planeringen har som övergripande mål att människor skall ha tillgång till bostäder, arbetsplatser, service och kultur i sin närhet för att på så sätt minska behovet av dagliga transporter. Analyser av den nuvarande situ</w:t>
      </w:r>
      <w:r w:rsidRPr="000925A8">
        <w:t>a</w:t>
      </w:r>
      <w:r w:rsidRPr="000925A8">
        <w:t>tionen visar att etablering av externa köpcentra innebär längre perso</w:t>
      </w:r>
      <w:r w:rsidRPr="000925A8">
        <w:t>n</w:t>
      </w:r>
      <w:r w:rsidRPr="000925A8">
        <w:t>transporter och att antalet mindre butiker har sjunkit med försämrad til</w:t>
      </w:r>
      <w:r w:rsidRPr="000925A8">
        <w:t>l</w:t>
      </w:r>
      <w:r w:rsidRPr="000925A8">
        <w:t xml:space="preserve">gänglighet för vissa icke bilburna grupper såsom äldre. Inför beslut om etablering är det därför viktigt att planeringsunderlaget tydligt redovisar </w:t>
      </w:r>
      <w:r w:rsidRPr="000925A8">
        <w:t>väntade effekter bl.a. på trafikarbete, luftföroreningar, bullerstörningar och intrång i natur- och kulturlandskap. Det är också angeläget att mö</w:t>
      </w:r>
      <w:r w:rsidRPr="000925A8">
        <w:t>j</w:t>
      </w:r>
      <w:r w:rsidRPr="000925A8">
        <w:t xml:space="preserve">ligheterna till kollektivtrafikförsörjning samt effekterna på konkurrens, serviceutbud och tätortcentra både i ett lokalt och i ett mellankommunalt perspektiv utreds och redovisas. En etablering av externa köpcentra kan också ge positiva effekter, bl.a. ett ökat utbud och lägre priser. Frågan har vidare utvecklats i Konkurrensverkets rapport Kan kommunerna pressa </w:t>
      </w:r>
      <w:r w:rsidRPr="000925A8">
        <w:t>priserna? (2001:4).</w:t>
      </w:r>
    </w:p>
    <w:p w14:paraId="77356883" w14:textId="77777777" w:rsidR="00241093" w:rsidRPr="000925A8" w:rsidRDefault="00241093">
      <w:pPr>
        <w:pStyle w:val="CitatIndrag"/>
      </w:pPr>
      <w:r w:rsidRPr="000925A8">
        <w:t>Regeringen avser i den aviserade översynen av plan- och bygglagen i relation till hållbar utveckling inbegripa frågan om externa köpcentra för dagligvar</w:t>
      </w:r>
      <w:r w:rsidRPr="000925A8">
        <w:t>u</w:t>
      </w:r>
      <w:r w:rsidRPr="000925A8">
        <w:t>handel.</w:t>
      </w:r>
    </w:p>
    <w:p w14:paraId="56F764B2" w14:textId="77777777" w:rsidR="00241093" w:rsidRPr="000925A8" w:rsidRDefault="00241093">
      <w:r w:rsidRPr="000925A8">
        <w:t>I riksdagens tillkännagivande om behovet av en bred översyn av PBL fra</w:t>
      </w:r>
      <w:r w:rsidRPr="000925A8">
        <w:t>m</w:t>
      </w:r>
      <w:r w:rsidRPr="000925A8">
        <w:t>hölls att utredningsarbetet bör ske etappvis och att regeringen bör vara ofö</w:t>
      </w:r>
      <w:r w:rsidRPr="000925A8">
        <w:t>r</w:t>
      </w:r>
      <w:r w:rsidRPr="000925A8">
        <w:t>hindrad att påbörja arbetet i de frågor där en översyn redan aviserats. En översyn i de frågor som föranlett de aktuella motionerna kommer således att kunna inledas inom kort. Bostadsutskottet vill inte föregripa detta utredning</w:t>
      </w:r>
      <w:r w:rsidRPr="000925A8">
        <w:t>s</w:t>
      </w:r>
      <w:r w:rsidRPr="000925A8">
        <w:t xml:space="preserve">arbete genom att föreslå ett tillkännagivande i frågan. Motionerna 2001/02:Bo244 (kd) yrkande 4 och 2001/02:Bo300 (mp) avstyrks av detta skäl. </w:t>
      </w:r>
    </w:p>
    <w:p w14:paraId="6BDEEB49" w14:textId="77777777" w:rsidR="00241093" w:rsidRPr="000925A8" w:rsidRDefault="00241093">
      <w:pPr>
        <w:pStyle w:val="Rubrik3"/>
        <w:rPr>
          <w:noProof w:val="0"/>
        </w:rPr>
      </w:pPr>
      <w:bookmarkStart w:id="40" w:name="_Toc4898206"/>
      <w:r w:rsidRPr="000925A8">
        <w:rPr>
          <w:noProof w:val="0"/>
        </w:rPr>
        <w:t>Miljökonsekvensbeskrivningar vid vägplanering</w:t>
      </w:r>
      <w:bookmarkEnd w:id="40"/>
      <w:r w:rsidRPr="000925A8">
        <w:rPr>
          <w:noProof w:val="0"/>
        </w:rPr>
        <w:t xml:space="preserve"> </w:t>
      </w:r>
    </w:p>
    <w:p w14:paraId="61F53B90" w14:textId="77777777" w:rsidR="00241093" w:rsidRPr="000925A8" w:rsidRDefault="00241093">
      <w:r w:rsidRPr="000925A8">
        <w:t>I Centerpartiets partimotion 2001/02:So501 yrkande 12 föreslås ett tillkänn</w:t>
      </w:r>
      <w:r w:rsidRPr="000925A8">
        <w:t>a</w:t>
      </w:r>
      <w:r w:rsidRPr="000925A8">
        <w:t>givande om behovet av miljökonsekvensbeskrivningar. Motionärerna tar upp de problem med miljöpåverkan som kan uppstå vid utbyggnad av större vägar i och kring våra storstäder. Dessa projekt måste enligt motionen föregås av noggranna milj</w:t>
      </w:r>
      <w:r w:rsidRPr="000925A8">
        <w:t>ö</w:t>
      </w:r>
      <w:r w:rsidRPr="000925A8">
        <w:t>konsekvensbeskrivningar.</w:t>
      </w:r>
    </w:p>
    <w:p w14:paraId="17FB00D2" w14:textId="77777777" w:rsidR="00241093" w:rsidRPr="000925A8" w:rsidRDefault="00241093">
      <w:pPr>
        <w:pStyle w:val="Normaltindrag"/>
      </w:pPr>
      <w:r w:rsidRPr="000925A8">
        <w:t>Vid planering och byggande av vägar kan flera lagar komma att tillämpas, bl.a. PBL och väglagen. I PBL finns krav på att en miljökonsekvensbeskri</w:t>
      </w:r>
      <w:r w:rsidRPr="000925A8">
        <w:t>v</w:t>
      </w:r>
      <w:r w:rsidRPr="000925A8">
        <w:t>ning skall upprättas till detaljplan som medger en användning av mark som innebär en betydande påverkan på miljön, hälsan eller hushållningen med mark och vatten och andra resurser (5 kap. 18 §). Väglagen (1971:948) inn</w:t>
      </w:r>
      <w:r w:rsidRPr="000925A8">
        <w:t>e</w:t>
      </w:r>
      <w:r w:rsidRPr="000925A8">
        <w:t>håller bestämmelser om miljökonsekvensbeskrivningar i samband med vägu</w:t>
      </w:r>
      <w:r w:rsidRPr="000925A8">
        <w:t>t</w:t>
      </w:r>
      <w:r w:rsidRPr="000925A8">
        <w:t>redning (14 b §) och i arbetsplan (15 §). I väglagen finns även en hänvisning till de övergripande krav på miljökonsekvensbeskrivningar som återfinns i 6 kap. MB.</w:t>
      </w:r>
    </w:p>
    <w:p w14:paraId="135B3549" w14:textId="77777777" w:rsidR="00241093" w:rsidRPr="000925A8" w:rsidRDefault="00241093">
      <w:pPr>
        <w:pStyle w:val="Normaltindrag"/>
      </w:pPr>
      <w:r w:rsidRPr="000925A8">
        <w:t xml:space="preserve">Bostadsutskottet kan inte finna annat än att de krav som </w:t>
      </w:r>
      <w:r w:rsidRPr="000925A8">
        <w:t>motionärerna a</w:t>
      </w:r>
      <w:r w:rsidRPr="000925A8">
        <w:t>n</w:t>
      </w:r>
      <w:r w:rsidRPr="000925A8">
        <w:t>ser bör ställas på att miljökonsekvensbeskrivningar upprättas vid större vä</w:t>
      </w:r>
      <w:r w:rsidRPr="000925A8">
        <w:t>g</w:t>
      </w:r>
      <w:r w:rsidRPr="000925A8">
        <w:t>projekt i storstadsområden också kommer till uttryck i gällande lagstiftning. Något tillkännagivande med denna innebörd kan alltså inte anses vara behö</w:t>
      </w:r>
      <w:r w:rsidRPr="000925A8">
        <w:t>v</w:t>
      </w:r>
      <w:r w:rsidRPr="000925A8">
        <w:t>ligt. Motion 2001/02:So501 (c) yrkande 12 avstyrks således.</w:t>
      </w:r>
    </w:p>
    <w:p w14:paraId="2D17DF74" w14:textId="77777777" w:rsidR="00241093" w:rsidRPr="000925A8" w:rsidRDefault="00241093">
      <w:pPr>
        <w:pStyle w:val="Rubrik3"/>
        <w:rPr>
          <w:noProof w:val="0"/>
        </w:rPr>
      </w:pPr>
      <w:bookmarkStart w:id="41" w:name="_Toc4898207"/>
      <w:r w:rsidRPr="000925A8">
        <w:rPr>
          <w:noProof w:val="0"/>
        </w:rPr>
        <w:t>Kommunala servicezoner</w:t>
      </w:r>
      <w:bookmarkEnd w:id="41"/>
    </w:p>
    <w:p w14:paraId="07E425E2" w14:textId="77777777" w:rsidR="00241093" w:rsidRPr="000925A8" w:rsidRDefault="00241093">
      <w:r w:rsidRPr="000925A8">
        <w:t>Motionerna 2001/02:Bo210 (m) och 2001/02:Bo216 (m) yrkande 13 behan</w:t>
      </w:r>
      <w:r w:rsidRPr="000925A8">
        <w:t>d</w:t>
      </w:r>
      <w:r w:rsidRPr="000925A8">
        <w:t>lar frågor om servicezoner i kommunal planering. I båda motionerna begärs att regeringen skall låta utreda möjligheten att införa servicezoner med inn</w:t>
      </w:r>
      <w:r w:rsidRPr="000925A8">
        <w:t>e</w:t>
      </w:r>
      <w:r w:rsidRPr="000925A8">
        <w:t>börden att kommunerna skall kunna peka ut vissa områden där de boende inte kan förvänta sig full kommunal service. Enligt den sistnämnda motionen bör frågan om det skall krävas ändring i kommunallagen eller andra lagar ägnas särskild uppmär</w:t>
      </w:r>
      <w:r w:rsidRPr="000925A8">
        <w:t>k</w:t>
      </w:r>
      <w:r w:rsidRPr="000925A8">
        <w:t>samhet.</w:t>
      </w:r>
    </w:p>
    <w:p w14:paraId="568E002E" w14:textId="77777777" w:rsidR="00241093" w:rsidRPr="000925A8" w:rsidRDefault="00241093">
      <w:pPr>
        <w:pStyle w:val="Normaltindrag"/>
      </w:pPr>
      <w:r w:rsidRPr="000925A8">
        <w:t>Motsvarande förslag har vid flera tidigare tillfällen behandlats och a</w:t>
      </w:r>
      <w:r w:rsidRPr="000925A8">
        <w:t>v</w:t>
      </w:r>
      <w:r w:rsidRPr="000925A8">
        <w:t>styrkts av bostadsutskottet (senast i bet. 2000/01:BoU9). Utskottet har bl.a. hänvisat till vad konstitutionsutskottet anförde vid sin behandling av en li</w:t>
      </w:r>
      <w:r w:rsidRPr="000925A8">
        <w:t>k</w:t>
      </w:r>
      <w:r w:rsidRPr="000925A8">
        <w:t>nande motion (bet. 1997/98:KU13). Konstitutionsutskottet konstaterade att den information om servicenivåer som efterlystes i den då aktuella motionen i de allra flesta fall är tillgänglig i kommunens olika plandokument, men att det torde vara mindre vanligt att den finns sammanställd i ett enda dokument. Utskottet uttryckte vidare uppfattningen att det ä</w:t>
      </w:r>
      <w:r w:rsidRPr="000925A8">
        <w:t>r naturligt att servicenivån varierar i olika kommundelar. Att kommunen deklarerat att man inte avser att bygga ut servicen i ett område är dock inte detsamma som att kommunen därmed kan vägra att tillhandahålla en viss service. För att en kommun mera varaktigt skall kunna differentiera servicen inom en kommuns geografiska område krävs enligt konstitutionsutskottet att likställighetsprincipen enligt kommunallagen frångås. Motionen avstyrktes avslutningsvis med hänvisning till att konstitutionsutskottet inte</w:t>
      </w:r>
      <w:r w:rsidRPr="000925A8">
        <w:t xml:space="preserve"> var berett föreslå en ändring av kommuna</w:t>
      </w:r>
      <w:r w:rsidRPr="000925A8">
        <w:t>l</w:t>
      </w:r>
      <w:r w:rsidRPr="000925A8">
        <w:t xml:space="preserve">lagen i detta avseende. </w:t>
      </w:r>
    </w:p>
    <w:p w14:paraId="20A9BD94" w14:textId="77777777" w:rsidR="00241093" w:rsidRPr="000925A8" w:rsidRDefault="00241093">
      <w:pPr>
        <w:pStyle w:val="Normaltindrag"/>
      </w:pPr>
      <w:r w:rsidRPr="000925A8">
        <w:t>Bostadsutskottet som vid tidigare beredning av frågan ställt sig bakom konstitutionsutskottets bedömning att den kommunala likställighetsprincipen inte bör inskränkas på det sätt som motionärerna föreslår vidhåller sin up</w:t>
      </w:r>
      <w:r w:rsidRPr="000925A8">
        <w:t>p</w:t>
      </w:r>
      <w:r w:rsidRPr="000925A8">
        <w:t>fattning i frågan. Utskottet avstyrker således motionerna 2001/02:Bo210 (m) och 2001/02:Bo216 (m) yrkande 13.</w:t>
      </w:r>
    </w:p>
    <w:p w14:paraId="2ADA9A94" w14:textId="77777777" w:rsidR="00241093" w:rsidRPr="000925A8" w:rsidRDefault="00241093">
      <w:pPr>
        <w:pStyle w:val="Rubrik3"/>
        <w:rPr>
          <w:noProof w:val="0"/>
        </w:rPr>
      </w:pPr>
      <w:bookmarkStart w:id="42" w:name="_Toc4898208"/>
      <w:r w:rsidRPr="000925A8">
        <w:rPr>
          <w:noProof w:val="0"/>
        </w:rPr>
        <w:t>Den statliga kontrollen av kommunala planer</w:t>
      </w:r>
      <w:bookmarkEnd w:id="42"/>
    </w:p>
    <w:p w14:paraId="1F68E201" w14:textId="77777777" w:rsidR="00241093" w:rsidRPr="000925A8" w:rsidRDefault="00241093">
      <w:r w:rsidRPr="000925A8">
        <w:t>I motion 2001/02:Bo216 (m) yrkande 8 föreslås begränsningar av länsstyre</w:t>
      </w:r>
      <w:r w:rsidRPr="000925A8">
        <w:t>l</w:t>
      </w:r>
      <w:r w:rsidRPr="000925A8">
        <w:t xml:space="preserve">sens och regeringens möjlighet att upphäva kommunal plan. Motionärerna anser att länsstyrelse och regering endast till förmån för uttalade riksintressen bör kunna upphäva kommunala planer. </w:t>
      </w:r>
    </w:p>
    <w:p w14:paraId="15B309B9" w14:textId="77777777" w:rsidR="00241093" w:rsidRPr="000925A8" w:rsidRDefault="00241093">
      <w:pPr>
        <w:pStyle w:val="Normaltindrag"/>
      </w:pPr>
      <w:r w:rsidRPr="000925A8">
        <w:t>Motsvarande motionsförslag har de två senaste åren avstyrkts av bostad</w:t>
      </w:r>
      <w:r w:rsidRPr="000925A8">
        <w:t>s</w:t>
      </w:r>
      <w:r w:rsidRPr="000925A8">
        <w:t>utskottet med fö</w:t>
      </w:r>
      <w:r w:rsidRPr="000925A8">
        <w:t>l</w:t>
      </w:r>
      <w:r w:rsidRPr="000925A8">
        <w:t xml:space="preserve">jande motivering: </w:t>
      </w:r>
    </w:p>
    <w:p w14:paraId="1088AB04" w14:textId="77777777" w:rsidR="00241093" w:rsidRPr="000925A8" w:rsidRDefault="00241093">
      <w:pPr>
        <w:pStyle w:val="Citat"/>
      </w:pPr>
      <w:r w:rsidRPr="000925A8">
        <w:t xml:space="preserve">För att möjliggöra att de intressen som räknas upp i 12 kap. 1 §  </w:t>
      </w:r>
      <w:r w:rsidRPr="000925A8">
        <w:rPr>
          <w:sz w:val="18"/>
        </w:rPr>
        <w:t>(</w:t>
      </w:r>
      <w:r w:rsidRPr="000925A8">
        <w:t>riksi</w:t>
      </w:r>
      <w:r w:rsidRPr="000925A8">
        <w:t>n</w:t>
      </w:r>
      <w:r w:rsidRPr="000925A8">
        <w:t>tressen, bristande kommunal samordning, överensstämmelse med milj</w:t>
      </w:r>
      <w:r w:rsidRPr="000925A8">
        <w:t>ö</w:t>
      </w:r>
      <w:r w:rsidRPr="000925A8">
        <w:t>kvalitetsnormer, hälso- och olycksfallsskydd m.m.) tillgodoses även i de fall då respektive kommun åsidosätter dem är det enligt utskottets m</w:t>
      </w:r>
      <w:r w:rsidRPr="000925A8">
        <w:t>e</w:t>
      </w:r>
      <w:r w:rsidRPr="000925A8">
        <w:t>ning nödvändigt att det finns en möjlighet att upphäva av kommuner a</w:t>
      </w:r>
      <w:r w:rsidRPr="000925A8">
        <w:t>n</w:t>
      </w:r>
      <w:r w:rsidRPr="000925A8">
        <w:t>tagna detaljplaner eller områdesbestämmelser. Utskottet anser att det saknas tillräckliga skäl för att ställa sig bakom förslag som syftar till att inskrä</w:t>
      </w:r>
      <w:r w:rsidRPr="000925A8">
        <w:t>n</w:t>
      </w:r>
      <w:r w:rsidRPr="000925A8">
        <w:t>ka (eller utöka) denna möjlighet.</w:t>
      </w:r>
    </w:p>
    <w:p w14:paraId="661583C1" w14:textId="77777777" w:rsidR="00241093" w:rsidRPr="000925A8" w:rsidRDefault="00241093">
      <w:r w:rsidRPr="000925A8">
        <w:t xml:space="preserve">Utskottet har samma uppfattning nu och </w:t>
      </w:r>
      <w:r w:rsidRPr="000925A8">
        <w:t>avstyrker den aktuella motionen.</w:t>
      </w:r>
    </w:p>
    <w:p w14:paraId="626C7201" w14:textId="77777777" w:rsidR="00241093" w:rsidRPr="000925A8" w:rsidRDefault="00241093">
      <w:pPr>
        <w:pStyle w:val="Rubrik2"/>
        <w:spacing w:before="0"/>
      </w:pPr>
      <w:r w:rsidRPr="000925A8">
        <w:br w:type="page"/>
      </w:r>
      <w:bookmarkStart w:id="43" w:name="_Toc4898209"/>
      <w:r w:rsidRPr="000925A8">
        <w:t>Vissa särskilda planeringsfrågor</w:t>
      </w:r>
      <w:bookmarkEnd w:id="43"/>
    </w:p>
    <w:p w14:paraId="755E89F8" w14:textId="77777777" w:rsidR="00241093" w:rsidRPr="000925A8" w:rsidRDefault="00241093">
      <w:pPr>
        <w:pStyle w:val="Utskottsfrslagikorthet-Rubrik"/>
        <w:rPr>
          <w:noProof w:val="0"/>
        </w:rPr>
      </w:pPr>
      <w:r w:rsidRPr="000925A8">
        <w:rPr>
          <w:noProof w:val="0"/>
        </w:rPr>
        <w:t>Utskottets förslag i korthet</w:t>
      </w:r>
    </w:p>
    <w:p w14:paraId="46DFE7BA" w14:textId="77777777" w:rsidR="00241093" w:rsidRPr="000925A8" w:rsidRDefault="00241093">
      <w:pPr>
        <w:pStyle w:val="Utskottsfrslagikorthet-Text"/>
      </w:pPr>
      <w:r w:rsidRPr="000925A8">
        <w:t xml:space="preserve">Riksdagen bör avslå motionsförslagen om </w:t>
      </w:r>
    </w:p>
    <w:p w14:paraId="16C9B57F" w14:textId="77777777" w:rsidR="00241093" w:rsidRPr="000925A8" w:rsidRDefault="00241093">
      <w:pPr>
        <w:pStyle w:val="Utskottsfrslagikorthet-Text"/>
      </w:pPr>
      <w:r w:rsidRPr="000925A8">
        <w:t xml:space="preserve">– grönområden, </w:t>
      </w:r>
      <w:r w:rsidRPr="000925A8">
        <w:rPr>
          <w:i/>
        </w:rPr>
        <w:t>jämför reservation 17 (kd, c, mp),</w:t>
      </w:r>
    </w:p>
    <w:p w14:paraId="53448454" w14:textId="77777777" w:rsidR="00241093" w:rsidRPr="000925A8" w:rsidRDefault="00241093">
      <w:pPr>
        <w:pStyle w:val="Utskottsfrslagikorthet-Text"/>
      </w:pPr>
      <w:r w:rsidRPr="000925A8">
        <w:t xml:space="preserve">– aktivitetsytor, </w:t>
      </w:r>
    </w:p>
    <w:p w14:paraId="06957764" w14:textId="77777777" w:rsidR="00241093" w:rsidRPr="000925A8" w:rsidRDefault="00241093">
      <w:pPr>
        <w:pStyle w:val="Utskottsfrslagikorthet-Text"/>
      </w:pPr>
      <w:r w:rsidRPr="000925A8">
        <w:t xml:space="preserve">– kulturhistoriskt värdefull bebyggelse, </w:t>
      </w:r>
      <w:r w:rsidRPr="000925A8">
        <w:rPr>
          <w:i/>
        </w:rPr>
        <w:t>jämför reservation 18 (c),</w:t>
      </w:r>
    </w:p>
    <w:p w14:paraId="2F11E7E2" w14:textId="77777777" w:rsidR="00241093" w:rsidRPr="000925A8" w:rsidRDefault="00241093">
      <w:pPr>
        <w:pStyle w:val="Utskottsfrslagikorthet-Text"/>
      </w:pPr>
      <w:r w:rsidRPr="000925A8">
        <w:t xml:space="preserve">– yrkesmässig verksamhet i bostadsområden, </w:t>
      </w:r>
    </w:p>
    <w:p w14:paraId="5CF9978D" w14:textId="77777777" w:rsidR="00241093" w:rsidRPr="000925A8" w:rsidRDefault="00241093">
      <w:pPr>
        <w:pStyle w:val="Utskottsfrslagikorthet-Text"/>
      </w:pPr>
      <w:r w:rsidRPr="000925A8">
        <w:t>– hästgårdar,</w:t>
      </w:r>
    </w:p>
    <w:p w14:paraId="6E37DCE1" w14:textId="77777777" w:rsidR="00241093" w:rsidRPr="000925A8" w:rsidRDefault="00241093">
      <w:pPr>
        <w:pStyle w:val="Utskottsfrslagikorthet-Text"/>
      </w:pPr>
      <w:r w:rsidRPr="000925A8">
        <w:t>– lokaler för religiösa ändamål.</w:t>
      </w:r>
    </w:p>
    <w:p w14:paraId="702189B7" w14:textId="77777777" w:rsidR="00241093" w:rsidRPr="000925A8" w:rsidRDefault="00241093">
      <w:pPr>
        <w:pStyle w:val="Utskottsfrslagikorthet-Text"/>
      </w:pPr>
      <w:r w:rsidRPr="000925A8">
        <w:t xml:space="preserve">Riksdagen bör med anledning av två motioner (s) som sin mening ge regeringen till känna vad utskottet anfört om rätten att använda offentlig plats, </w:t>
      </w:r>
      <w:r w:rsidRPr="000925A8">
        <w:rPr>
          <w:i/>
        </w:rPr>
        <w:t>jämför reservation 19 (m, kd, -).</w:t>
      </w:r>
    </w:p>
    <w:p w14:paraId="51AD1390" w14:textId="77777777" w:rsidR="00241093" w:rsidRPr="000925A8" w:rsidRDefault="00241093">
      <w:pPr>
        <w:pStyle w:val="Rubrik3"/>
        <w:rPr>
          <w:noProof w:val="0"/>
        </w:rPr>
      </w:pPr>
      <w:bookmarkStart w:id="44" w:name="_Toc4898210"/>
      <w:r w:rsidRPr="000925A8">
        <w:rPr>
          <w:noProof w:val="0"/>
        </w:rPr>
        <w:t>Grönområden</w:t>
      </w:r>
      <w:bookmarkEnd w:id="44"/>
    </w:p>
    <w:p w14:paraId="77D44C4F" w14:textId="77777777" w:rsidR="00241093" w:rsidRPr="000925A8" w:rsidRDefault="00241093">
      <w:r w:rsidRPr="000925A8">
        <w:t>I Centerpartiets partimotion 2001/02:Bo325 framhålls betydelsen av gröno</w:t>
      </w:r>
      <w:r w:rsidRPr="000925A8">
        <w:t>m</w:t>
      </w:r>
      <w:r w:rsidRPr="000925A8">
        <w:t>råden och parker i stadsmiljön. Riksdagen föreslås (yrkande 25) göra ett tillkännagivande om förnyelse av bostadsmiljön. Motionärerna förordar bl.a. att det skall finnas en möjlighet att ställa krav på kompensationsmark då parkmark tas i anspråk för andra ändamål. I motionen föreslås också (yrkande 26) att regeringen skall lägga fram ett förslag om en ny typ av skydd för mindre gröno</w:t>
      </w:r>
      <w:r w:rsidRPr="000925A8">
        <w:t>m</w:t>
      </w:r>
      <w:r w:rsidRPr="000925A8">
        <w:t xml:space="preserve">råden i stadsmiljö. </w:t>
      </w:r>
    </w:p>
    <w:p w14:paraId="26805A1A" w14:textId="77777777" w:rsidR="00241093" w:rsidRPr="000925A8" w:rsidRDefault="00241093">
      <w:pPr>
        <w:pStyle w:val="Normaltindrag"/>
      </w:pPr>
      <w:r w:rsidRPr="000925A8">
        <w:t>Bostadsutskottet har tidigare vid flera tillfällen avstyrkt liknande motion</w:t>
      </w:r>
      <w:r w:rsidRPr="000925A8">
        <w:t>s</w:t>
      </w:r>
      <w:r w:rsidRPr="000925A8">
        <w:t>förslag (senast i betänkande 2000/01:BoU9). Utskottet har bl.a. pekat på att de förändringar av PBL som trädde i kraft i mitten av 1990-talet innebär krav på att bebyggelsemiljön inom områden med sammanhållen bebyggelse skall utformas med hänsyn till behovet av parker och andra grönområden. Utskottet har vidare framhållit att lagändringarna dessutom innebär att skyddsbestä</w:t>
      </w:r>
      <w:r w:rsidRPr="000925A8">
        <w:t>m</w:t>
      </w:r>
      <w:r w:rsidRPr="000925A8">
        <w:t>melser kan tas in i detaljplan eller områdesbestämmelser för tomter och al</w:t>
      </w:r>
      <w:r w:rsidRPr="000925A8">
        <w:t>l</w:t>
      </w:r>
      <w:r w:rsidRPr="000925A8">
        <w:t>männa platser som är särskilt värdefulla från bl.a. miljömäs</w:t>
      </w:r>
      <w:r w:rsidRPr="000925A8">
        <w:t>sig synpunkt (2 kap. 4 §, 5 kap. 7 och 16 §§ PBL). Utskottet har också hänvisat till den b</w:t>
      </w:r>
      <w:r w:rsidRPr="000925A8">
        <w:t>e</w:t>
      </w:r>
      <w:r w:rsidRPr="000925A8">
        <w:t>stämmelse som återfinns i 3 kap. 6 § MB första stycket vari anges att behovet av grönområden i tätorter och i närheten av tätorter skall beaktas särskilt.</w:t>
      </w:r>
    </w:p>
    <w:p w14:paraId="250D6466" w14:textId="77777777" w:rsidR="00241093" w:rsidRPr="000925A8" w:rsidRDefault="00241093">
      <w:pPr>
        <w:pStyle w:val="Normaltindrag"/>
      </w:pPr>
      <w:r w:rsidRPr="000925A8">
        <w:t>Bostadsutskottet vidhåller sin tidigare redovisade mening att regelverket i allt väsentligt är utformat på ett sätt som gör det möjligt för kommunerna att åstadkomma det som motionärerna eftersträvar. Utskottet finner således inte tillräckliga skäl för att gå motion</w:t>
      </w:r>
      <w:r w:rsidRPr="000925A8">
        <w:t>ärerna till mötes. Motion 2001/02:Bo325 (c) yrkandena 25 och 26 avstyrks.</w:t>
      </w:r>
    </w:p>
    <w:p w14:paraId="0DD16570" w14:textId="77777777" w:rsidR="00241093" w:rsidRPr="000925A8" w:rsidRDefault="00241093">
      <w:pPr>
        <w:pStyle w:val="Rubrik3"/>
        <w:rPr>
          <w:noProof w:val="0"/>
        </w:rPr>
      </w:pPr>
      <w:bookmarkStart w:id="45" w:name="_Toc4898211"/>
      <w:r w:rsidRPr="000925A8">
        <w:rPr>
          <w:noProof w:val="0"/>
        </w:rPr>
        <w:t>Aktivitetsytor</w:t>
      </w:r>
      <w:bookmarkEnd w:id="45"/>
    </w:p>
    <w:p w14:paraId="352D3EFF" w14:textId="77777777" w:rsidR="00241093" w:rsidRPr="000925A8" w:rsidRDefault="00241093">
      <w:r w:rsidRPr="000925A8">
        <w:t>Motion 2001/02:Bo254 (s) hänvisar till riksdagens beslut med anledning av en idrottspolitisk proposition (prop. 1998/97:107). I detta sammanhang unde</w:t>
      </w:r>
      <w:r w:rsidRPr="000925A8">
        <w:t>r</w:t>
      </w:r>
      <w:r w:rsidRPr="000925A8">
        <w:t>strök riksdag och regering vikten av att det i bostadsområden finns tillgång till ytor för lek och fysisk aktivitet. Motionärerna menar att detta krav inte blivit tillgodosett i flera bostadsområden som uppförts under de senaste åren. Rik</w:t>
      </w:r>
      <w:r w:rsidRPr="000925A8">
        <w:t>s</w:t>
      </w:r>
      <w:r w:rsidRPr="000925A8">
        <w:t>dagen föreslås mot denna bakgrund uppmana regeringen att kontinuerligt följa frågan.</w:t>
      </w:r>
    </w:p>
    <w:p w14:paraId="23D69727" w14:textId="77777777" w:rsidR="00241093" w:rsidRPr="000925A8" w:rsidRDefault="00241093">
      <w:pPr>
        <w:pStyle w:val="Normaltindrag"/>
      </w:pPr>
      <w:r w:rsidRPr="000925A8">
        <w:t>Bostadsutskottet delar givetvis motionärernas syn på vikten av tillgången på friytor för lek och motion i och i nära anslutning till bostadsområden. Enligt utskottets mening ger flera bes</w:t>
      </w:r>
      <w:r w:rsidRPr="000925A8">
        <w:t>tämmelser i PBL också uttryck för ett krav på att bostadsområden planeras med denna utgångspunkt. Detta krav kommer bl.a. till uttryck i 2 kap. 4 §. När tomter tas i anspråk för bostadsb</w:t>
      </w:r>
      <w:r w:rsidRPr="000925A8">
        <w:t>e</w:t>
      </w:r>
      <w:r w:rsidRPr="000925A8">
        <w:t>byggelse skall det också finnas tillräckligt stor friyta som är lämplig för lek eller utevistelse på tomten eller i närheten av denna (3 kap. 15 §).</w:t>
      </w:r>
    </w:p>
    <w:p w14:paraId="7A7176D3" w14:textId="77777777" w:rsidR="00241093" w:rsidRPr="000925A8" w:rsidRDefault="00241093">
      <w:pPr>
        <w:pStyle w:val="Normaltindrag"/>
      </w:pPr>
      <w:r w:rsidRPr="000925A8">
        <w:t>Utskottet kan, utan att ta ställning till de exempel som motionärerna pekar på, inte utesluta att vissa bostadsområden givits en utformning som i det aktuella avseendet kan ifr</w:t>
      </w:r>
      <w:r w:rsidRPr="000925A8">
        <w:t>ågasättas. PBL:s regelsystem utgår emellertid från förutsättningen att det i första hand är ett kommunalt ansvar att under plan</w:t>
      </w:r>
      <w:r w:rsidRPr="000925A8">
        <w:t>e</w:t>
      </w:r>
      <w:r w:rsidRPr="000925A8">
        <w:t>ringsprocessen beakta sina invånares intressen. Boverket har ett ansvar att följa frågor om tillämpningen av PBL:s regler och ge kommunerna råd om bebyggelseplanering. Vad gäller den mer allmänna frågan om förutsättnin</w:t>
      </w:r>
      <w:r w:rsidRPr="000925A8">
        <w:t>g</w:t>
      </w:r>
      <w:r w:rsidRPr="000925A8">
        <w:t>arna i samhället för idrott och fysiska aktiviteter får det förutsättas att rege</w:t>
      </w:r>
      <w:r w:rsidRPr="000925A8">
        <w:t>r</w:t>
      </w:r>
      <w:r w:rsidRPr="000925A8">
        <w:t>ingen kontinuerligt följer utvecklingen även utan en särskild begäran från riksdagen</w:t>
      </w:r>
      <w:r w:rsidRPr="000925A8">
        <w:t>.</w:t>
      </w:r>
    </w:p>
    <w:p w14:paraId="6DE87DAD" w14:textId="77777777" w:rsidR="00241093" w:rsidRPr="000925A8" w:rsidRDefault="00241093">
      <w:pPr>
        <w:pStyle w:val="Normaltindrag"/>
      </w:pPr>
      <w:r w:rsidRPr="000925A8">
        <w:t>Med hänvisning till det anförda avstyrker utskottet motion 2001/02:Bo254 (s).</w:t>
      </w:r>
    </w:p>
    <w:p w14:paraId="0B2A4DF6" w14:textId="77777777" w:rsidR="00241093" w:rsidRPr="000925A8" w:rsidRDefault="00241093">
      <w:pPr>
        <w:pStyle w:val="Rubrik3"/>
        <w:rPr>
          <w:noProof w:val="0"/>
        </w:rPr>
      </w:pPr>
      <w:bookmarkStart w:id="46" w:name="_Toc4898212"/>
      <w:r w:rsidRPr="000925A8">
        <w:rPr>
          <w:noProof w:val="0"/>
        </w:rPr>
        <w:t>Kulturhistoriskt värdefull bebyggelse</w:t>
      </w:r>
      <w:bookmarkEnd w:id="46"/>
    </w:p>
    <w:p w14:paraId="70FD906F" w14:textId="77777777" w:rsidR="00241093" w:rsidRPr="000925A8" w:rsidRDefault="00241093">
      <w:r w:rsidRPr="000925A8">
        <w:t>Två motioner behandlar frågor om skyddet för kulturhistoriskt värdefulla byggnadsmiljöer.</w:t>
      </w:r>
    </w:p>
    <w:p w14:paraId="4A9AE9C2" w14:textId="77777777" w:rsidR="00241093" w:rsidRPr="000925A8" w:rsidRDefault="00241093">
      <w:pPr>
        <w:pStyle w:val="Normaltindrag"/>
      </w:pPr>
      <w:r w:rsidRPr="000925A8">
        <w:t>I Centerpartiets partimotion 2001/02:Bo325 yrkande 27 förordas att ett uppdrag ges till regeringen att ta fram ett nationellt handlingsprogram för att bevara kulturmiljöer och byggnader. Motionärerna framhåller att det på många håll i landet finns mångfasetterade kulturmiljöer som behöver o</w:t>
      </w:r>
      <w:r w:rsidRPr="000925A8">
        <w:t>m</w:t>
      </w:r>
      <w:r w:rsidRPr="000925A8">
        <w:t xml:space="preserve">vårdnad. </w:t>
      </w:r>
    </w:p>
    <w:p w14:paraId="3406A5FF" w14:textId="77777777" w:rsidR="00241093" w:rsidRPr="000925A8" w:rsidRDefault="00241093">
      <w:pPr>
        <w:pStyle w:val="Normaltindrag"/>
      </w:pPr>
      <w:r w:rsidRPr="000925A8">
        <w:t>Enligt motion 2001/02:Bo288 (s) bör en utredning tillsättas i syfte att stä</w:t>
      </w:r>
      <w:r w:rsidRPr="000925A8">
        <w:t>r</w:t>
      </w:r>
      <w:r w:rsidRPr="000925A8">
        <w:t>ka kommunernas möjlighet att bevara unika byggnadsmiljöer. Motionärerna hävdar bl.a. att kommunerna undviker att utnyttja områdesbestämmelser för att skydda kulturmiljöer eftersom detta kan utlösa ersättningskrav från fasti</w:t>
      </w:r>
      <w:r w:rsidRPr="000925A8">
        <w:t>g</w:t>
      </w:r>
      <w:r w:rsidRPr="000925A8">
        <w:t>hetsägarna.</w:t>
      </w:r>
    </w:p>
    <w:p w14:paraId="7E1AFE66" w14:textId="77777777" w:rsidR="00241093" w:rsidRPr="000925A8" w:rsidRDefault="00241093">
      <w:pPr>
        <w:pStyle w:val="Normaltindrag"/>
      </w:pPr>
      <w:r w:rsidRPr="000925A8">
        <w:t>Som framgått ovan fastställde riksdagen hösten 2001 ett antal delmål och åtgärdsstrategier med utgångspunkt från de tidigare beslutade miljökvalitet</w:t>
      </w:r>
      <w:r w:rsidRPr="000925A8">
        <w:t>s</w:t>
      </w:r>
      <w:r w:rsidRPr="000925A8">
        <w:t>målen (prop. 2000/01:130, 2001/02:MJU3, BoU3y). Under miljökvalitet</w:t>
      </w:r>
      <w:r w:rsidRPr="000925A8">
        <w:t>s</w:t>
      </w:r>
      <w:r w:rsidRPr="000925A8">
        <w:t>målet för God bebyggd miljö fastställdes bl.a. ett delmål för kulturhistoriskt värdefull bebyggelse med följande formulering:</w:t>
      </w:r>
    </w:p>
    <w:p w14:paraId="6C9E9C4B" w14:textId="77777777" w:rsidR="00241093" w:rsidRPr="000925A8" w:rsidRDefault="00241093">
      <w:pPr>
        <w:pStyle w:val="Citat"/>
      </w:pPr>
      <w:r w:rsidRPr="000925A8">
        <w:t>Den kulturhistoriskt värdefulla bebyggelsen skall senast år 2010 vara identifierad och ett program finnas för skydd av dess värden. Samtidigt skall minst 25 % av den värdefulla b</w:t>
      </w:r>
      <w:r w:rsidRPr="000925A8">
        <w:t>e</w:t>
      </w:r>
      <w:r w:rsidRPr="000925A8">
        <w:t>byggelsen vara långsiktigt skyddad.</w:t>
      </w:r>
    </w:p>
    <w:p w14:paraId="1BDED239" w14:textId="77777777" w:rsidR="00241093" w:rsidRPr="000925A8" w:rsidRDefault="00241093">
      <w:r w:rsidRPr="000925A8">
        <w:t>Regeringen aviserade i detta sammanhang sin avsikt att ge Riksantikvarieä</w:t>
      </w:r>
      <w:r w:rsidRPr="000925A8">
        <w:t>m</w:t>
      </w:r>
      <w:r w:rsidRPr="000925A8">
        <w:t>betet i uppdrag att tillsammans med Boverket utarbeta ett program för hur arbetet för att nå delmålet bör bedrivas och följas upp. Vidare har regeringen tidigare aviserat sin avsikt att tillkalla en särskild utredare för att lämna fö</w:t>
      </w:r>
      <w:r w:rsidRPr="000925A8">
        <w:t>r</w:t>
      </w:r>
      <w:r w:rsidRPr="000925A8">
        <w:t xml:space="preserve">slag om ett förbättrat skydd för kulturhistoriskt värdefull bebyggelse. Enligt uppgift från Regeringskansliet pågår arbetet med direktiven för utredningen. Till grund för utformningen av direktiven ligger bl.a. en rapport från Boverket – Kulturvärden i detaljplan – där verket </w:t>
      </w:r>
      <w:r w:rsidRPr="000925A8">
        <w:t xml:space="preserve">konstaterat att kommunerna endast i begränsad utsträckning använder sig av de instrument som erbjuds i PBL för att skydda kulturmiljöer. </w:t>
      </w:r>
    </w:p>
    <w:p w14:paraId="4E339A9D" w14:textId="77777777" w:rsidR="00241093" w:rsidRPr="000925A8" w:rsidRDefault="00241093">
      <w:pPr>
        <w:pStyle w:val="Normaltindrag"/>
      </w:pPr>
      <w:r w:rsidRPr="000925A8">
        <w:t>Bostadsutskottet kan konstatera att utredningsuppdrag med den inriktning som förordas i de aktuella motionerna redan är aviserade. Något tillkännag</w:t>
      </w:r>
      <w:r w:rsidRPr="000925A8">
        <w:t>i</w:t>
      </w:r>
      <w:r w:rsidRPr="000925A8">
        <w:t>vande i enlighet med motionerna 2001/02:Bo288 (s) och 2001/02:Bo325 (c) yrkande 27 är således inte erforderligt.</w:t>
      </w:r>
    </w:p>
    <w:p w14:paraId="2CBF64EF" w14:textId="77777777" w:rsidR="00241093" w:rsidRPr="000925A8" w:rsidRDefault="00241093">
      <w:pPr>
        <w:pStyle w:val="Rubrik3"/>
        <w:rPr>
          <w:noProof w:val="0"/>
        </w:rPr>
      </w:pPr>
      <w:bookmarkStart w:id="47" w:name="_Toc4898213"/>
      <w:r w:rsidRPr="000925A8">
        <w:rPr>
          <w:noProof w:val="0"/>
        </w:rPr>
        <w:t>Yrkesmässig verksamhet i bostadsområden</w:t>
      </w:r>
      <w:bookmarkEnd w:id="47"/>
      <w:r w:rsidRPr="000925A8">
        <w:rPr>
          <w:noProof w:val="0"/>
        </w:rPr>
        <w:t xml:space="preserve"> </w:t>
      </w:r>
    </w:p>
    <w:p w14:paraId="458FEDE1" w14:textId="77777777" w:rsidR="00241093" w:rsidRPr="000925A8" w:rsidRDefault="00241093">
      <w:r w:rsidRPr="000925A8">
        <w:t>I motion 2001/02:Bo233 (m) begärs en översyn av lagstiftningen om olovlig yrkesmässig verksamhet i bostadsområden. Motionären, som bl.a. hänvisar till reglering genom detaljplan, anför att det ibland förekommer att verksa</w:t>
      </w:r>
      <w:r w:rsidRPr="000925A8">
        <w:t>m</w:t>
      </w:r>
      <w:r w:rsidRPr="000925A8">
        <w:t>het bedrivs utan att erforderliga tillstånd beviljats och att detta innebär att krin</w:t>
      </w:r>
      <w:r w:rsidRPr="000925A8">
        <w:t>g</w:t>
      </w:r>
      <w:r w:rsidRPr="000925A8">
        <w:t>boende inte kan få ändring till stånd.</w:t>
      </w:r>
    </w:p>
    <w:p w14:paraId="3DA5AE66" w14:textId="77777777" w:rsidR="00241093" w:rsidRPr="000925A8" w:rsidRDefault="00241093">
      <w:pPr>
        <w:pStyle w:val="Normaltindrag"/>
      </w:pPr>
      <w:r w:rsidRPr="000925A8">
        <w:t>I den mån motionären syftar på tillstånd enligt PBL vill utskottet hänvisa till de regler om påföljder och ingripanden vid överträdelser som återfinns i lagens 10 kap. Dessa regler är exempelvis tillämpliga när en byggnad tas i anspråk för väsentligen annat ändamål än för det för vilket bygglov har lä</w:t>
      </w:r>
      <w:r w:rsidRPr="000925A8">
        <w:t>m</w:t>
      </w:r>
      <w:r w:rsidRPr="000925A8">
        <w:t>nats. Yrkesmässig verksamhet kan också kräva tillstånd enligt annan lagstif</w:t>
      </w:r>
      <w:r w:rsidRPr="000925A8">
        <w:t>t</w:t>
      </w:r>
      <w:r w:rsidRPr="000925A8">
        <w:t>ning med regler om påföljd för verksamhet som bedrivs utan att erforderliga tillstånd bevi</w:t>
      </w:r>
      <w:r w:rsidRPr="000925A8">
        <w:t>l</w:t>
      </w:r>
      <w:r w:rsidRPr="000925A8">
        <w:t>jats.</w:t>
      </w:r>
    </w:p>
    <w:p w14:paraId="18205AD8" w14:textId="77777777" w:rsidR="00241093" w:rsidRPr="000925A8" w:rsidRDefault="00241093">
      <w:pPr>
        <w:pStyle w:val="Normaltindrag"/>
      </w:pPr>
      <w:r w:rsidRPr="000925A8">
        <w:t>Motion 2001/02:Bo233 (m) avstyrks med hänvisning till det anförda.</w:t>
      </w:r>
    </w:p>
    <w:p w14:paraId="2C49D781" w14:textId="77777777" w:rsidR="00241093" w:rsidRPr="000925A8" w:rsidRDefault="00241093">
      <w:pPr>
        <w:pStyle w:val="Rubrik3"/>
        <w:rPr>
          <w:noProof w:val="0"/>
        </w:rPr>
      </w:pPr>
      <w:bookmarkStart w:id="48" w:name="_Toc4898214"/>
      <w:r w:rsidRPr="000925A8">
        <w:rPr>
          <w:noProof w:val="0"/>
        </w:rPr>
        <w:t>Hästgårdar</w:t>
      </w:r>
      <w:bookmarkEnd w:id="48"/>
    </w:p>
    <w:p w14:paraId="27DD2AD5" w14:textId="77777777" w:rsidR="00241093" w:rsidRPr="000925A8" w:rsidRDefault="00241093">
      <w:r w:rsidRPr="000925A8">
        <w:t>I motion 2001/02:Bo258 (s) föreslås att en översyn genomförs av PBL med syfte att underlätta samlokalisering av s.k. hästgårdar och bostadsbebyggelse. Motionären hävdar att nuvarande lagstiftning inte medger en sådan samlok</w:t>
      </w:r>
      <w:r w:rsidRPr="000925A8">
        <w:t>a</w:t>
      </w:r>
      <w:r w:rsidRPr="000925A8">
        <w:t>lisering.</w:t>
      </w:r>
    </w:p>
    <w:p w14:paraId="6AC10558" w14:textId="77777777" w:rsidR="00241093" w:rsidRPr="000925A8" w:rsidRDefault="00241093">
      <w:pPr>
        <w:pStyle w:val="Normaltindrag"/>
      </w:pPr>
      <w:r w:rsidRPr="000925A8">
        <w:t>Det finns inget förbud i PBL mot att förlägga bostäder i närheten av häs</w:t>
      </w:r>
      <w:r w:rsidRPr="000925A8">
        <w:t>t</w:t>
      </w:r>
      <w:r w:rsidRPr="000925A8">
        <w:t>gårdar eller vice versa. Däremot kan lagens krav på att planläggning och lokalisering av bebyggelse skall ske med beaktande av behovet av hälsosa</w:t>
      </w:r>
      <w:r w:rsidRPr="000925A8">
        <w:t>m</w:t>
      </w:r>
      <w:r w:rsidRPr="000925A8">
        <w:t>ma och hygieniska boendeförhållanden göra att en nära samlokalisering inte tillåts. Boverket har i samarbete med bl.a. Socialstyrelsen utarbetat reko</w:t>
      </w:r>
      <w:r w:rsidRPr="000925A8">
        <w:t>m</w:t>
      </w:r>
      <w:r w:rsidRPr="000925A8">
        <w:t>mendationer om riktvärden för skyddsavstånd mellan djurhållning och b</w:t>
      </w:r>
      <w:r w:rsidRPr="000925A8">
        <w:t>e</w:t>
      </w:r>
      <w:r w:rsidRPr="000925A8">
        <w:t>byggelse. Riktvärdet för nyetablering av bostäder i närheten av befintlig häs</w:t>
      </w:r>
      <w:r w:rsidRPr="000925A8">
        <w:t>t</w:t>
      </w:r>
      <w:r w:rsidRPr="000925A8">
        <w:t>hållningsverksamhet är satt främst med hänsyn till risken för sprid</w:t>
      </w:r>
      <w:r w:rsidRPr="000925A8">
        <w:t>ning av hästallergen som bedöms vara starkt allerg</w:t>
      </w:r>
      <w:r w:rsidRPr="000925A8">
        <w:t>i</w:t>
      </w:r>
      <w:r w:rsidRPr="000925A8">
        <w:t xml:space="preserve">framkallande. </w:t>
      </w:r>
    </w:p>
    <w:p w14:paraId="09F6E441" w14:textId="77777777" w:rsidR="00241093" w:rsidRPr="000925A8" w:rsidRDefault="00241093">
      <w:pPr>
        <w:pStyle w:val="Normaltindrag"/>
      </w:pPr>
      <w:r w:rsidRPr="000925A8">
        <w:t xml:space="preserve">I de planärenden med samlokalisering av hästgårdar och bebyggelse som har överprövats har hänsyn tagits till hur stark koppling som förelegat mellan hästhållningen och bostäderna. När avsikten har varit att kombinera boende och hästhållning har det ansetts föreligga större utrymme för undantag från tillämpningen av skyddsavstånd. </w:t>
      </w:r>
    </w:p>
    <w:p w14:paraId="5F9F3893" w14:textId="77777777" w:rsidR="00241093" w:rsidRPr="000925A8" w:rsidRDefault="00241093">
      <w:pPr>
        <w:pStyle w:val="Normaltindrag"/>
      </w:pPr>
      <w:r w:rsidRPr="000925A8">
        <w:t>Vad som anförs i motion 2001/02:Bo258 (s) ger inte utskottet anledning att förorda någon översyn av lagstiftningen i det aktuella avseendet. Motionen avstyrks.</w:t>
      </w:r>
    </w:p>
    <w:p w14:paraId="7A4A4A9F" w14:textId="77777777" w:rsidR="00241093" w:rsidRPr="000925A8" w:rsidRDefault="00241093">
      <w:pPr>
        <w:pStyle w:val="Rubrik3"/>
        <w:rPr>
          <w:noProof w:val="0"/>
        </w:rPr>
      </w:pPr>
      <w:bookmarkStart w:id="49" w:name="_Toc511203338"/>
      <w:bookmarkStart w:id="50" w:name="_Toc4898215"/>
      <w:r w:rsidRPr="000925A8">
        <w:rPr>
          <w:noProof w:val="0"/>
        </w:rPr>
        <w:t>Lokaler för religiösa ändamål</w:t>
      </w:r>
      <w:bookmarkEnd w:id="49"/>
      <w:bookmarkEnd w:id="50"/>
    </w:p>
    <w:p w14:paraId="0F1DB332" w14:textId="77777777" w:rsidR="00241093" w:rsidRPr="000925A8" w:rsidRDefault="00241093">
      <w:r w:rsidRPr="000925A8">
        <w:t>I motion 2001/02:Bo260 (s) förespråkas en översyn av PBL för att ge möjli</w:t>
      </w:r>
      <w:r w:rsidRPr="000925A8">
        <w:t>g</w:t>
      </w:r>
      <w:r w:rsidRPr="000925A8">
        <w:t>het till att i detaljplan kunna reglera hur lokaler för religiösa ändamål får användas. Motionen gäller synagogor och moskéer, vilka sägs konstrueras så att män och kvinnor skiljs åt i kyrkobyggnaden.</w:t>
      </w:r>
    </w:p>
    <w:p w14:paraId="01703B57" w14:textId="77777777" w:rsidR="00241093" w:rsidRPr="000925A8" w:rsidRDefault="00241093">
      <w:pPr>
        <w:pStyle w:val="Normaltindrag"/>
      </w:pPr>
      <w:r w:rsidRPr="000925A8">
        <w:t>Utskottet behandlade motsvarande yrkande föregående år och anförde då att det inte fanns bärande skäl för att gå motionären till mötes. Utskottet vi</w:t>
      </w:r>
      <w:r w:rsidRPr="000925A8">
        <w:t>d</w:t>
      </w:r>
      <w:r w:rsidRPr="000925A8">
        <w:t>håller sin uppfattning och avstyrker således motionen.</w:t>
      </w:r>
    </w:p>
    <w:p w14:paraId="49A13898" w14:textId="77777777" w:rsidR="00241093" w:rsidRPr="000925A8" w:rsidRDefault="00241093">
      <w:pPr>
        <w:pStyle w:val="Rubrik3"/>
        <w:rPr>
          <w:noProof w:val="0"/>
        </w:rPr>
      </w:pPr>
      <w:bookmarkStart w:id="51" w:name="_Toc4898216"/>
      <w:r w:rsidRPr="000925A8">
        <w:rPr>
          <w:noProof w:val="0"/>
        </w:rPr>
        <w:t>Rätten att använda offentlig plats</w:t>
      </w:r>
      <w:bookmarkEnd w:id="51"/>
    </w:p>
    <w:p w14:paraId="4904FDB4" w14:textId="77777777" w:rsidR="00241093" w:rsidRPr="000925A8" w:rsidRDefault="00241093">
      <w:r w:rsidRPr="000925A8">
        <w:t>I motionerna 2001/02:Bo228 (s) och 2001/02:Bo249 (s) behandlas frågor om användandet av platser som är tillgängliga för allmänheten. Motionärerna framför farhågor för att privatiseringar (med i vissa fall tillhörande ”inglasningar”) av t.ex. torg och gallerior leder till försämrade möjligheter för debatt, opinionsbildning och offentliga samtal. De framhåller behovet av att köpcentrum och liknande platser betraktas som allmän plats samt att de g</w:t>
      </w:r>
      <w:r w:rsidRPr="000925A8">
        <w:t>e</w:t>
      </w:r>
      <w:r w:rsidRPr="000925A8">
        <w:t>mensamma mötesplatserna värnas. I en av motionerna föreslås att komm</w:t>
      </w:r>
      <w:r w:rsidRPr="000925A8">
        <w:t>u</w:t>
      </w:r>
      <w:r w:rsidRPr="000925A8">
        <w:t>nerna skall ges rätt att i planbestämmelser föreskriva rättigheter för envar att utöva dessa aktiviteter i inomhuscentrum, köpcentrum etc. Förslaget föru</w:t>
      </w:r>
      <w:r w:rsidRPr="000925A8">
        <w:t>t</w:t>
      </w:r>
      <w:r w:rsidRPr="000925A8">
        <w:t>sätter ändringar i plan- och bygglagen.</w:t>
      </w:r>
    </w:p>
    <w:p w14:paraId="5F85C991" w14:textId="77777777" w:rsidR="00241093" w:rsidRPr="000925A8" w:rsidRDefault="00241093">
      <w:pPr>
        <w:pStyle w:val="Normaltindrag"/>
      </w:pPr>
      <w:r w:rsidRPr="000925A8">
        <w:t xml:space="preserve">Motionerna aktualiserar frågor som har betydelse för grundläggande fri- och rättigheter. Det är för demokratin frågor av central betydelse. Genom regeringsformen är varje medborgare </w:t>
      </w:r>
      <w:r w:rsidRPr="000925A8">
        <w:rPr>
          <w:i/>
        </w:rPr>
        <w:t>gentemot det allmänna</w:t>
      </w:r>
      <w:r w:rsidRPr="000925A8">
        <w:t xml:space="preserve"> tillförsäkrad bl.a. frihet att anordna och delta i demonstration på </w:t>
      </w:r>
      <w:r w:rsidRPr="000925A8">
        <w:rPr>
          <w:i/>
        </w:rPr>
        <w:t>allmän plats</w:t>
      </w:r>
      <w:r w:rsidRPr="000925A8">
        <w:t xml:space="preserve"> (2 kap. 1 § 3 RF). Allmänna sammankomster får inte utan tillstånd anordnas på </w:t>
      </w:r>
      <w:r w:rsidRPr="000925A8">
        <w:rPr>
          <w:i/>
        </w:rPr>
        <w:t>offentliga platser</w:t>
      </w:r>
      <w:r w:rsidRPr="000925A8">
        <w:t xml:space="preserve"> (2 kap. 4 § ordningslagen). Tillståndsprövningen enligt ordningslagen avser primärt om sammankomsten kan innebära fara för ordning och säkerhet eller för trafiken. Regleringen utgör en inskränkning av bl.a. demonstration</w:t>
      </w:r>
      <w:r w:rsidRPr="000925A8">
        <w:t>s</w:t>
      </w:r>
      <w:r w:rsidRPr="000925A8">
        <w:t>friheten i syfte att beakta dessa or</w:t>
      </w:r>
      <w:r w:rsidRPr="000925A8">
        <w:t>d</w:t>
      </w:r>
      <w:r w:rsidRPr="000925A8">
        <w:t xml:space="preserve">ningsintressen. </w:t>
      </w:r>
    </w:p>
    <w:p w14:paraId="2A929E16" w14:textId="77777777" w:rsidR="00241093" w:rsidRPr="000925A8" w:rsidRDefault="00241093">
      <w:pPr>
        <w:pStyle w:val="Normaltindrag"/>
      </w:pPr>
      <w:r w:rsidRPr="000925A8">
        <w:rPr>
          <w:i/>
        </w:rPr>
        <w:t>Offentliga platser</w:t>
      </w:r>
      <w:r w:rsidRPr="000925A8">
        <w:t xml:space="preserve"> är bl.a. gator, vägar, torg, parker och andra platser som i detaljplan redovisas som </w:t>
      </w:r>
      <w:r w:rsidRPr="000925A8">
        <w:rPr>
          <w:i/>
        </w:rPr>
        <w:t>allmän plats</w:t>
      </w:r>
      <w:r w:rsidRPr="000925A8">
        <w:t xml:space="preserve"> och som har upplåtits för sitt ändamål. Även andra landområden och utrymmen inomhus som stadigvarande används för allmän trafik är offentliga platser (2 kap. 2 § ordningslagen). Exempel på sistnämnda inomhusutrymmen anses vara bl.a. Sturegallerian och Täbys Centrumanläggning (se Persson, G. P. m.fl., Ordningslagen, Sthlm 1994). </w:t>
      </w:r>
    </w:p>
    <w:p w14:paraId="55C786BC" w14:textId="77777777" w:rsidR="00241093" w:rsidRPr="000925A8" w:rsidRDefault="00241093">
      <w:pPr>
        <w:pStyle w:val="Normaltindrag"/>
      </w:pPr>
      <w:r w:rsidRPr="000925A8">
        <w:t>Enligt vad bostadsutskottet har erfarit förekommer det i en inte acceptabel omfatt</w:t>
      </w:r>
      <w:r w:rsidRPr="000925A8">
        <w:t>ning att fastighetsägare förbjuder viss aktivitet eller vissa utövare. Enligt utskottets mening är det av stor vikt att offentlig plats kan begagnas för de nu aktuella verksamheterna. Samtidigt kan som framgått ett sådant anvä</w:t>
      </w:r>
      <w:r w:rsidRPr="000925A8">
        <w:t>n</w:t>
      </w:r>
      <w:r w:rsidRPr="000925A8">
        <w:t>dande komma i konflikt med äganderätten.</w:t>
      </w:r>
    </w:p>
    <w:p w14:paraId="6288C4D8" w14:textId="77777777" w:rsidR="00241093" w:rsidRPr="000925A8" w:rsidRDefault="00241093">
      <w:pPr>
        <w:pStyle w:val="Normaltindrag"/>
      </w:pPr>
      <w:r w:rsidRPr="000925A8">
        <w:t>Justitieombudsmannen har i ett flertal ärenden uttalat sig i dessa frågor. De har även behandlats i andra sammanhang (se t.ex. Bull, T., Mötes- och d</w:t>
      </w:r>
      <w:r w:rsidRPr="000925A8">
        <w:t>e</w:t>
      </w:r>
      <w:r w:rsidRPr="000925A8">
        <w:t>monstrationsfriheten, Uppsala 1997). De frågeställningar som uppkommer gäller bl.a. hur polismyndigheten vid tillståndsgivning avseende allmän sa</w:t>
      </w:r>
      <w:r w:rsidRPr="000925A8">
        <w:t>m</w:t>
      </w:r>
      <w:r w:rsidRPr="000925A8">
        <w:t>mankomst på offentlig plats skall hantera äganderättsfrågan (även då det allmänna är ägare) samt vilka lagliga möjligheter som fastighetsägare har att hindra eller begränsa en användning av platsen som är i enlighet med tillstå</w:t>
      </w:r>
      <w:r w:rsidRPr="000925A8">
        <w:t>n</w:t>
      </w:r>
      <w:r w:rsidRPr="000925A8">
        <w:t>det.</w:t>
      </w:r>
    </w:p>
    <w:p w14:paraId="33F4778C" w14:textId="77777777" w:rsidR="00241093" w:rsidRPr="000925A8" w:rsidRDefault="00241093">
      <w:pPr>
        <w:pStyle w:val="Normaltindrag"/>
      </w:pPr>
      <w:r w:rsidRPr="000925A8">
        <w:t>I ett ärende (</w:t>
      </w:r>
      <w:r w:rsidRPr="000925A8">
        <w:rPr>
          <w:i/>
        </w:rPr>
        <w:t>JO 1975 s. 82, II</w:t>
      </w:r>
      <w:r w:rsidRPr="000925A8">
        <w:t>)</w:t>
      </w:r>
      <w:r w:rsidRPr="000925A8">
        <w:rPr>
          <w:i/>
        </w:rPr>
        <w:t xml:space="preserve"> </w:t>
      </w:r>
      <w:r w:rsidRPr="000925A8">
        <w:t>anförde</w:t>
      </w:r>
      <w:r w:rsidRPr="000925A8">
        <w:rPr>
          <w:i/>
        </w:rPr>
        <w:t xml:space="preserve"> </w:t>
      </w:r>
      <w:r w:rsidRPr="000925A8">
        <w:t>Justitieombudsmannen att ägand</w:t>
      </w:r>
      <w:r w:rsidRPr="000925A8">
        <w:t>e</w:t>
      </w:r>
      <w:r w:rsidRPr="000925A8">
        <w:t>rätt till fast egendom enligt svensk rätt i viss utsträckning innefattar befoge</w:t>
      </w:r>
      <w:r w:rsidRPr="000925A8">
        <w:t>n</w:t>
      </w:r>
      <w:r w:rsidRPr="000925A8">
        <w:t>het att utestänga andra från mark och byggnader. Han pekade på att det i olika bestämmelser i brottsbalken finns straffsanktionerat skydd mot vissa obehör</w:t>
      </w:r>
      <w:r w:rsidRPr="000925A8">
        <w:t>i</w:t>
      </w:r>
      <w:r w:rsidRPr="000925A8">
        <w:t>ga intrång samt att rättsinnehavare till fast egendom även då straffansvar inte ifrågakommer kan åtnjuta rättsordningens skydd. Som exempel på det sis</w:t>
      </w:r>
      <w:r w:rsidRPr="000925A8">
        <w:t>t</w:t>
      </w:r>
      <w:r w:rsidRPr="000925A8">
        <w:t xml:space="preserve">nämnda nämndes bl.a. rätten att erhålla skadestånd. Hur långtgående </w:t>
      </w:r>
      <w:r w:rsidRPr="000925A8">
        <w:t>rätti</w:t>
      </w:r>
      <w:r w:rsidRPr="000925A8">
        <w:t>g</w:t>
      </w:r>
      <w:r w:rsidRPr="000925A8">
        <w:t>heter markägaren kan anses ha att utestänga andra från marken ansåg han emellertid i viss mån oklar. Justitieombudsmannen anförde vidare att ko</w:t>
      </w:r>
      <w:r w:rsidRPr="000925A8">
        <w:t>n</w:t>
      </w:r>
      <w:r w:rsidRPr="000925A8">
        <w:t>flikterna i grunden ofta avser privaträttsliga frågor, varför det inte tillkommer polisen att pröva det rättmätiga i t.ex. en markägares vägran att tillåta viss aktivitet eller att lämna biträde åt parter vid tvister av detta slag.</w:t>
      </w:r>
    </w:p>
    <w:p w14:paraId="449B10F9" w14:textId="77777777" w:rsidR="00241093" w:rsidRPr="000925A8" w:rsidRDefault="00241093">
      <w:pPr>
        <w:pStyle w:val="Normaltindrag"/>
      </w:pPr>
      <w:r w:rsidRPr="000925A8">
        <w:t>Enligt bostadsutskottets mening talar starka skäl för att huvudprincipen bör vara den att var och en i förhållande till fastighets</w:t>
      </w:r>
      <w:r w:rsidRPr="000925A8">
        <w:t>ägaren skall ha rätt att b</w:t>
      </w:r>
      <w:r w:rsidRPr="000925A8">
        <w:t>e</w:t>
      </w:r>
      <w:r w:rsidRPr="000925A8">
        <w:t>gagna offentliga platser för debatt, opinionsbildning, offentliga samtal, fly</w:t>
      </w:r>
      <w:r w:rsidRPr="000925A8">
        <w:t>g</w:t>
      </w:r>
      <w:r w:rsidRPr="000925A8">
        <w:t>bladsutdelning m.m. Mot den tecknade bakgrunden har fastighetsägares i</w:t>
      </w:r>
      <w:r w:rsidRPr="000925A8">
        <w:t>n</w:t>
      </w:r>
      <w:r w:rsidRPr="000925A8">
        <w:t>ställning till dessa aktiviteter i dag för stor betydelse.</w:t>
      </w:r>
    </w:p>
    <w:p w14:paraId="0BE6F581" w14:textId="77777777" w:rsidR="00241093" w:rsidRPr="000925A8" w:rsidRDefault="00241093">
      <w:pPr>
        <w:pStyle w:val="Normaltindrag"/>
      </w:pPr>
      <w:r w:rsidRPr="000925A8">
        <w:t>Införandet av en ordning av det slag som utskottet förespråkar förutsätter mer ingående analyser och överväganden. Den inskränkning av äganderätten som ordningen skulle innebära synes i allmänhet inte vara av någon egentlig betydelse. Frågan förtjänar ändock en närmare analys.</w:t>
      </w:r>
      <w:r w:rsidRPr="000925A8">
        <w:t xml:space="preserve"> En annan uppgift är att närmare precisera vilka aktiviteter som bör omfattas av huvudprincipen. Vidare bör analyseras huruvida ordningslagens definition av </w:t>
      </w:r>
      <w:r w:rsidRPr="000925A8">
        <w:rPr>
          <w:i/>
        </w:rPr>
        <w:t>offentlig plats</w:t>
      </w:r>
      <w:r w:rsidRPr="000925A8">
        <w:t xml:space="preserve">, som inte bara inbegriper vissa områden som i detaljplan redovisas som </w:t>
      </w:r>
      <w:r w:rsidRPr="000925A8">
        <w:rPr>
          <w:i/>
        </w:rPr>
        <w:t>al</w:t>
      </w:r>
      <w:r w:rsidRPr="000925A8">
        <w:rPr>
          <w:i/>
        </w:rPr>
        <w:t>l</w:t>
      </w:r>
      <w:r w:rsidRPr="000925A8">
        <w:rPr>
          <w:i/>
        </w:rPr>
        <w:t>män plats</w:t>
      </w:r>
      <w:r w:rsidRPr="000925A8">
        <w:t xml:space="preserve">, är den mest lämpliga för en bestämning av de områden för vilka huvudprincipen bör gälla. </w:t>
      </w:r>
    </w:p>
    <w:p w14:paraId="36650F8F" w14:textId="77777777" w:rsidR="00241093" w:rsidRPr="000925A8" w:rsidRDefault="00241093">
      <w:pPr>
        <w:pStyle w:val="Normaltindrag"/>
      </w:pPr>
      <w:r w:rsidRPr="000925A8">
        <w:t>Det bör ankomma på regeringen att särskilt överväga de frågor som u</w:t>
      </w:r>
      <w:r w:rsidRPr="000925A8">
        <w:t>t</w:t>
      </w:r>
      <w:r w:rsidRPr="000925A8">
        <w:t>skottet nu har pekat på och ta ställning till hur avvägningen mellan de olika intressen som gör sig gällande bör göras. Regeringen bör därefter tillsammans med en redovisning av dessa överväganden återkomma till riksdagen med de lagfö</w:t>
      </w:r>
      <w:r w:rsidRPr="000925A8">
        <w:t>r</w:t>
      </w:r>
      <w:r w:rsidRPr="000925A8">
        <w:t>slag m.m. som kan krävas.</w:t>
      </w:r>
    </w:p>
    <w:p w14:paraId="5E12B58B" w14:textId="77777777" w:rsidR="00241093" w:rsidRPr="000925A8" w:rsidRDefault="00241093">
      <w:pPr>
        <w:pStyle w:val="Normaltindrag"/>
      </w:pPr>
      <w:r w:rsidRPr="000925A8">
        <w:t>Riksdagen bör med anledning av motionerna 2001/02:Bo228 (s) och 2001/02:Bo249 (s) som sin mening ge regeringen till känna vad utskottet ovan anfört om rätten att använda offentlig plats.</w:t>
      </w:r>
    </w:p>
    <w:p w14:paraId="0ECB721C" w14:textId="77777777" w:rsidR="00241093" w:rsidRPr="000925A8" w:rsidRDefault="00241093"/>
    <w:p w14:paraId="2DE56321" w14:textId="77777777" w:rsidR="00241093" w:rsidRPr="000925A8" w:rsidRDefault="00241093">
      <w:pPr>
        <w:pStyle w:val="Normaltindrag"/>
        <w:sectPr w:rsidR="00000000" w:rsidRPr="000925A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14:paraId="5418C35A" w14:textId="77777777" w:rsidR="00241093" w:rsidRPr="000925A8" w:rsidRDefault="00241093">
      <w:pPr>
        <w:pStyle w:val="Rubrik1"/>
        <w:rPr>
          <w:noProof w:val="0"/>
        </w:rPr>
      </w:pPr>
      <w:bookmarkStart w:id="52" w:name="_Toc4898217"/>
      <w:r w:rsidRPr="000925A8">
        <w:rPr>
          <w:noProof w:val="0"/>
        </w:rPr>
        <w:t>Reservationer</w:t>
      </w:r>
      <w:bookmarkEnd w:id="52"/>
    </w:p>
    <w:p w14:paraId="550B2FC8" w14:textId="77777777" w:rsidR="00241093" w:rsidRPr="000925A8" w:rsidRDefault="00241093">
      <w:r w:rsidRPr="000925A8">
        <w:t>Utskottets förslag till riksdagsbeslut och ställningstaganden har föranlett följande reservationer. I rubriken anges inom parentes vilken punkt i utsko</w:t>
      </w:r>
      <w:r w:rsidRPr="000925A8">
        <w:t>t</w:t>
      </w:r>
      <w:r w:rsidRPr="000925A8">
        <w:t>tets förslag till riksdagsbeslut som behandlas i avsnittet.</w:t>
      </w:r>
    </w:p>
    <w:p w14:paraId="2934EE90" w14:textId="77777777" w:rsidR="00241093" w:rsidRPr="000925A8" w:rsidRDefault="00241093">
      <w:pPr>
        <w:pStyle w:val="Reservationspunkt"/>
        <w:rPr>
          <w:noProof w:val="0"/>
        </w:rPr>
      </w:pPr>
      <w:bookmarkStart w:id="53" w:name="_Toc4898218"/>
      <w:r w:rsidRPr="000925A8">
        <w:rPr>
          <w:noProof w:val="0"/>
        </w:rPr>
        <w:t>1.</w:t>
      </w:r>
      <w:r w:rsidRPr="000925A8">
        <w:rPr>
          <w:noProof w:val="0"/>
        </w:rPr>
        <w:tab/>
        <w:t>Övergripande krav på planering (punkt 1)</w:t>
      </w:r>
      <w:bookmarkEnd w:id="53"/>
    </w:p>
    <w:p w14:paraId="6EB0DB28" w14:textId="77777777" w:rsidR="00241093" w:rsidRPr="000925A8" w:rsidRDefault="00241093">
      <w:pPr>
        <w:pStyle w:val="Reservanter"/>
      </w:pPr>
      <w:r w:rsidRPr="000925A8">
        <w:t>av Ulla-Britt Hagström (kd), Annelie Enochson (kd), Rigmor Stenmark (c) och Helena Hillar R</w:t>
      </w:r>
      <w:r w:rsidRPr="000925A8">
        <w:t>o</w:t>
      </w:r>
      <w:r w:rsidRPr="000925A8">
        <w:t>senqvist (mp).</w:t>
      </w:r>
    </w:p>
    <w:p w14:paraId="11D48D5D" w14:textId="77777777" w:rsidR="00241093" w:rsidRPr="000925A8" w:rsidRDefault="00241093">
      <w:pPr>
        <w:pStyle w:val="R4"/>
      </w:pPr>
      <w:r w:rsidRPr="000925A8">
        <w:t>Förslag till riksdagsbeslut</w:t>
      </w:r>
    </w:p>
    <w:p w14:paraId="223FD7C4" w14:textId="77777777" w:rsidR="00241093" w:rsidRPr="000925A8" w:rsidRDefault="00241093">
      <w:r w:rsidRPr="000925A8">
        <w:t>Vi anser att utskottets förslag under punkt 1 borde ha följande lydelse:</w:t>
      </w:r>
    </w:p>
    <w:p w14:paraId="06454FC6" w14:textId="77777777" w:rsidR="00241093" w:rsidRPr="000925A8" w:rsidRDefault="00241093">
      <w:pPr>
        <w:pStyle w:val="Reservantfrslag"/>
      </w:pPr>
      <w:r w:rsidRPr="000925A8">
        <w:t>Riksdagen tillkännager för regeringen som sin mening vad som framförs i reservationen. Därmed bifaller riksdagen motionerna 2001/02:A212 yrkande 13, 2001/02:Bo244 yrkande 17 och 2001/02:MJ341 yrkande 8.</w:t>
      </w:r>
    </w:p>
    <w:p w14:paraId="2C12230B" w14:textId="77777777" w:rsidR="00241093" w:rsidRPr="000925A8" w:rsidRDefault="00241093">
      <w:pPr>
        <w:pStyle w:val="R4"/>
      </w:pPr>
      <w:r w:rsidRPr="000925A8">
        <w:t>Ställningstagande</w:t>
      </w:r>
    </w:p>
    <w:p w14:paraId="4ED714BE" w14:textId="77777777" w:rsidR="00241093" w:rsidRPr="000925A8" w:rsidRDefault="00241093">
      <w:pPr>
        <w:rPr>
          <w:snapToGrid w:val="0"/>
          <w:lang w:eastAsia="sv-SE"/>
        </w:rPr>
      </w:pPr>
      <w:r w:rsidRPr="000925A8">
        <w:rPr>
          <w:snapToGrid w:val="0"/>
          <w:lang w:eastAsia="sv-SE"/>
        </w:rPr>
        <w:t>Samhällsplaneringen har traditionellt utgått från ett perspektiv som kan te sig naturligt för en frisk, medelålders man men som inte tillräckligt tar hänsyn till de behov som finns hos majoriteten av befolkningen. Det är därför nödvä</w:t>
      </w:r>
      <w:r w:rsidRPr="000925A8">
        <w:rPr>
          <w:snapToGrid w:val="0"/>
          <w:lang w:eastAsia="sv-SE"/>
        </w:rPr>
        <w:t>n</w:t>
      </w:r>
      <w:r w:rsidRPr="000925A8">
        <w:rPr>
          <w:snapToGrid w:val="0"/>
          <w:lang w:eastAsia="sv-SE"/>
        </w:rPr>
        <w:t>digt att påverka alla delar i samhällsplaneringen, och då inte minst den fysiska planeringen, så att ett jämställdhetsperspektiv blir utgångspunkten. Vi syftar här på de behov som bl.a. kvinnor, barn, äldre och handikappade ställer på utformningen av bebyggelsen och utemiljön. Dessa frågor tas upp i de akt</w:t>
      </w:r>
      <w:r w:rsidRPr="000925A8">
        <w:rPr>
          <w:snapToGrid w:val="0"/>
          <w:lang w:eastAsia="sv-SE"/>
        </w:rPr>
        <w:t>u</w:t>
      </w:r>
      <w:r w:rsidRPr="000925A8">
        <w:rPr>
          <w:snapToGrid w:val="0"/>
          <w:lang w:eastAsia="sv-SE"/>
        </w:rPr>
        <w:t>ella m</w:t>
      </w:r>
      <w:r w:rsidRPr="000925A8">
        <w:rPr>
          <w:snapToGrid w:val="0"/>
          <w:lang w:eastAsia="sv-SE"/>
        </w:rPr>
        <w:t>o</w:t>
      </w:r>
      <w:r w:rsidRPr="000925A8">
        <w:rPr>
          <w:snapToGrid w:val="0"/>
          <w:lang w:eastAsia="sv-SE"/>
        </w:rPr>
        <w:t xml:space="preserve">tionerna (kd) och (c). </w:t>
      </w:r>
    </w:p>
    <w:p w14:paraId="2C439C42" w14:textId="77777777" w:rsidR="00241093" w:rsidRPr="000925A8" w:rsidRDefault="00241093">
      <w:pPr>
        <w:pStyle w:val="Normaltindrag"/>
      </w:pPr>
      <w:r w:rsidRPr="000925A8">
        <w:t xml:space="preserve">Den fysiska planeringen av vår miljö skall självklart vara könsneutral, men det är </w:t>
      </w:r>
      <w:r w:rsidRPr="000925A8">
        <w:rPr>
          <w:snapToGrid w:val="0"/>
          <w:lang w:eastAsia="sv-SE"/>
        </w:rPr>
        <w:t xml:space="preserve">vår förvissning att om kvinnor i större utsträckning fick ett inflytande i planeringsfrågor skulle resultatet bli bättre för befolkningen som helhet. Många kvinnor har ett vardagsliv som gör att de är mer beroende än män av hur bebyggelse, trafik o.d. utformas och lokaliseras. Enligt vår mening är det därför viktigt att i all planering beakta kvinnoperspektivet. Att anlägga ett kvinnoperspektiv på den fysiska planeringen </w:t>
      </w:r>
      <w:r w:rsidRPr="000925A8">
        <w:t>kan exempelvis handla om att se till att det finns belysning i parker och parkeringshus</w:t>
      </w:r>
      <w:r w:rsidRPr="000925A8">
        <w:t xml:space="preserve"> eller att bebyggelsen utformas så att den fungerar i alla vardagssituationer. Särskilt frågan om en trygg och säker närmiljö är en utgångspunkt som starkt måste lyftas fram i allt plan</w:t>
      </w:r>
      <w:r w:rsidRPr="000925A8">
        <w:t>e</w:t>
      </w:r>
      <w:r w:rsidRPr="000925A8">
        <w:t xml:space="preserve">ringsarbete. </w:t>
      </w:r>
    </w:p>
    <w:p w14:paraId="38CE64A5" w14:textId="77777777" w:rsidR="00241093" w:rsidRPr="000925A8" w:rsidRDefault="00241093">
      <w:pPr>
        <w:pStyle w:val="Normaltindrag"/>
      </w:pPr>
      <w:r w:rsidRPr="000925A8">
        <w:t>I en planering med jämställdhet som ledstjärna skall barn och ungdomar ha en självklar plats i den fysiska planeringen och i den byggda miljön. Jä</w:t>
      </w:r>
      <w:r w:rsidRPr="000925A8">
        <w:t>m</w:t>
      </w:r>
      <w:r w:rsidRPr="000925A8">
        <w:t>ställdhetskravet innebär också att de äldres och de funktionshindrades situ</w:t>
      </w:r>
      <w:r w:rsidRPr="000925A8">
        <w:t>a</w:t>
      </w:r>
      <w:r w:rsidRPr="000925A8">
        <w:t xml:space="preserve">tion skall beaktas. Tillgänglighetsaspekten måste särskilt uppmärksammas i varje planärende. Riksdagens beslut om ökade krav på tillgänglighet måste kontinuerligt följas upp. </w:t>
      </w:r>
    </w:p>
    <w:p w14:paraId="60F7F185" w14:textId="77777777" w:rsidR="00241093" w:rsidRPr="000925A8" w:rsidRDefault="00241093">
      <w:pPr>
        <w:pStyle w:val="Normaltindrag"/>
      </w:pPr>
      <w:r w:rsidRPr="000925A8">
        <w:t>Utskottet behandlar under den aktuella rubriken även en motion om åke</w:t>
      </w:r>
      <w:r w:rsidRPr="000925A8">
        <w:t>r</w:t>
      </w:r>
      <w:r w:rsidRPr="000925A8">
        <w:t>markens betydelse. Vi instämmer i vad som anförs i motion 2001/02:MJ341 (c) om att skyddet för värdefull åkermark måste uppmärksammas särskilt i kommunernas översikt</w:t>
      </w:r>
      <w:r w:rsidRPr="000925A8">
        <w:t>s</w:t>
      </w:r>
      <w:r w:rsidRPr="000925A8">
        <w:t xml:space="preserve">planering. </w:t>
      </w:r>
    </w:p>
    <w:p w14:paraId="22F96485" w14:textId="77777777" w:rsidR="00241093" w:rsidRPr="000925A8" w:rsidRDefault="00241093">
      <w:pPr>
        <w:pStyle w:val="Normaltindrag"/>
      </w:pPr>
      <w:r w:rsidRPr="000925A8">
        <w:t>Regeringen bör enligt vår mening ta initiativ till att samhällsplaneringen utformas utifrån ett jämställdhetsperspektiv. Vi föreslår att riksdagen tillkä</w:t>
      </w:r>
      <w:r w:rsidRPr="000925A8">
        <w:t>n</w:t>
      </w:r>
      <w:r w:rsidRPr="000925A8">
        <w:t>nager för regeringen som sin mening vad vi framfört i denna fråga. Våra förslag lämnas med anledning av motionerna 2001/02:A212 (c) yrkande 13, 2001/02:Bo244 (kd) yrkande 17 och 2001/02:MJ341 (c) yrkande 8.</w:t>
      </w:r>
    </w:p>
    <w:p w14:paraId="5491F6B1" w14:textId="77777777" w:rsidR="00241093" w:rsidRPr="000925A8" w:rsidRDefault="00241093">
      <w:pPr>
        <w:pStyle w:val="Reservationspunkt"/>
        <w:rPr>
          <w:noProof w:val="0"/>
          <w:snapToGrid w:val="0"/>
          <w:lang w:eastAsia="sv-SE"/>
        </w:rPr>
      </w:pPr>
      <w:bookmarkStart w:id="54" w:name="_Toc4898219"/>
      <w:r w:rsidRPr="000925A8">
        <w:rPr>
          <w:noProof w:val="0"/>
          <w:snapToGrid w:val="0"/>
          <w:lang w:eastAsia="sv-SE"/>
        </w:rPr>
        <w:t>2.</w:t>
      </w:r>
      <w:r w:rsidRPr="000925A8">
        <w:rPr>
          <w:noProof w:val="0"/>
          <w:snapToGrid w:val="0"/>
          <w:lang w:eastAsia="sv-SE"/>
        </w:rPr>
        <w:tab/>
        <w:t>Barns inflytande (punkt 2)</w:t>
      </w:r>
      <w:bookmarkEnd w:id="54"/>
    </w:p>
    <w:p w14:paraId="7EB1BCDD" w14:textId="77777777" w:rsidR="00241093" w:rsidRPr="000925A8" w:rsidRDefault="00241093">
      <w:pPr>
        <w:pStyle w:val="Reservanter"/>
        <w:rPr>
          <w:snapToGrid w:val="0"/>
          <w:lang w:eastAsia="sv-SE"/>
        </w:rPr>
      </w:pPr>
      <w:r w:rsidRPr="000925A8">
        <w:rPr>
          <w:snapToGrid w:val="0"/>
          <w:lang w:eastAsia="sv-SE"/>
        </w:rPr>
        <w:t>av Owe Hellberg (v), Sten Lundström (v), Rigmor Stenmark (c), Yvonne Ångström (fp) och Helena Hillar Rosenqvist (mp).</w:t>
      </w:r>
    </w:p>
    <w:p w14:paraId="03A75EF4" w14:textId="77777777" w:rsidR="00241093" w:rsidRPr="000925A8" w:rsidRDefault="00241093">
      <w:pPr>
        <w:pStyle w:val="R4"/>
        <w:rPr>
          <w:snapToGrid w:val="0"/>
          <w:lang w:eastAsia="sv-SE"/>
        </w:rPr>
      </w:pPr>
      <w:r w:rsidRPr="000925A8">
        <w:rPr>
          <w:snapToGrid w:val="0"/>
          <w:lang w:eastAsia="sv-SE"/>
        </w:rPr>
        <w:t>Förslag till riksdagsbeslut</w:t>
      </w:r>
    </w:p>
    <w:p w14:paraId="46F26313" w14:textId="77777777" w:rsidR="00241093" w:rsidRPr="000925A8" w:rsidRDefault="00241093">
      <w:r w:rsidRPr="000925A8">
        <w:t>Vi anser att utskottets förslag under punkt 2 borde ha följande lydelse:</w:t>
      </w:r>
    </w:p>
    <w:p w14:paraId="5BCF9EBA" w14:textId="77777777" w:rsidR="00241093" w:rsidRPr="000925A8" w:rsidRDefault="00241093">
      <w:pPr>
        <w:pStyle w:val="Reservantfrslag"/>
        <w:rPr>
          <w:snapToGrid w:val="0"/>
          <w:lang w:eastAsia="sv-SE"/>
        </w:rPr>
      </w:pPr>
      <w:r w:rsidRPr="000925A8">
        <w:t xml:space="preserve">Riksdagen tillkännager för regeringen som sin mening vad som framförs i reservationen. Därmed bifaller riksdagen motionerna 2001/02:Bo244 yrkande 16, 2001/02:Bo256 yrkande 1 och 2001/02:K284 yrkande 15.        </w:t>
      </w:r>
    </w:p>
    <w:p w14:paraId="470922B5" w14:textId="77777777" w:rsidR="00241093" w:rsidRPr="000925A8" w:rsidRDefault="00241093">
      <w:pPr>
        <w:pStyle w:val="R4"/>
        <w:rPr>
          <w:snapToGrid w:val="0"/>
          <w:lang w:eastAsia="sv-SE"/>
        </w:rPr>
      </w:pPr>
      <w:r w:rsidRPr="000925A8">
        <w:rPr>
          <w:snapToGrid w:val="0"/>
          <w:lang w:eastAsia="sv-SE"/>
        </w:rPr>
        <w:t>Ställningstagande</w:t>
      </w:r>
    </w:p>
    <w:p w14:paraId="44854B20" w14:textId="77777777" w:rsidR="00241093" w:rsidRPr="000925A8" w:rsidRDefault="00241093">
      <w:pPr>
        <w:rPr>
          <w:snapToGrid w:val="0"/>
          <w:lang w:eastAsia="sv-SE"/>
        </w:rPr>
      </w:pPr>
      <w:r w:rsidRPr="000925A8">
        <w:rPr>
          <w:snapToGrid w:val="0"/>
          <w:lang w:eastAsia="sv-SE"/>
        </w:rPr>
        <w:t xml:space="preserve">I FN:s barnkonvention slås fast att barnens bästa alltid skall komma i första rummet och att barnet har rätt att uttrycka sin mening i alla frågor som berör det. </w:t>
      </w:r>
      <w:r w:rsidRPr="000925A8">
        <w:t xml:space="preserve">I barnkonventionen står det vidare att det barn som är i stånd att bilda egna åsikter skall tillmätas betydelse i förhållande till ålder och mognad. Konventionen säger med andra ord att den fysiska planeringen skall ske i samråd </w:t>
      </w:r>
      <w:r w:rsidRPr="000925A8">
        <w:rPr>
          <w:i/>
        </w:rPr>
        <w:t>med</w:t>
      </w:r>
      <w:r w:rsidRPr="000925A8">
        <w:t xml:space="preserve"> barnen, inte </w:t>
      </w:r>
      <w:r w:rsidRPr="000925A8">
        <w:rPr>
          <w:i/>
        </w:rPr>
        <w:t>för</w:t>
      </w:r>
      <w:r w:rsidRPr="000925A8">
        <w:t xml:space="preserve"> barnen. </w:t>
      </w:r>
    </w:p>
    <w:p w14:paraId="489FEE81" w14:textId="77777777" w:rsidR="00241093" w:rsidRPr="000925A8" w:rsidRDefault="00241093">
      <w:pPr>
        <w:pStyle w:val="Normaltindrag"/>
      </w:pPr>
      <w:r w:rsidRPr="000925A8">
        <w:t>Planeringen av både byggnader och utemiljö måste ske mycket mer utifrån ett ”enmetersperspektiv”, dvs. med utgångspunkt från hur barn uppfattar och använder miljön. Barnens säkerhet måste också tillmätas större vikt i den fysiska planeringen och i utfor</w:t>
      </w:r>
      <w:r w:rsidRPr="000925A8">
        <w:t xml:space="preserve">mningen av bostäderna. </w:t>
      </w:r>
      <w:r w:rsidRPr="000925A8">
        <w:rPr>
          <w:snapToGrid w:val="0"/>
          <w:color w:val="000000"/>
          <w:sz w:val="18"/>
          <w:lang w:eastAsia="sv-SE"/>
        </w:rPr>
        <w:t xml:space="preserve">Olika undersökningar visar att </w:t>
      </w:r>
      <w:r w:rsidRPr="000925A8">
        <w:t>många barn och ungdomar i dag känner sig otrygga i miljön i närh</w:t>
      </w:r>
      <w:r w:rsidRPr="000925A8">
        <w:t>e</w:t>
      </w:r>
      <w:r w:rsidRPr="000925A8">
        <w:t>ten av hemmet. Detta gäller särskilt under vägen till och från sk</w:t>
      </w:r>
      <w:r w:rsidRPr="000925A8">
        <w:t>o</w:t>
      </w:r>
      <w:r w:rsidRPr="000925A8">
        <w:t>lan.</w:t>
      </w:r>
    </w:p>
    <w:p w14:paraId="3A8DA993" w14:textId="77777777" w:rsidR="00241093" w:rsidRPr="000925A8" w:rsidRDefault="00241093">
      <w:pPr>
        <w:pStyle w:val="Normaltindrag"/>
      </w:pPr>
      <w:r w:rsidRPr="000925A8">
        <w:t>Vid planering av nya stadsdelar, upprustning av äldre bostadsområden samt vid sanering av städernas inre delar är det viktigt att lekens betydelse beaktas. I dag finns det mycket kunskap om lek och stadsplanering som inte tas till vara. Barnens rätt till en trygg och fri utemiljö måste vara en grundp</w:t>
      </w:r>
      <w:r w:rsidRPr="000925A8">
        <w:t>e</w:t>
      </w:r>
      <w:r w:rsidRPr="000925A8">
        <w:t>lare i samhällsbyggandet. Unga måste ges möjlighet att förflytta sig på egen hand mellan fritidsaktiviteter, skola och hem.</w:t>
      </w:r>
    </w:p>
    <w:p w14:paraId="67AF36A7" w14:textId="77777777" w:rsidR="00241093" w:rsidRPr="000925A8" w:rsidRDefault="00241093">
      <w:pPr>
        <w:pStyle w:val="Normaltindrag"/>
      </w:pPr>
      <w:r w:rsidRPr="000925A8">
        <w:rPr>
          <w:snapToGrid w:val="0"/>
          <w:lang w:eastAsia="sv-SE"/>
        </w:rPr>
        <w:t xml:space="preserve">I målen för den svenska bostadspolitiken betonas vikten av att främja en god uppväxt för barn och ungdom. Detta har dock dålig förankring i den svenska lagstiftningen. Däremot finns det på andra håll exempel på hur man kan bevaka barns intressen. </w:t>
      </w:r>
      <w:r w:rsidRPr="000925A8">
        <w:t>I Norge har man fastställt rikspolitiska riktlinjer som säger att kommunerna skall lägga upp planeringsarbetet så att barns och ungdomars synpunkter kommer fram. En följd av detta är att staten ålagt en ansvarig tjänsteman att ta till vara barnens intresse i dessa frågor. Sverige bör naturligtvis följa detta e</w:t>
      </w:r>
      <w:r w:rsidRPr="000925A8">
        <w:t>x</w:t>
      </w:r>
      <w:r w:rsidRPr="000925A8">
        <w:t xml:space="preserve">empel. </w:t>
      </w:r>
    </w:p>
    <w:p w14:paraId="47D0A518" w14:textId="77777777" w:rsidR="00241093" w:rsidRPr="000925A8" w:rsidRDefault="00241093">
      <w:pPr>
        <w:pStyle w:val="Normaltindrag"/>
      </w:pPr>
      <w:r w:rsidRPr="000925A8">
        <w:t>I en socialt hållbar stad skall rumslig segregation motverkas genom bla</w:t>
      </w:r>
      <w:r w:rsidRPr="000925A8">
        <w:t>n</w:t>
      </w:r>
      <w:r w:rsidRPr="000925A8">
        <w:t>dade upplåtelseformer och bebyggelsetyper så att barn med olika social ba</w:t>
      </w:r>
      <w:r w:rsidRPr="000925A8">
        <w:t>k</w:t>
      </w:r>
      <w:r w:rsidRPr="000925A8">
        <w:t xml:space="preserve">grund ges förutsättningar att träffas. Bra samhällsbyggande skall låta barn och ungdomar vara med och påverka sin livssituation utifrån sitt tänkande och sina erfarenheter. Regeringen bör lämna förslag till nationella riktlinjer för barns deltagande och rättigheter i samhällsplaneringen. </w:t>
      </w:r>
    </w:p>
    <w:p w14:paraId="2A5A704C" w14:textId="77777777" w:rsidR="00241093" w:rsidRPr="000925A8" w:rsidRDefault="00241093">
      <w:pPr>
        <w:pStyle w:val="Normaltindrag"/>
      </w:pPr>
      <w:r w:rsidRPr="000925A8">
        <w:t>Vad som ovan anförts om barns och ungdomars medverkan och inflytande i samhällsplaneringen bör ges regeringen till känna. Vårt förslag lämnas med a</w:t>
      </w:r>
      <w:r w:rsidRPr="000925A8">
        <w:t>nledning av vad som anförs i motionerna 2001/02:Bo244 (kd) yrkande 16, 2001/02:Bo256 (v) yrkande 1 och 2001/02:K284 (c) yrkande 15.</w:t>
      </w:r>
    </w:p>
    <w:p w14:paraId="6A92E0A2" w14:textId="77777777" w:rsidR="00241093" w:rsidRPr="000925A8" w:rsidRDefault="00241093">
      <w:pPr>
        <w:pStyle w:val="Reservationspunkt"/>
        <w:rPr>
          <w:noProof w:val="0"/>
        </w:rPr>
      </w:pPr>
      <w:bookmarkStart w:id="55" w:name="_Toc4898220"/>
      <w:r w:rsidRPr="000925A8">
        <w:rPr>
          <w:noProof w:val="0"/>
        </w:rPr>
        <w:t>3.</w:t>
      </w:r>
      <w:r w:rsidRPr="000925A8">
        <w:rPr>
          <w:noProof w:val="0"/>
        </w:rPr>
        <w:tab/>
        <w:t>Barns inflytande (punkt 2)</w:t>
      </w:r>
      <w:bookmarkEnd w:id="55"/>
    </w:p>
    <w:p w14:paraId="1FC09C91" w14:textId="77777777" w:rsidR="00241093" w:rsidRPr="000925A8" w:rsidRDefault="00241093">
      <w:pPr>
        <w:pStyle w:val="Reservanter"/>
      </w:pPr>
      <w:r w:rsidRPr="000925A8">
        <w:t>av Ulla-Britt Hagström (kd) och Annelie Enochson (kd).</w:t>
      </w:r>
    </w:p>
    <w:p w14:paraId="3B4327DD" w14:textId="77777777" w:rsidR="00241093" w:rsidRPr="000925A8" w:rsidRDefault="00241093">
      <w:pPr>
        <w:pStyle w:val="R4"/>
      </w:pPr>
      <w:r w:rsidRPr="000925A8">
        <w:t>Förslag till riksdagsbeslut</w:t>
      </w:r>
    </w:p>
    <w:p w14:paraId="1A5D242D" w14:textId="77777777" w:rsidR="00241093" w:rsidRPr="000925A8" w:rsidRDefault="00241093">
      <w:r w:rsidRPr="000925A8">
        <w:t>Vi anser att utskottets förslag under punkt 2 borde ha följande lydelse:</w:t>
      </w:r>
    </w:p>
    <w:p w14:paraId="0241927E" w14:textId="77777777" w:rsidR="00241093" w:rsidRPr="000925A8" w:rsidRDefault="00241093">
      <w:pPr>
        <w:pStyle w:val="Reservantfrslag"/>
      </w:pPr>
      <w:r w:rsidRPr="000925A8">
        <w:t>Riksdagen tillkännager för regeringen som sin mening vad som framförs i reservationen. Därmed bifaller riksdagen motionerna 2001/02:Bo244 yrkande 16 samt avslår motionerna 2001/02:Bo256 yrkande 1 och 2001/02:K284 yr</w:t>
      </w:r>
      <w:r w:rsidRPr="000925A8">
        <w:softHyphen/>
        <w:t>kande 15.</w:t>
      </w:r>
    </w:p>
    <w:p w14:paraId="289D8B78" w14:textId="77777777" w:rsidR="00241093" w:rsidRPr="000925A8" w:rsidRDefault="00241093">
      <w:pPr>
        <w:pStyle w:val="R4"/>
      </w:pPr>
      <w:r w:rsidRPr="000925A8">
        <w:t>Ställningstagande</w:t>
      </w:r>
    </w:p>
    <w:p w14:paraId="3EFC4E11" w14:textId="77777777" w:rsidR="00241093" w:rsidRPr="000925A8" w:rsidRDefault="00241093">
      <w:r w:rsidRPr="000925A8">
        <w:t>All planering bör bedrivas med kravet på jämställdhet som ledstjärna. I en sådan strategi bör barnens och ungdomarnas perspektiv på utformningen av den byggda miljön inta en självklar plats. Planeringen måste i betydligt större utsträckning än i dag bedrivas utifrån ett ”enmeters</w:t>
      </w:r>
      <w:r w:rsidRPr="000925A8">
        <w:softHyphen/>
        <w:t>perspektiv”. Det innebär att den byggda miljön måste utformas med utgångspunkt från barnens villkor och hur barn uppfattar sin omgivning. Denna utgångspunkt skall givetvis inte endast tillämpas på de miljöer som är särskilt avsedda för barn, som skolgå</w:t>
      </w:r>
      <w:r w:rsidRPr="000925A8">
        <w:t>r</w:t>
      </w:r>
      <w:r w:rsidRPr="000925A8">
        <w:t xml:space="preserve">dar och lekplatser, utan även på bostadsområden, gaturummet och offentliga platser i övrigt. Hela samhället skall i största möjliga utsträckning fungera för alla, oavsett ålder, kön och handikapp. </w:t>
      </w:r>
    </w:p>
    <w:p w14:paraId="704BB9FD" w14:textId="77777777" w:rsidR="00241093" w:rsidRPr="000925A8" w:rsidRDefault="00241093">
      <w:pPr>
        <w:pStyle w:val="Normaltindrag"/>
      </w:pPr>
      <w:r w:rsidRPr="000925A8">
        <w:t>I FN:s konvention om barnens rättigheter står det att barnen</w:t>
      </w:r>
      <w:r w:rsidRPr="000925A8">
        <w:t>s bästa skall komma i främsta rummet vid alla åtgärder som rör barn. Det står vidare att det barn som är i stånd att bilda egna åsikter skall tillmätas betydelse i fö</w:t>
      </w:r>
      <w:r w:rsidRPr="000925A8">
        <w:t>r</w:t>
      </w:r>
      <w:r w:rsidRPr="000925A8">
        <w:t xml:space="preserve">hållande till ålder och mognad. Konventionen säger med andra ord att olika ställningstaganden skall ske i samråd </w:t>
      </w:r>
      <w:r w:rsidRPr="000925A8">
        <w:rPr>
          <w:i/>
        </w:rPr>
        <w:t>med</w:t>
      </w:r>
      <w:r w:rsidRPr="000925A8">
        <w:t xml:space="preserve"> barnen, inte </w:t>
      </w:r>
      <w:r w:rsidRPr="000925A8">
        <w:rPr>
          <w:i/>
        </w:rPr>
        <w:t xml:space="preserve">för </w:t>
      </w:r>
      <w:r w:rsidRPr="000925A8">
        <w:t>barnen. Detta sy</w:t>
      </w:r>
      <w:r w:rsidRPr="000925A8">
        <w:t>n</w:t>
      </w:r>
      <w:r w:rsidRPr="000925A8">
        <w:t xml:space="preserve">sätt bör också få genomslag i kommunernas fysiska planering. Goda exempel från kommuner som tillämpar denna princip bör tas fram och ges spridning. </w:t>
      </w:r>
    </w:p>
    <w:p w14:paraId="242B1A9E" w14:textId="77777777" w:rsidR="00241093" w:rsidRPr="000925A8" w:rsidRDefault="00241093">
      <w:pPr>
        <w:pStyle w:val="Normaltindrag"/>
      </w:pPr>
      <w:r w:rsidRPr="000925A8">
        <w:t>Vi anser att det bör ankomma på regeringen at</w:t>
      </w:r>
      <w:r w:rsidRPr="000925A8">
        <w:t>t ta de initiativ som kan b</w:t>
      </w:r>
      <w:r w:rsidRPr="000925A8">
        <w:t>e</w:t>
      </w:r>
      <w:r w:rsidRPr="000925A8">
        <w:t>hövas för att för att öka barnens delaktighet i utformningen av vår geme</w:t>
      </w:r>
      <w:r w:rsidRPr="000925A8">
        <w:t>n</w:t>
      </w:r>
      <w:r w:rsidRPr="000925A8">
        <w:t xml:space="preserve">samma miljö. </w:t>
      </w:r>
    </w:p>
    <w:p w14:paraId="24A8F50B" w14:textId="77777777" w:rsidR="00241093" w:rsidRPr="000925A8" w:rsidRDefault="00241093">
      <w:pPr>
        <w:pStyle w:val="Normaltindrag"/>
      </w:pPr>
      <w:r w:rsidRPr="000925A8">
        <w:t>Riksdagen bör med anledning av motion 2001/02:Bo244 (kd) yrkande 16 som sin mening ge regeringen till känna vad vi framfört om behovet av ett barnperspektiv i samhällsplaneringen.</w:t>
      </w:r>
    </w:p>
    <w:p w14:paraId="00CD7214" w14:textId="77777777" w:rsidR="00241093" w:rsidRPr="000925A8" w:rsidRDefault="00241093">
      <w:pPr>
        <w:pStyle w:val="Reservationspunkt"/>
        <w:rPr>
          <w:noProof w:val="0"/>
        </w:rPr>
      </w:pPr>
      <w:bookmarkStart w:id="56" w:name="_Toc4898221"/>
      <w:r w:rsidRPr="000925A8">
        <w:rPr>
          <w:noProof w:val="0"/>
        </w:rPr>
        <w:t>4.</w:t>
      </w:r>
      <w:r w:rsidRPr="000925A8">
        <w:rPr>
          <w:noProof w:val="0"/>
        </w:rPr>
        <w:tab/>
        <w:t>Regionala frågor (punkt 3)</w:t>
      </w:r>
      <w:bookmarkEnd w:id="56"/>
    </w:p>
    <w:p w14:paraId="649E1CE4" w14:textId="77777777" w:rsidR="00241093" w:rsidRPr="000925A8" w:rsidRDefault="00241093">
      <w:pPr>
        <w:pStyle w:val="Reservanter"/>
      </w:pPr>
      <w:r w:rsidRPr="000925A8">
        <w:t>av Ulla-Britt Hagström (kd), Annelie Enochson (kd), Rigmor Stenmark (c) och Yvonne Ångström (fp).</w:t>
      </w:r>
    </w:p>
    <w:p w14:paraId="20C73671" w14:textId="77777777" w:rsidR="00241093" w:rsidRPr="000925A8" w:rsidRDefault="00241093">
      <w:pPr>
        <w:pStyle w:val="R4"/>
      </w:pPr>
      <w:r w:rsidRPr="000925A8">
        <w:t>Förslag till riksdagsbeslut</w:t>
      </w:r>
    </w:p>
    <w:p w14:paraId="1580434D" w14:textId="77777777" w:rsidR="00241093" w:rsidRPr="000925A8" w:rsidRDefault="00241093">
      <w:r w:rsidRPr="000925A8">
        <w:t>Vi anser att utskottets förslag under punkt 3 borde ha följande lydelse:</w:t>
      </w:r>
    </w:p>
    <w:p w14:paraId="74A2A7ED" w14:textId="77777777" w:rsidR="00241093" w:rsidRPr="000925A8" w:rsidRDefault="00241093">
      <w:pPr>
        <w:pStyle w:val="Reservantfrslag"/>
      </w:pPr>
      <w:r w:rsidRPr="000925A8">
        <w:t xml:space="preserve">Riksdagen tillkännager för regeringen som sin mening vad som framförs i reservationen. Därmed bifaller riksdagen motion </w:t>
      </w:r>
      <w:r w:rsidRPr="000925A8">
        <w:rPr>
          <w:rFonts w:ascii="Boverket Utopia Normal" w:hAnsi="Boverket Utopia Normal"/>
          <w:snapToGrid w:val="0"/>
          <w:sz w:val="20"/>
          <w:lang w:eastAsia="sv-SE"/>
        </w:rPr>
        <w:t>2001/02:Bo244 yrkande 10 och avslår motion 2001/02:Bo297.</w:t>
      </w:r>
    </w:p>
    <w:p w14:paraId="1F112FD4" w14:textId="77777777" w:rsidR="00241093" w:rsidRPr="000925A8" w:rsidRDefault="00241093">
      <w:pPr>
        <w:pStyle w:val="R4"/>
      </w:pPr>
      <w:r w:rsidRPr="000925A8">
        <w:t>Ställningstagande</w:t>
      </w:r>
    </w:p>
    <w:p w14:paraId="71648DE3" w14:textId="77777777" w:rsidR="00241093" w:rsidRPr="000925A8" w:rsidRDefault="00241093">
      <w:r w:rsidRPr="000925A8">
        <w:t>Vi har under de senaste åren kunnat konstatera en allt större befolkningsström från landsbygden till städerna. Avfolkningsområdena blir allt större, och i dag lever 55 % av befolkningen i kommuner med bostadsöverskott, överdime</w:t>
      </w:r>
      <w:r w:rsidRPr="000925A8">
        <w:t>n</w:t>
      </w:r>
      <w:r w:rsidRPr="000925A8">
        <w:t>sionerad infrastruktur och ödsliga torg. Sedan år 1995 har 208 av Sveriges 289 kommuner fått minskad befolkning. Denna utveckling ställer stora och utmanande krav på planerarkompetensen i dessa kommuner. Det gäller att anpassa sig till en situation med vikande befolkningsunderlag, men samtidigt skapa förutsättningar för en vidareu</w:t>
      </w:r>
      <w:r w:rsidRPr="000925A8">
        <w:t>t</w:t>
      </w:r>
      <w:r w:rsidRPr="000925A8">
        <w:t>veckling av kommunen med nya visioner.</w:t>
      </w:r>
    </w:p>
    <w:p w14:paraId="39A42E4F" w14:textId="77777777" w:rsidR="00241093" w:rsidRPr="000925A8" w:rsidRDefault="00241093">
      <w:pPr>
        <w:pStyle w:val="Normaltindrag"/>
      </w:pPr>
      <w:r w:rsidRPr="000925A8">
        <w:t>Det är nödvändigt att på alla områden söka motverka den regionala kly</w:t>
      </w:r>
      <w:r w:rsidRPr="000925A8">
        <w:t>v</w:t>
      </w:r>
      <w:r w:rsidRPr="000925A8">
        <w:t>ningen av landet i en överhettad del och en del som kämpar för sin överle</w:t>
      </w:r>
      <w:r w:rsidRPr="000925A8">
        <w:t>v</w:t>
      </w:r>
      <w:r w:rsidRPr="000925A8">
        <w:t>nad. Inte minst i delar av Norrland måste förutsättningarna för en positiv samhällsutveckling förbättras. I detta sammanhang kan även de instrument som den fysiska planeringen ställer till vårt förfogande ha en avgörande bet</w:t>
      </w:r>
      <w:r w:rsidRPr="000925A8">
        <w:t>y</w:t>
      </w:r>
      <w:r w:rsidRPr="000925A8">
        <w:t xml:space="preserve">delse. En bättre anpassning av planeringens förutsättningar till behoven i varje region kan aktivt bidra till det självklara målet att hela Sverige skall leva.  </w:t>
      </w:r>
    </w:p>
    <w:p w14:paraId="6A915574" w14:textId="77777777" w:rsidR="00241093" w:rsidRPr="000925A8" w:rsidRDefault="00241093">
      <w:pPr>
        <w:pStyle w:val="Normaltindrag"/>
      </w:pPr>
      <w:r w:rsidRPr="000925A8">
        <w:t>Andra områden som särskilt bör uppmärksammas är vå</w:t>
      </w:r>
      <w:r w:rsidRPr="000925A8">
        <w:t>ra skärgårdar, där man under några korta sommarmånader har en stor befolkning av somma</w:t>
      </w:r>
      <w:r w:rsidRPr="000925A8">
        <w:t>r</w:t>
      </w:r>
      <w:r w:rsidRPr="000925A8">
        <w:t>gäster och turister medan man övriga delen av året har tomma hus, ödsliga vägar och brist på serviceinrättningar. Förutsättningarna att köpa bostäder behöver förbättras för den helårsboende befolkningen så att kvarboendet och inflyttningen stimuleras. Därmed underlättas också möjligheterna för ko</w:t>
      </w:r>
      <w:r w:rsidRPr="000925A8">
        <w:t>m</w:t>
      </w:r>
      <w:r w:rsidRPr="000925A8">
        <w:t>munerna att upprätthålla service och arbetstillfällen i de traditionella sa</w:t>
      </w:r>
      <w:r w:rsidRPr="000925A8">
        <w:t>m</w:t>
      </w:r>
      <w:r w:rsidRPr="000925A8">
        <w:t>hällskärno</w:t>
      </w:r>
      <w:r w:rsidRPr="000925A8">
        <w:t>r</w:t>
      </w:r>
      <w:r w:rsidRPr="000925A8">
        <w:t xml:space="preserve">na. </w:t>
      </w:r>
    </w:p>
    <w:p w14:paraId="64882B4A" w14:textId="77777777" w:rsidR="00241093" w:rsidRPr="000925A8" w:rsidRDefault="00241093">
      <w:pPr>
        <w:pStyle w:val="Normaltindrag"/>
      </w:pPr>
      <w:r w:rsidRPr="000925A8">
        <w:t>Våra tillväxtområden har ett omvänt</w:t>
      </w:r>
      <w:r w:rsidRPr="000925A8">
        <w:t xml:space="preserve"> problem med bostadsbrist, överhettad infrastruktur, brist på tysta områden och bebyggelsebar mark. Här måste andra åtgärder till för att ge kommunerna incitament till att öka sitt bostad</w:t>
      </w:r>
      <w:r w:rsidRPr="000925A8">
        <w:t>s</w:t>
      </w:r>
      <w:r w:rsidRPr="000925A8">
        <w:t xml:space="preserve">byggande. Boendepolitiken i Sverige kan inte längre utformas lika över hela landet. </w:t>
      </w:r>
    </w:p>
    <w:p w14:paraId="56F1A227" w14:textId="77777777" w:rsidR="00241093" w:rsidRPr="000925A8" w:rsidRDefault="00241093">
      <w:pPr>
        <w:pStyle w:val="Normaltindrag"/>
      </w:pPr>
      <w:r w:rsidRPr="000925A8">
        <w:t>De skilda förutsättningar för samhällplaneringen som råder i olika delar av landet måste komma till uttryck också i den lagstiftning som sätter upp r</w:t>
      </w:r>
      <w:r w:rsidRPr="000925A8">
        <w:t>a</w:t>
      </w:r>
      <w:r w:rsidRPr="000925A8">
        <w:t xml:space="preserve">marna för planeringen. Vi anser därför att regeringen bör utreda hur denna lagstiftning i större utsträckning kan ta hänsyn till regionala skillnader och behov. </w:t>
      </w:r>
    </w:p>
    <w:p w14:paraId="0EE69E11" w14:textId="77777777" w:rsidR="00241093" w:rsidRPr="000925A8" w:rsidRDefault="00241093">
      <w:pPr>
        <w:pStyle w:val="Normaltindrag"/>
      </w:pPr>
      <w:r w:rsidRPr="000925A8">
        <w:t>Vad vi nu anfört med anledning av motion 2001/02:Bo244 (kd) yrkande 10 bör riksdagen som sin mening ge regeringen till känna.</w:t>
      </w:r>
    </w:p>
    <w:p w14:paraId="404ABB3B" w14:textId="77777777" w:rsidR="00241093" w:rsidRPr="000925A8" w:rsidRDefault="00241093">
      <w:pPr>
        <w:pStyle w:val="Reservationspunkt"/>
        <w:rPr>
          <w:noProof w:val="0"/>
        </w:rPr>
      </w:pPr>
      <w:bookmarkStart w:id="57" w:name="_Toc4898222"/>
      <w:r w:rsidRPr="000925A8">
        <w:rPr>
          <w:noProof w:val="0"/>
        </w:rPr>
        <w:t>5.</w:t>
      </w:r>
      <w:r w:rsidRPr="000925A8">
        <w:rPr>
          <w:noProof w:val="0"/>
        </w:rPr>
        <w:tab/>
        <w:t>Regionala frågor (punkt 3)</w:t>
      </w:r>
      <w:bookmarkEnd w:id="57"/>
    </w:p>
    <w:p w14:paraId="0DFDA419" w14:textId="77777777" w:rsidR="00241093" w:rsidRPr="000925A8" w:rsidRDefault="00241093">
      <w:pPr>
        <w:pStyle w:val="Reservanter"/>
      </w:pPr>
      <w:r w:rsidRPr="000925A8">
        <w:t>av Owe Hellberg (v) och Sten Lundström (v).</w:t>
      </w:r>
    </w:p>
    <w:p w14:paraId="568D0881" w14:textId="77777777" w:rsidR="00241093" w:rsidRPr="000925A8" w:rsidRDefault="00241093">
      <w:pPr>
        <w:pStyle w:val="R4"/>
      </w:pPr>
      <w:r w:rsidRPr="000925A8">
        <w:t>Förslag till riksdagsbeslut</w:t>
      </w:r>
    </w:p>
    <w:p w14:paraId="7B8C2A41" w14:textId="77777777" w:rsidR="00241093" w:rsidRPr="000925A8" w:rsidRDefault="00241093">
      <w:r w:rsidRPr="000925A8">
        <w:t>Vi anser att utskottets förslag under punkt 3 borde ha följande lydelse:</w:t>
      </w:r>
    </w:p>
    <w:p w14:paraId="4B3E074F" w14:textId="77777777" w:rsidR="00241093" w:rsidRPr="000925A8" w:rsidRDefault="00241093">
      <w:pPr>
        <w:pStyle w:val="Reservantfrslag"/>
      </w:pPr>
      <w:r w:rsidRPr="000925A8">
        <w:t xml:space="preserve">Riksdagen tillkännager för regeringen som sin mening vad som framförs i reservationen. Därmed bifaller riksdagen motion </w:t>
      </w:r>
      <w:r w:rsidRPr="000925A8">
        <w:rPr>
          <w:rFonts w:ascii="Boverket Utopia Normal" w:hAnsi="Boverket Utopia Normal"/>
          <w:snapToGrid w:val="0"/>
          <w:sz w:val="20"/>
          <w:lang w:eastAsia="sv-SE"/>
        </w:rPr>
        <w:t>2001/02:Bo297 och avslår motion 2001/02:Bo244 yrkande 10.</w:t>
      </w:r>
    </w:p>
    <w:p w14:paraId="25AB39BE" w14:textId="77777777" w:rsidR="00241093" w:rsidRPr="000925A8" w:rsidRDefault="00241093">
      <w:pPr>
        <w:pStyle w:val="R4"/>
      </w:pPr>
      <w:r w:rsidRPr="000925A8">
        <w:t>Ställningstagande</w:t>
      </w:r>
    </w:p>
    <w:p w14:paraId="34D2F1E9" w14:textId="77777777" w:rsidR="00241093" w:rsidRPr="000925A8" w:rsidRDefault="00241093">
      <w:r w:rsidRPr="000925A8">
        <w:t>Det finns i dag inget användbart planinstitut för utveckling och exploatering som omfattar flera kommuner och regioner. Bostäder planeras lokalt i de enskilda kommunerna, vägar planeras av Vägverket och järnvägar av Banve</w:t>
      </w:r>
      <w:r w:rsidRPr="000925A8">
        <w:t>r</w:t>
      </w:r>
      <w:r w:rsidRPr="000925A8">
        <w:t>ket. Fördelningen av högskoleplatser bestäms av staten och placeringen av sjukhus av landstingen. De sektorsövergripande aspekterna saknar ofta bely</w:t>
      </w:r>
      <w:r w:rsidRPr="000925A8">
        <w:t>s</w:t>
      </w:r>
      <w:r w:rsidRPr="000925A8">
        <w:t>ning vid planering av infr</w:t>
      </w:r>
      <w:r w:rsidRPr="000925A8">
        <w:t>a</w:t>
      </w:r>
      <w:r w:rsidRPr="000925A8">
        <w:t>struktur och bostadsbyggande.</w:t>
      </w:r>
    </w:p>
    <w:p w14:paraId="1B9740DA" w14:textId="77777777" w:rsidR="00241093" w:rsidRPr="000925A8" w:rsidRDefault="00241093">
      <w:pPr>
        <w:pStyle w:val="Normaltindrag"/>
      </w:pPr>
      <w:r w:rsidRPr="000925A8">
        <w:t>Det bör utvecklas ett planeringsinstrument för infrastruktur- och bebygge</w:t>
      </w:r>
      <w:r w:rsidRPr="000925A8">
        <w:t>l</w:t>
      </w:r>
      <w:r w:rsidRPr="000925A8">
        <w:t>seutveckling på regional nivå. Detta skall möjliggöra för flera samhällsorgan att analysera, samordna och utveckla övergripande strategier för utbyggnaden av infrastruktur och bostäder där parterna har gemensamma intressen. Avsi</w:t>
      </w:r>
      <w:r w:rsidRPr="000925A8">
        <w:t>k</w:t>
      </w:r>
      <w:r w:rsidRPr="000925A8">
        <w:t>ten med regional samhällsplanering är i första hand att öka kunskapen och förståelsen för de samband som finns i en region med gemensam arbets- och bostadsmarknad. Utöver detta bör det finnas möjligheter att på regional nivå påskynda en för regionen gynnsam utveckling vad gäller bo</w:t>
      </w:r>
      <w:r w:rsidRPr="000925A8">
        <w:t>stadsbyggande och infr</w:t>
      </w:r>
      <w:r w:rsidRPr="000925A8">
        <w:t>a</w:t>
      </w:r>
      <w:r w:rsidRPr="000925A8">
        <w:t xml:space="preserve">struktur. </w:t>
      </w:r>
    </w:p>
    <w:p w14:paraId="149FB06F" w14:textId="77777777" w:rsidR="00241093" w:rsidRPr="000925A8" w:rsidRDefault="00241093">
      <w:pPr>
        <w:pStyle w:val="Normaltindrag"/>
      </w:pPr>
      <w:r w:rsidRPr="000925A8">
        <w:t>Regional samhällsplanering har sin motsvarighet i uppbyggnaden av d</w:t>
      </w:r>
      <w:r w:rsidRPr="000925A8">
        <w:t>a</w:t>
      </w:r>
      <w:r w:rsidRPr="000925A8">
        <w:t>gens moderna samhälle. Med informationsteknik och bra kollektivtrafik sk</w:t>
      </w:r>
      <w:r w:rsidRPr="000925A8">
        <w:t>a</w:t>
      </w:r>
      <w:r w:rsidRPr="000925A8">
        <w:t>pas förutsättningar för människor att bo, arbeta och bedriva fritidsaktiviteter inom ett betydligt större område än vad som var möjligt för några få årtionden sedan. En förutsättning för att utveckla dessa möjligheter är att en öve</w:t>
      </w:r>
      <w:r w:rsidRPr="000925A8">
        <w:t>r</w:t>
      </w:r>
      <w:r w:rsidRPr="000925A8">
        <w:t>gripande samordning mellan flera kommuner och samhällsorgan kommer till stånd. Områden som skulle kunna bli aktuella att behandla i det nya plani</w:t>
      </w:r>
      <w:r w:rsidRPr="000925A8">
        <w:t>n</w:t>
      </w:r>
      <w:r w:rsidRPr="000925A8">
        <w:t>strumentet är t.ex. hälso- och sjukvård, transporter, näring</w:t>
      </w:r>
      <w:r w:rsidRPr="000925A8">
        <w:t>sliv, bostadsby</w:t>
      </w:r>
      <w:r w:rsidRPr="000925A8">
        <w:t>g</w:t>
      </w:r>
      <w:r w:rsidRPr="000925A8">
        <w:t>gande, utbildning, miljö, kulturmiljö, kultur och arbet</w:t>
      </w:r>
      <w:r w:rsidRPr="000925A8">
        <w:t>s</w:t>
      </w:r>
      <w:r w:rsidRPr="000925A8">
        <w:t xml:space="preserve">marknad. </w:t>
      </w:r>
    </w:p>
    <w:p w14:paraId="4D403F81" w14:textId="77777777" w:rsidR="00241093" w:rsidRPr="000925A8" w:rsidRDefault="00241093">
      <w:pPr>
        <w:pStyle w:val="Normaltindrag"/>
      </w:pPr>
      <w:r w:rsidRPr="000925A8">
        <w:t>Regional samhällsplanering kan också skapa goda förutsättningar för att uppnå nationella mål vad gäller t.ex. ekologisk hållbarhet, effektiva transpo</w:t>
      </w:r>
      <w:r w:rsidRPr="000925A8">
        <w:t>r</w:t>
      </w:r>
      <w:r w:rsidRPr="000925A8">
        <w:t>ter, kulturmiljö och bostadsbyggande. Stora vinster skulle kunna göras om man samordnade bostadsbyggandet för studenter i de regioner som tilldelats ett ökat antal högskoleplatser. Det skulle även innebära ökade möjligheter att undvika mål- och intressekonflikter, t.ex. när det gäller hur kommuner plan</w:t>
      </w:r>
      <w:r w:rsidRPr="000925A8">
        <w:t>e</w:t>
      </w:r>
      <w:r w:rsidRPr="000925A8">
        <w:t>rar för extern ha</w:t>
      </w:r>
      <w:r w:rsidRPr="000925A8">
        <w:t>n</w:t>
      </w:r>
      <w:r w:rsidRPr="000925A8">
        <w:t>del.</w:t>
      </w:r>
    </w:p>
    <w:p w14:paraId="34D12602" w14:textId="77777777" w:rsidR="00241093" w:rsidRPr="000925A8" w:rsidRDefault="00241093">
      <w:pPr>
        <w:pStyle w:val="Normaltindrag"/>
      </w:pPr>
      <w:r w:rsidRPr="000925A8">
        <w:t>Sammanfattningsvis kan inrättandet av ett instrument för regional sa</w:t>
      </w:r>
      <w:r w:rsidRPr="000925A8">
        <w:t>m</w:t>
      </w:r>
      <w:r w:rsidRPr="000925A8">
        <w:t>hällsplanering skapa förutsättningar för en väl fungerande arbets- och b</w:t>
      </w:r>
      <w:r w:rsidRPr="000925A8">
        <w:t>o</w:t>
      </w:r>
      <w:r w:rsidRPr="000925A8">
        <w:t>stadsmarknad, effektiv infrastruktur och regional utveckling. Regeringen bör därför utreda de närmare förutsättningarna och formerna för ett sådant plani</w:t>
      </w:r>
      <w:r w:rsidRPr="000925A8">
        <w:t>n</w:t>
      </w:r>
      <w:r w:rsidRPr="000925A8">
        <w:t xml:space="preserve">strument och därefter presentera ett förslag för riksdagen. </w:t>
      </w:r>
    </w:p>
    <w:p w14:paraId="56ABF504" w14:textId="77777777" w:rsidR="00241093" w:rsidRPr="000925A8" w:rsidRDefault="00241093">
      <w:pPr>
        <w:pStyle w:val="Normaltindrag"/>
      </w:pPr>
      <w:r w:rsidRPr="000925A8">
        <w:t>Det vi ovan anfört om ett nytt planinstrument för regional samhällsplan</w:t>
      </w:r>
      <w:r w:rsidRPr="000925A8">
        <w:t>e</w:t>
      </w:r>
      <w:r w:rsidRPr="000925A8">
        <w:t>ring bör riksdagen med anledning av motion 2001/02:Bo297 (v) som sin mening ge regeringen till kä</w:t>
      </w:r>
      <w:r w:rsidRPr="000925A8">
        <w:t>n</w:t>
      </w:r>
      <w:r w:rsidRPr="000925A8">
        <w:t>na.</w:t>
      </w:r>
    </w:p>
    <w:p w14:paraId="1DE36F93" w14:textId="77777777" w:rsidR="00241093" w:rsidRPr="000925A8" w:rsidRDefault="00241093">
      <w:pPr>
        <w:pStyle w:val="Reservationspunkt"/>
        <w:rPr>
          <w:noProof w:val="0"/>
        </w:rPr>
      </w:pPr>
      <w:bookmarkStart w:id="58" w:name="_Toc4898223"/>
      <w:r w:rsidRPr="000925A8">
        <w:rPr>
          <w:noProof w:val="0"/>
        </w:rPr>
        <w:t>6.</w:t>
      </w:r>
      <w:r w:rsidRPr="000925A8">
        <w:rPr>
          <w:noProof w:val="0"/>
        </w:rPr>
        <w:tab/>
        <w:t>Planering för en tyst miljö (punkt 5)</w:t>
      </w:r>
      <w:bookmarkEnd w:id="58"/>
    </w:p>
    <w:p w14:paraId="393C1B11" w14:textId="77777777" w:rsidR="00241093" w:rsidRPr="000925A8" w:rsidRDefault="00241093">
      <w:pPr>
        <w:pStyle w:val="Reservanter"/>
      </w:pPr>
      <w:r w:rsidRPr="000925A8">
        <w:t>av Ulla-Britt Hagström (kd) och Annelie Enochson (kd).</w:t>
      </w:r>
    </w:p>
    <w:p w14:paraId="51E72BA6" w14:textId="77777777" w:rsidR="00241093" w:rsidRPr="000925A8" w:rsidRDefault="00241093">
      <w:pPr>
        <w:pStyle w:val="R4"/>
      </w:pPr>
      <w:r w:rsidRPr="000925A8">
        <w:t>Förslag till riksdagsbeslut</w:t>
      </w:r>
    </w:p>
    <w:p w14:paraId="2C825C4B" w14:textId="77777777" w:rsidR="00241093" w:rsidRPr="000925A8" w:rsidRDefault="00241093">
      <w:r w:rsidRPr="000925A8">
        <w:t>Vi anser att utskottets förslag under punkt 5 borde ha följande lydelse:</w:t>
      </w:r>
    </w:p>
    <w:p w14:paraId="201B6CAF" w14:textId="77777777" w:rsidR="00241093" w:rsidRPr="000925A8" w:rsidRDefault="00241093">
      <w:pPr>
        <w:pStyle w:val="Reservantfrslag"/>
      </w:pPr>
      <w:r w:rsidRPr="000925A8">
        <w:t>Riksdagen tillkännager för regeringen som sin mening vad som framförs i reservationen. Därmed bifaller riksdagen motion 2001/02:Bo244 yrkande 8 och avslår motionerna 2001/02:Bo217 yrkandena 1–4 och 6 samt 2001/02:</w:t>
      </w:r>
      <w:r w:rsidRPr="000925A8">
        <w:br/>
        <w:t>So276 yrkande 2.</w:t>
      </w:r>
    </w:p>
    <w:p w14:paraId="57253B55" w14:textId="77777777" w:rsidR="00241093" w:rsidRPr="000925A8" w:rsidRDefault="00241093">
      <w:pPr>
        <w:pStyle w:val="R4"/>
      </w:pPr>
      <w:r w:rsidRPr="000925A8">
        <w:t>Ställningstagande</w:t>
      </w:r>
    </w:p>
    <w:p w14:paraId="4A6209D7" w14:textId="77777777" w:rsidR="00241093" w:rsidRPr="000925A8" w:rsidRDefault="00241093">
      <w:r w:rsidRPr="000925A8">
        <w:rPr>
          <w:snapToGrid w:val="0"/>
          <w:lang w:eastAsia="sv-SE"/>
        </w:rPr>
        <w:t xml:space="preserve">Människor behöver stillhet och tystnad. </w:t>
      </w:r>
      <w:r w:rsidRPr="000925A8">
        <w:t>Tystnad utomhus i anslutning till städer är på väg att bli en bristvara i vårt land och är det redan nu på kont</w:t>
      </w:r>
      <w:r w:rsidRPr="000925A8">
        <w:t>i</w:t>
      </w:r>
      <w:r w:rsidRPr="000925A8">
        <w:t>nenten. Längs våra kuster, där lågfrekvent buller från vindkraftverk kan lägga en ”bullermatta” över stora områden, och i fjällvärlden, med bl.a. oreglerad skotertrafik, börjar behovet av att bevara tystnaden att bli akut.</w:t>
      </w:r>
    </w:p>
    <w:p w14:paraId="2E204E67" w14:textId="77777777" w:rsidR="00241093" w:rsidRPr="000925A8" w:rsidRDefault="00241093">
      <w:pPr>
        <w:pStyle w:val="Normaltindrag"/>
      </w:pPr>
      <w:r w:rsidRPr="000925A8">
        <w:t>Det finns lagstöd för att bevara tysta områden. I 3 kap. 2 § miljöbalken står: ”Stora mark- och vattenområden som inte alls eller endast obetydligt är påverkade av exploaterings</w:t>
      </w:r>
      <w:r w:rsidRPr="000925A8">
        <w:t xml:space="preserve">företag eller andra ingrepp i miljön skall så långt som möjligt skyddas mot åtgärder som kan påtagligt påverka områdenas karaktär.” Vidare står det i 3 kap. 6 § miljöbalken: ”Behovet av grönområden i tätorter och i närheten av tätorter skall särskilt beaktas.” </w:t>
      </w:r>
    </w:p>
    <w:p w14:paraId="286CA255" w14:textId="77777777" w:rsidR="00241093" w:rsidRPr="000925A8" w:rsidRDefault="00241093">
      <w:pPr>
        <w:pStyle w:val="Normaltindrag"/>
      </w:pPr>
      <w:r w:rsidRPr="000925A8">
        <w:t>Människor behöver stillhet och naturupplevelser, inte minst när tillvaron blir alltmer stressad och fragmenterad. ”Tysta zoner” är en värdefull resurs även ur fritids-, kultur- och turismsynpunkt. Att höra bäckens porlande, v</w:t>
      </w:r>
      <w:r w:rsidRPr="000925A8">
        <w:t>å</w:t>
      </w:r>
      <w:r w:rsidRPr="000925A8">
        <w:t>gornas kluckande mot stranden och fågelkvitter utan ackompanjemang av ett obestämt brus är ett bra exempel på livskvalitet och en väsentlig del av hur vi upplever naturen. En ”tyst zon” behöver emellertid inte bara vara ett naturo</w:t>
      </w:r>
      <w:r w:rsidRPr="000925A8">
        <w:t>m</w:t>
      </w:r>
      <w:r w:rsidRPr="000925A8">
        <w:t>råde, det kan även vara stadsdelar som är relativt ostörda av utomhusbuller och där man håller efter inomhusbuller från obalanserade fläktar, värmepu</w:t>
      </w:r>
      <w:r w:rsidRPr="000925A8">
        <w:t>m</w:t>
      </w:r>
      <w:r w:rsidRPr="000925A8">
        <w:t xml:space="preserve">par m.m. </w:t>
      </w:r>
    </w:p>
    <w:p w14:paraId="6A9C5358" w14:textId="77777777" w:rsidR="00241093" w:rsidRPr="000925A8" w:rsidRDefault="00241093">
      <w:pPr>
        <w:pStyle w:val="Normaltindrag"/>
      </w:pPr>
      <w:r w:rsidRPr="000925A8">
        <w:t>Det bör vara lika självklart att inventera ostörda områden som natur- och kulturintressen och att markera dessa i kommun</w:t>
      </w:r>
      <w:r w:rsidRPr="000925A8">
        <w:t>ens översikt</w:t>
      </w:r>
      <w:r w:rsidRPr="000925A8">
        <w:t>s</w:t>
      </w:r>
      <w:r w:rsidRPr="000925A8">
        <w:t>planer.</w:t>
      </w:r>
    </w:p>
    <w:p w14:paraId="0A364737" w14:textId="77777777" w:rsidR="00241093" w:rsidRPr="000925A8" w:rsidRDefault="00241093">
      <w:pPr>
        <w:pStyle w:val="Normaltindrag"/>
      </w:pPr>
      <w:r w:rsidRPr="000925A8">
        <w:t>Vi föreslår att riksdagen tillkännager för regeringen som sin mening vad vi framfört. Vårt förslag lämnas med anledning av motion 2001/02:Bo244 (kd) yrkande 8. Det anförda får även anses innebära att motionerna 2001/02:Bo217 (mp) och 2001/02:So276 (c) yrkande 2 till viss del få anses vara tillgodosedda.</w:t>
      </w:r>
    </w:p>
    <w:p w14:paraId="5F56C033" w14:textId="77777777" w:rsidR="00241093" w:rsidRPr="000925A8" w:rsidRDefault="00241093">
      <w:pPr>
        <w:pStyle w:val="Reservationspunkt"/>
        <w:rPr>
          <w:noProof w:val="0"/>
        </w:rPr>
      </w:pPr>
      <w:bookmarkStart w:id="59" w:name="_Toc4898224"/>
      <w:r w:rsidRPr="000925A8">
        <w:rPr>
          <w:noProof w:val="0"/>
        </w:rPr>
        <w:t>7.</w:t>
      </w:r>
      <w:r w:rsidRPr="000925A8">
        <w:rPr>
          <w:noProof w:val="0"/>
        </w:rPr>
        <w:tab/>
        <w:t>Planering för en tyst miljö (punkt 5)</w:t>
      </w:r>
      <w:bookmarkEnd w:id="59"/>
    </w:p>
    <w:p w14:paraId="1E185FB6" w14:textId="77777777" w:rsidR="00241093" w:rsidRPr="000925A8" w:rsidRDefault="00241093">
      <w:pPr>
        <w:pStyle w:val="Reservanter"/>
      </w:pPr>
      <w:r w:rsidRPr="000925A8">
        <w:t xml:space="preserve">av Rigmor Stenmark (c) och Helena Hillar Rosenqvist (mp). </w:t>
      </w:r>
    </w:p>
    <w:p w14:paraId="281C9446" w14:textId="77777777" w:rsidR="00241093" w:rsidRPr="000925A8" w:rsidRDefault="00241093">
      <w:pPr>
        <w:pStyle w:val="R4"/>
      </w:pPr>
      <w:r w:rsidRPr="000925A8">
        <w:t>Förslag till riksdagsbeslut</w:t>
      </w:r>
    </w:p>
    <w:p w14:paraId="6B70FC05" w14:textId="77777777" w:rsidR="00241093" w:rsidRPr="000925A8" w:rsidRDefault="00241093">
      <w:r w:rsidRPr="000925A8">
        <w:t>Vi anser att utskottets förslag under punkt 5 borde ha följande lydelse:</w:t>
      </w:r>
    </w:p>
    <w:p w14:paraId="68814DAA" w14:textId="77777777" w:rsidR="00241093" w:rsidRPr="000925A8" w:rsidRDefault="00241093">
      <w:pPr>
        <w:pStyle w:val="Reservantfrslag"/>
      </w:pPr>
      <w:r w:rsidRPr="000925A8">
        <w:t>Riksdagen tillkännager för regeringen som sin mening vad som framförs i reservationen. Därmed bifaller riksdagen motion 2001/02:Bo217 yrkandena 1–4 och 6 och avslår motionerna 2001/02:Bo244 yrkande 8 samt 2001/02:</w:t>
      </w:r>
      <w:r w:rsidRPr="000925A8">
        <w:br/>
        <w:t>So276 yrkande 2.</w:t>
      </w:r>
    </w:p>
    <w:p w14:paraId="438D6AB8" w14:textId="77777777" w:rsidR="00241093" w:rsidRPr="000925A8" w:rsidRDefault="00241093">
      <w:pPr>
        <w:pStyle w:val="R4"/>
      </w:pPr>
      <w:r w:rsidRPr="000925A8">
        <w:t>Ställningstagande</w:t>
      </w:r>
    </w:p>
    <w:p w14:paraId="2343E744" w14:textId="77777777" w:rsidR="00241093" w:rsidRPr="000925A8" w:rsidRDefault="00241093">
      <w:r w:rsidRPr="000925A8">
        <w:t>Buller har blivit ett omfattande miljöproblem. I vår dagliga miljö har vi hela tiden olika ljud omkring oss. Bakgrundsbullret från en ökande trafik är stä</w:t>
      </w:r>
      <w:r w:rsidRPr="000925A8">
        <w:t>n</w:t>
      </w:r>
      <w:r w:rsidRPr="000925A8">
        <w:t>digt närvarande. I tätorterna märks bullret till slut inte på grund av att man vänjer sig. Samtidigt finns det där konstant och framkallar olustkänslor som inte kan identifi</w:t>
      </w:r>
      <w:r w:rsidRPr="000925A8">
        <w:t>e</w:t>
      </w:r>
      <w:r w:rsidRPr="000925A8">
        <w:t>ras.</w:t>
      </w:r>
    </w:p>
    <w:p w14:paraId="7F0BEE0C" w14:textId="77777777" w:rsidR="00241093" w:rsidRPr="000925A8" w:rsidRDefault="00241093">
      <w:pPr>
        <w:pStyle w:val="Normaltindrag"/>
      </w:pPr>
      <w:r w:rsidRPr="000925A8">
        <w:t>Tystnaden har med åren blivit allt svårare att fånga och är i dag i högsta grad utrotningshotad. I hemmen och på arbetsplatser ger elektriska apparater och olika fläktsystem oupp</w:t>
      </w:r>
      <w:r w:rsidRPr="000925A8">
        <w:softHyphen/>
        <w:t>hörligt ljud ifrån sig. I skol- och daghemsmiljö är ljudnivån alltid hög, och för både barnen och de anställda är detta en källa till trötthet. För att uppnå fullständig tystnad behöver man komma långt ut i ödemarken.</w:t>
      </w:r>
    </w:p>
    <w:p w14:paraId="07B8341B" w14:textId="77777777" w:rsidR="00241093" w:rsidRPr="000925A8" w:rsidRDefault="00241093">
      <w:pPr>
        <w:pStyle w:val="Normaltindrag"/>
      </w:pPr>
      <w:r w:rsidRPr="000925A8">
        <w:t>Vi människor påverkas även av låga ljudnivåer. Efter en tid kan en til</w:t>
      </w:r>
      <w:r w:rsidRPr="000925A8">
        <w:t>l</w:t>
      </w:r>
      <w:r w:rsidRPr="000925A8">
        <w:t>vänjning ske och man glömmer ljudet, men forskning har visat att kroppen ändå påverkas. Vi får svårt att koncentrera oss, drabbas av huvudvärk och känner oss trötta. Buller kan också vara farligt, både kraftigt buller och m</w:t>
      </w:r>
      <w:r w:rsidRPr="000925A8">
        <w:t>o</w:t>
      </w:r>
      <w:r w:rsidRPr="000925A8">
        <w:t>notont malande, och kan orsaka besvär, exempelvis pip i öronen som uppstår efter en konsert.</w:t>
      </w:r>
    </w:p>
    <w:p w14:paraId="40B39918" w14:textId="77777777" w:rsidR="00241093" w:rsidRPr="000925A8" w:rsidRDefault="00241093">
      <w:pPr>
        <w:pStyle w:val="Normaltindrag"/>
      </w:pPr>
      <w:r w:rsidRPr="000925A8">
        <w:t>Vi behöver bygga ett tystare samhälle så att buller inte sänker livskvalit</w:t>
      </w:r>
      <w:r w:rsidRPr="000925A8">
        <w:t>e</w:t>
      </w:r>
      <w:r w:rsidRPr="000925A8">
        <w:t>ten. Ett viktigt verktyg för att bekämpa buller vore gränsvärden för bullern</w:t>
      </w:r>
      <w:r w:rsidRPr="000925A8">
        <w:t>i</w:t>
      </w:r>
      <w:r w:rsidRPr="000925A8">
        <w:t>våer på arbetsplatser och ute i samhället. Vidare skulle en utredning som klarlägger behovet av bullerfria miljöer i samhället och framför allt på arbet</w:t>
      </w:r>
      <w:r w:rsidRPr="000925A8">
        <w:t>s</w:t>
      </w:r>
      <w:r w:rsidRPr="000925A8">
        <w:t>platser kunna medverka till att skapa utrymmen där buller och bakgrundsljud minimeras. För att komma till rätta med en del buller skulle också krav kunna ställas vid upphandling på att produkterna håller en låg ljudnivå. De riktlinjer som i dag finns för buller i urbana miljöer är</w:t>
      </w:r>
      <w:r w:rsidRPr="000925A8">
        <w:t xml:space="preserve"> alltför högt satta. Forskning visar att en rimlig gräns borde ligga på 40 dB i stället för dagens 55 dB. </w:t>
      </w:r>
    </w:p>
    <w:p w14:paraId="45050AC8" w14:textId="77777777" w:rsidR="00241093" w:rsidRPr="000925A8" w:rsidRDefault="00241093">
      <w:pPr>
        <w:pStyle w:val="Normaltindrag"/>
      </w:pPr>
      <w:r w:rsidRPr="000925A8">
        <w:t>Det vi ovan anfört om behovet av miljöer som är bullerfria och olika å</w:t>
      </w:r>
      <w:r w:rsidRPr="000925A8">
        <w:t>t</w:t>
      </w:r>
      <w:r w:rsidRPr="000925A8">
        <w:t>gärder för att uppnå detta mål bör riksdagen som sin mening ge regeringen till känna. Vårt förslag läggs fram med anledning av motion 2001/02:Bo217 (mp) men innebär också att motionerna 2001/02:Bo244 (kd) yrkande 8 och 2001/02:So276 (c) till väsentliga delar får anses vara tillgodosedda.</w:t>
      </w:r>
    </w:p>
    <w:p w14:paraId="6D7B650F" w14:textId="77777777" w:rsidR="00241093" w:rsidRPr="000925A8" w:rsidRDefault="00241093">
      <w:pPr>
        <w:pStyle w:val="Reservationspunkt"/>
        <w:rPr>
          <w:noProof w:val="0"/>
        </w:rPr>
      </w:pPr>
      <w:bookmarkStart w:id="60" w:name="_Toc4898225"/>
      <w:r w:rsidRPr="000925A8">
        <w:rPr>
          <w:noProof w:val="0"/>
        </w:rPr>
        <w:t>8.</w:t>
      </w:r>
      <w:r w:rsidRPr="000925A8">
        <w:rPr>
          <w:noProof w:val="0"/>
        </w:rPr>
        <w:tab/>
        <w:t>Brottsförebyggande planering (punkt 6)</w:t>
      </w:r>
      <w:bookmarkEnd w:id="60"/>
    </w:p>
    <w:p w14:paraId="31E0D873" w14:textId="77777777" w:rsidR="00241093" w:rsidRPr="000925A8" w:rsidRDefault="00241093">
      <w:pPr>
        <w:pStyle w:val="Reservanter"/>
      </w:pPr>
      <w:r w:rsidRPr="000925A8">
        <w:t>av Ulla-Britt Hagström (kd), Annelie Enochson (kd) och Rigmor Ste</w:t>
      </w:r>
      <w:r w:rsidRPr="000925A8">
        <w:t>n</w:t>
      </w:r>
      <w:r w:rsidRPr="000925A8">
        <w:t>mark (c).</w:t>
      </w:r>
    </w:p>
    <w:p w14:paraId="19DC921D" w14:textId="77777777" w:rsidR="00241093" w:rsidRPr="000925A8" w:rsidRDefault="00241093">
      <w:pPr>
        <w:pStyle w:val="R4"/>
      </w:pPr>
      <w:r w:rsidRPr="000925A8">
        <w:t>Förslag till riksdagsbeslut</w:t>
      </w:r>
    </w:p>
    <w:p w14:paraId="3DDE3050" w14:textId="77777777" w:rsidR="00241093" w:rsidRPr="000925A8" w:rsidRDefault="00241093">
      <w:r w:rsidRPr="000925A8">
        <w:t>Vi anser att utskottets förslag under punkt 6 borde ha följande lydelse:</w:t>
      </w:r>
    </w:p>
    <w:p w14:paraId="0FF0355F" w14:textId="77777777" w:rsidR="00241093" w:rsidRPr="000925A8" w:rsidRDefault="00241093">
      <w:pPr>
        <w:pStyle w:val="Reservantfrslag"/>
      </w:pPr>
      <w:r w:rsidRPr="000925A8">
        <w:t>Riksdagen tillkännager för regeringen som sin mening vad som framförs i reservationen. Därmed bifaller riksdagen motionerna 2001/02:Bo243 yrka</w:t>
      </w:r>
      <w:r w:rsidRPr="000925A8">
        <w:t>n</w:t>
      </w:r>
      <w:r w:rsidRPr="000925A8">
        <w:t>dena 3 och 4, 2001/02:Bo325 yrkande 24, 2001/02:Ju237 yrkande 19, 2001/02:Ju389 yrkande 6 samt 2001/02:So613 yrkande 15.</w:t>
      </w:r>
    </w:p>
    <w:p w14:paraId="0D3C3BDB" w14:textId="77777777" w:rsidR="00241093" w:rsidRPr="000925A8" w:rsidRDefault="00241093">
      <w:pPr>
        <w:pStyle w:val="R4"/>
      </w:pPr>
      <w:r w:rsidRPr="000925A8">
        <w:t>Ställningstagande</w:t>
      </w:r>
    </w:p>
    <w:p w14:paraId="5AD0F8D4" w14:textId="77777777" w:rsidR="00241093" w:rsidRPr="000925A8" w:rsidRDefault="00241093">
      <w:pPr>
        <w:pStyle w:val="NormalBeslutDnr"/>
      </w:pPr>
      <w:r w:rsidRPr="000925A8">
        <w:t>En grundläggande förutsättning för att människor skall kunna känna livs</w:t>
      </w:r>
      <w:r w:rsidRPr="000925A8">
        <w:softHyphen/>
        <w:t>kvalitet är att de har en trygg boendemiljö. Sverige har traditionellt uppfattats som ett tryggt land. Tyvärr har utvecklingen under de senaste åren visat att denna uppfattning inte har fog för sig i delar av vårt land. Många människor, särskilt kvinnor och unga, känner i dag också oro eller rädsla i sin boend</w:t>
      </w:r>
      <w:r w:rsidRPr="000925A8">
        <w:t>e</w:t>
      </w:r>
      <w:r w:rsidRPr="000925A8">
        <w:t>miljö. Det är nu dags att vidta åtgärder på en rad områden för att åstadkomma ett effektivt, långsiktigt och uthålligt brottsförebyggande arbete. Som en del i detta arbete bör det ingå att vidta åtgä</w:t>
      </w:r>
      <w:r w:rsidRPr="000925A8">
        <w:t xml:space="preserve">rder i kommunernas planering och i bebyggelseutformningen med syftet att förebygga brott. I flera motioner – (kd) och (c) – läggs fram förslag med denna inriktning. </w:t>
      </w:r>
    </w:p>
    <w:p w14:paraId="1DE6C6AB" w14:textId="77777777" w:rsidR="00241093" w:rsidRPr="000925A8" w:rsidRDefault="00241093">
      <w:pPr>
        <w:pStyle w:val="Normaltindrag"/>
      </w:pPr>
      <w:r w:rsidRPr="000925A8">
        <w:t>Ett viktigt steg på vägen mot tryggare boendemiljöer är att vidta åtgärder i de sterila, storskaliga och anonyma bostadsmiljöer som fungerar som en katalysator för vandalism och skadegörelse i alla former. Hus, portar, gårdar och parkeringsplatser behöver bli ordentligt upplysta. Tvättstugor måste göras säkrare och källardörrar förstärkas. Park</w:t>
      </w:r>
      <w:r w:rsidRPr="000925A8">
        <w:t>eringshus och stora garage kan göras lättare att överblicka om de delas in i mindre enheter. Övervakning med k</w:t>
      </w:r>
      <w:r w:rsidRPr="000925A8">
        <w:t>a</w:t>
      </w:r>
      <w:r w:rsidRPr="000925A8">
        <w:t>meror kan ibland vara ett sätt att öka tryggheten. Vi är övertygade om att det går att skapa ökad trygghet i bostadsområdena om man planerar varma och välkomnande miljöer. Det går också att göra oerhört mycket för att göra an</w:t>
      </w:r>
      <w:r w:rsidRPr="000925A8">
        <w:t>o</w:t>
      </w:r>
      <w:r w:rsidRPr="000925A8">
        <w:t>nyma, sterila gårdar och gator levande och trygga.</w:t>
      </w:r>
    </w:p>
    <w:p w14:paraId="396045F2" w14:textId="77777777" w:rsidR="00241093" w:rsidRPr="000925A8" w:rsidRDefault="00241093">
      <w:pPr>
        <w:pStyle w:val="Normaltindrag"/>
      </w:pPr>
      <w:r w:rsidRPr="000925A8">
        <w:t>Kartläggnings- och målformuleringsarbetet måste göras i samverkan med dem som är berörda: invånarna, det lokala föreningsliv</w:t>
      </w:r>
      <w:r w:rsidRPr="000925A8">
        <w:t>et samt företrädare för offentlig och kommersiell verksamhet i det aktuella området. Ett första steg kan vara att lyssna på vad kvinnorna och ungdomarna har att säga om var och när de känner sig otrygga. Det är viktigt att de boende själva får möjlighet att föreslå förän</w:t>
      </w:r>
      <w:r w:rsidRPr="000925A8">
        <w:t>d</w:t>
      </w:r>
      <w:r w:rsidRPr="000925A8">
        <w:t>ringar och medverka i genomförandet.</w:t>
      </w:r>
    </w:p>
    <w:p w14:paraId="3D6814C1" w14:textId="77777777" w:rsidR="00241093" w:rsidRPr="000925A8" w:rsidRDefault="00241093">
      <w:pPr>
        <w:pStyle w:val="Normaltindrag"/>
      </w:pPr>
      <w:r w:rsidRPr="000925A8">
        <w:t>Vi anser att brottsförebyggande aspekter alltid bör tas med i såväl plan</w:t>
      </w:r>
      <w:r w:rsidRPr="000925A8">
        <w:t>e</w:t>
      </w:r>
      <w:r w:rsidRPr="000925A8">
        <w:t>ringen av bostadsområden som i samhällsplanering i övrigt. Kommunerna bör upprätta en brottsförebyggande policy som framgår av översiktsplanen. En sådan policy kan innehålla principiella ställningstaganden om hur stadens struktur bör utvecklas för att motverka brott, hur stadskärnan skall utvecklas och idéer om hur bostäder, arbetsplatser och handel kan blandas i bebygge</w:t>
      </w:r>
      <w:r w:rsidRPr="000925A8">
        <w:t>l</w:t>
      </w:r>
      <w:r w:rsidRPr="000925A8">
        <w:t>semiljön. En översyn av PBL bör göras  i syfte att underlätta införandet av en brottsförebyggande policy i kommunernas översiktsplaner.</w:t>
      </w:r>
    </w:p>
    <w:p w14:paraId="5CF100A9" w14:textId="77777777" w:rsidR="00241093" w:rsidRPr="000925A8" w:rsidRDefault="00241093">
      <w:pPr>
        <w:pStyle w:val="Normaltindrag"/>
      </w:pPr>
      <w:r w:rsidRPr="000925A8">
        <w:t>D</w:t>
      </w:r>
      <w:r w:rsidRPr="000925A8">
        <w:t>et finns vidare ett behov av att utarbeta konkreta handledningar och rik</w:t>
      </w:r>
      <w:r w:rsidRPr="000925A8">
        <w:t>t</w:t>
      </w:r>
      <w:r w:rsidRPr="000925A8">
        <w:t>linjer som stöd för kommunernas arbete med att introducera de brottsföreby</w:t>
      </w:r>
      <w:r w:rsidRPr="000925A8">
        <w:t>g</w:t>
      </w:r>
      <w:r w:rsidRPr="000925A8">
        <w:t>gande utgångspunkterna för allt planeringsarbete. Boverket har tidigare pr</w:t>
      </w:r>
      <w:r w:rsidRPr="000925A8">
        <w:t>e</w:t>
      </w:r>
      <w:r w:rsidRPr="000925A8">
        <w:t>senterat en rapport – Brott, bebyggelse och planering. Verket bör ges i up</w:t>
      </w:r>
      <w:r w:rsidRPr="000925A8">
        <w:t>p</w:t>
      </w:r>
      <w:r w:rsidRPr="000925A8">
        <w:t>drag att utveckla de tankar som förs fram i denna rapport och utarbeta tydliga riktlinjer för bebyggelseinri</w:t>
      </w:r>
      <w:r w:rsidRPr="000925A8">
        <w:t>k</w:t>
      </w:r>
      <w:r w:rsidRPr="000925A8">
        <w:t>tade hinder mot brott.</w:t>
      </w:r>
    </w:p>
    <w:p w14:paraId="24B3375A" w14:textId="77777777" w:rsidR="00241093" w:rsidRPr="000925A8" w:rsidRDefault="00241093">
      <w:pPr>
        <w:pStyle w:val="Normaltindrag"/>
      </w:pPr>
      <w:r w:rsidRPr="000925A8">
        <w:t>Det vi ovan föreslagit om brottsförebyggande planering bör riksdagen som sin menin</w:t>
      </w:r>
      <w:r w:rsidRPr="000925A8">
        <w:t>g ge regeringen till känna. Vårt förslag lämnas med anledning av motionerna 2001/02:Bo243 (kd) yrkandena 3 och 4, 2001/02:Bo325 (c) y</w:t>
      </w:r>
      <w:r w:rsidRPr="000925A8">
        <w:t>r</w:t>
      </w:r>
      <w:r w:rsidRPr="000925A8">
        <w:t>kande 24, 2001/02:Ju237 (c) yrkande 19, 2001/02:Ju389 (kd) yrkande 6 samt 2001/02:So613 (kd) yrkande 15.</w:t>
      </w:r>
    </w:p>
    <w:p w14:paraId="0A5F3703" w14:textId="77777777" w:rsidR="00241093" w:rsidRPr="000925A8" w:rsidRDefault="00241093">
      <w:pPr>
        <w:pStyle w:val="Reservationspunkt"/>
        <w:rPr>
          <w:noProof w:val="0"/>
        </w:rPr>
      </w:pPr>
      <w:bookmarkStart w:id="61" w:name="_Toc4898226"/>
      <w:r w:rsidRPr="000925A8">
        <w:rPr>
          <w:noProof w:val="0"/>
        </w:rPr>
        <w:t>9.</w:t>
      </w:r>
      <w:r w:rsidRPr="000925A8">
        <w:rPr>
          <w:noProof w:val="0"/>
        </w:rPr>
        <w:tab/>
        <w:t>Planering vid översvämningsrisk (punkt 7)</w:t>
      </w:r>
      <w:bookmarkEnd w:id="61"/>
    </w:p>
    <w:p w14:paraId="01CE343A" w14:textId="77777777" w:rsidR="00241093" w:rsidRPr="000925A8" w:rsidRDefault="00241093">
      <w:pPr>
        <w:pStyle w:val="Reservanter"/>
      </w:pPr>
      <w:r w:rsidRPr="000925A8">
        <w:t>av Ulla-Britt Hagström (kd), Annelie Enochson (kd), Rigmor Stenmark (c), Yvonne Ångström (fp) och Helena Hillar R</w:t>
      </w:r>
      <w:r w:rsidRPr="000925A8">
        <w:t>o</w:t>
      </w:r>
      <w:r w:rsidRPr="000925A8">
        <w:t>senqvist (mp).</w:t>
      </w:r>
    </w:p>
    <w:p w14:paraId="5EB64925" w14:textId="77777777" w:rsidR="00241093" w:rsidRPr="000925A8" w:rsidRDefault="00241093">
      <w:pPr>
        <w:pStyle w:val="R4"/>
      </w:pPr>
      <w:r w:rsidRPr="000925A8">
        <w:t>Förslag till riksdagsbeslut</w:t>
      </w:r>
    </w:p>
    <w:p w14:paraId="1220F381" w14:textId="77777777" w:rsidR="00241093" w:rsidRPr="000925A8" w:rsidRDefault="00241093">
      <w:r w:rsidRPr="000925A8">
        <w:t>Vi anser att utskottets förslag under punkt 7 borde ha följande lydelse:</w:t>
      </w:r>
    </w:p>
    <w:p w14:paraId="152A44ED" w14:textId="77777777" w:rsidR="00241093" w:rsidRPr="000925A8" w:rsidRDefault="00241093">
      <w:pPr>
        <w:pStyle w:val="Reservantfrslag"/>
      </w:pPr>
      <w:r w:rsidRPr="000925A8">
        <w:t>Riksdagen tillkännager för regeringen som sin mening vad som framförs i reservationen. Därmed bifaller riksdagen motionerna 2001/02:Bo244 yrkande 3 och 2001/02:Bo282.</w:t>
      </w:r>
    </w:p>
    <w:p w14:paraId="11A30042" w14:textId="77777777" w:rsidR="00241093" w:rsidRPr="000925A8" w:rsidRDefault="00241093">
      <w:pPr>
        <w:pStyle w:val="R4"/>
      </w:pPr>
      <w:r w:rsidRPr="000925A8">
        <w:t>Ställningstagande</w:t>
      </w:r>
    </w:p>
    <w:p w14:paraId="354D9462" w14:textId="77777777" w:rsidR="00241093" w:rsidRPr="000925A8" w:rsidRDefault="00241093">
      <w:r w:rsidRPr="000925A8">
        <w:t>Sverige drabbades både under 2000 och 2001 av kraftiga översvämningar i vissa delar av landet. De berörda kommunerna drabbades därmed av stora och oförutsedda kostnader. I många fall är det fråga om mindre inlandskommuner med redan ansträngd ekonomi, sviktande befolkningsunderlag och svag a</w:t>
      </w:r>
      <w:r w:rsidRPr="000925A8">
        <w:t>r</w:t>
      </w:r>
      <w:r w:rsidRPr="000925A8">
        <w:t>betsmarknad. Även enskilda personer har drabbats hårt, då vanliga försä</w:t>
      </w:r>
      <w:r w:rsidRPr="000925A8">
        <w:t>k</w:t>
      </w:r>
      <w:r w:rsidRPr="000925A8">
        <w:t>ringar normalt inte täcker skador av denna typ. Förutom materiella skador på byggnader har förorenade brunnar rapporterats från många håll.</w:t>
      </w:r>
    </w:p>
    <w:p w14:paraId="7C42341D" w14:textId="77777777" w:rsidR="00241093" w:rsidRPr="000925A8" w:rsidRDefault="00241093">
      <w:pPr>
        <w:pStyle w:val="Normaltindrag"/>
      </w:pPr>
      <w:r w:rsidRPr="000925A8">
        <w:t>Boverket har i sin rapport Översvämningsfrågor i översiktsplaneringen påtalat vikten av att använda den fysiska planeringen som ett redskap för att hantera översvämningsriskerna. Enligt 4 kap. PBL är risken för  översvä</w:t>
      </w:r>
      <w:r w:rsidRPr="000925A8">
        <w:t>m</w:t>
      </w:r>
      <w:r w:rsidRPr="000925A8">
        <w:t>ning en sådan riskfaktor som skall markeras i översiktsplanen. Det kan dock konstateras att det i många fall finns ett glapp mellan PBL-systemets möjli</w:t>
      </w:r>
      <w:r w:rsidRPr="000925A8">
        <w:t>g</w:t>
      </w:r>
      <w:r w:rsidRPr="000925A8">
        <w:t xml:space="preserve">heter och hur frågorna hittills har hanterats i den praktiska planeringen. Det finns därför skäl att noggrant se över kommunernas hantering av dessa frågor. </w:t>
      </w:r>
    </w:p>
    <w:p w14:paraId="12D62570" w14:textId="77777777" w:rsidR="00241093" w:rsidRPr="000925A8" w:rsidRDefault="00241093">
      <w:pPr>
        <w:pStyle w:val="Normaltindrag"/>
      </w:pPr>
      <w:r w:rsidRPr="000925A8">
        <w:t>Boverket redovisar i sin rapport vissa förslag om hur översvämningsrisken bättre skall kunna beaktas i den fysiska planeringen. Detta kan ske bl.a. g</w:t>
      </w:r>
      <w:r w:rsidRPr="000925A8">
        <w:t>e</w:t>
      </w:r>
      <w:r w:rsidRPr="000925A8">
        <w:t>nom att låta räddningstjänstplanen utgöra ett av underlagen för översiktspl</w:t>
      </w:r>
      <w:r w:rsidRPr="000925A8">
        <w:t>a</w:t>
      </w:r>
      <w:r w:rsidRPr="000925A8">
        <w:t>neringen och genom att regelmässigt låta räddningstjänsten ingå i remisskre</w:t>
      </w:r>
      <w:r w:rsidRPr="000925A8">
        <w:t>t</w:t>
      </w:r>
      <w:r w:rsidRPr="000925A8">
        <w:t>sen för öve</w:t>
      </w:r>
      <w:r w:rsidRPr="000925A8">
        <w:t>r</w:t>
      </w:r>
      <w:r w:rsidRPr="000925A8">
        <w:t xml:space="preserve">siktsplanen. </w:t>
      </w:r>
    </w:p>
    <w:p w14:paraId="3C66F88E" w14:textId="77777777" w:rsidR="00241093" w:rsidRPr="000925A8" w:rsidRDefault="00241093">
      <w:pPr>
        <w:pStyle w:val="Normaltindrag"/>
      </w:pPr>
      <w:r w:rsidRPr="000925A8">
        <w:t>Vi föreslår mot denna bakgrund att regeringen i enlighet med förslaget i motion 2001/02:Bo244 (kd) yrkande 3 bör utreda förutsättningarna för att i den fysiska planeringen bättre kunna hantera översvämningsfrågor. Detta bör riksdagen som sin mening ge regeringen till känna. Det anförda innebär även att förslaget i motion 2001/02:Bo</w:t>
      </w:r>
      <w:r w:rsidRPr="000925A8">
        <w:t>282 (s) får anses vara tillgod</w:t>
      </w:r>
      <w:r w:rsidRPr="000925A8">
        <w:t>o</w:t>
      </w:r>
      <w:r w:rsidRPr="000925A8">
        <w:t>sett.</w:t>
      </w:r>
    </w:p>
    <w:p w14:paraId="555A2245" w14:textId="77777777" w:rsidR="00241093" w:rsidRPr="000925A8" w:rsidRDefault="00241093">
      <w:pPr>
        <w:pStyle w:val="Reservationspunkt"/>
        <w:rPr>
          <w:noProof w:val="0"/>
        </w:rPr>
      </w:pPr>
      <w:bookmarkStart w:id="62" w:name="_Toc4898227"/>
      <w:r w:rsidRPr="000925A8">
        <w:rPr>
          <w:noProof w:val="0"/>
        </w:rPr>
        <w:t>10.</w:t>
      </w:r>
      <w:r w:rsidRPr="000925A8">
        <w:rPr>
          <w:noProof w:val="0"/>
        </w:rPr>
        <w:tab/>
        <w:t>Handelsändamålet i detaljplan (punkt 8)</w:t>
      </w:r>
      <w:bookmarkEnd w:id="62"/>
    </w:p>
    <w:p w14:paraId="7DE1A43A" w14:textId="77777777" w:rsidR="00241093" w:rsidRPr="000925A8" w:rsidRDefault="00241093">
      <w:pPr>
        <w:pStyle w:val="Reservanter"/>
      </w:pPr>
      <w:r w:rsidRPr="000925A8">
        <w:t>av Knut Billing (m), Inga Berggren (m), Yvonne Ångström (fp), Ewa Thalén Finné (m) och Sten Andersson (-).</w:t>
      </w:r>
    </w:p>
    <w:p w14:paraId="54664C3D" w14:textId="77777777" w:rsidR="00241093" w:rsidRPr="000925A8" w:rsidRDefault="00241093">
      <w:pPr>
        <w:pStyle w:val="R4"/>
      </w:pPr>
      <w:r w:rsidRPr="000925A8">
        <w:t>Förslag till riksdagsbeslut</w:t>
      </w:r>
    </w:p>
    <w:p w14:paraId="7387B412" w14:textId="77777777" w:rsidR="00241093" w:rsidRPr="000925A8" w:rsidRDefault="00241093">
      <w:r w:rsidRPr="000925A8">
        <w:t>Vi anser att utskottets förslag under punkt 8 borde ha följande lydelse:</w:t>
      </w:r>
    </w:p>
    <w:p w14:paraId="381416AB" w14:textId="77777777" w:rsidR="00241093" w:rsidRPr="000925A8" w:rsidRDefault="00241093">
      <w:pPr>
        <w:pStyle w:val="Reservantfrslag"/>
      </w:pPr>
      <w:r w:rsidRPr="000925A8">
        <w:t>Riksdagen tillkännager för regeringen som sin mening vad som framförs i reservationen. Därmed bifaller riksdagen motionerna 2001/02:Bo9 yrkande 2, 2001/02:Bo207, 2001/02:Bo213 yrkandena 1 och 2, 2001/02:Bo216 yrkande 7, 2001/02:Bo234 samt 2001/02:N267 yrkande 22.</w:t>
      </w:r>
    </w:p>
    <w:p w14:paraId="75B668F9" w14:textId="77777777" w:rsidR="00241093" w:rsidRPr="000925A8" w:rsidRDefault="00241093">
      <w:pPr>
        <w:pStyle w:val="R4"/>
      </w:pPr>
      <w:r w:rsidRPr="000925A8">
        <w:t>Ställningstagande</w:t>
      </w:r>
    </w:p>
    <w:p w14:paraId="71E603E7" w14:textId="77777777" w:rsidR="00241093" w:rsidRPr="000925A8" w:rsidRDefault="00241093">
      <w:pPr>
        <w:rPr>
          <w:snapToGrid w:val="0"/>
          <w:lang w:eastAsia="sv-SE"/>
        </w:rPr>
      </w:pPr>
      <w:r w:rsidRPr="000925A8">
        <w:rPr>
          <w:snapToGrid w:val="0"/>
          <w:lang w:eastAsia="sv-SE"/>
        </w:rPr>
        <w:t>Detaljhandeln har alltsedan 1970-talet flyttats ut till tätorternas ytterområden. Skälen har varit bostadsbyggandets lokalisering, kraven på framkomlighet, mark- och fastighetspriserna samt parkeringsmöjligheterna. Denna struktu</w:t>
      </w:r>
      <w:r w:rsidRPr="000925A8">
        <w:rPr>
          <w:snapToGrid w:val="0"/>
          <w:lang w:eastAsia="sv-SE"/>
        </w:rPr>
        <w:t>r</w:t>
      </w:r>
      <w:r w:rsidRPr="000925A8">
        <w:rPr>
          <w:snapToGrid w:val="0"/>
          <w:lang w:eastAsia="sv-SE"/>
        </w:rPr>
        <w:t>rationalisering har dock inte försämrat hushållens tillgänglighet till dagligv</w:t>
      </w:r>
      <w:r w:rsidRPr="000925A8">
        <w:rPr>
          <w:snapToGrid w:val="0"/>
          <w:lang w:eastAsia="sv-SE"/>
        </w:rPr>
        <w:t>a</w:t>
      </w:r>
      <w:r w:rsidRPr="000925A8">
        <w:rPr>
          <w:snapToGrid w:val="0"/>
          <w:lang w:eastAsia="sv-SE"/>
        </w:rPr>
        <w:t xml:space="preserve">ror på något påtagligt sätt. </w:t>
      </w:r>
    </w:p>
    <w:p w14:paraId="2030A10B" w14:textId="77777777" w:rsidR="00241093" w:rsidRPr="000925A8" w:rsidRDefault="00241093">
      <w:pPr>
        <w:pStyle w:val="Normaltindrag"/>
      </w:pPr>
      <w:r w:rsidRPr="000925A8">
        <w:rPr>
          <w:snapToGrid w:val="0"/>
          <w:lang w:eastAsia="sv-SE"/>
        </w:rPr>
        <w:t xml:space="preserve">Under den borgerliga regeringsperioden ändrades lagstiftningen så att det inte längre blev möjligt att reglera handelsändamålet genom att särskilja partihandel och detaljhandel eller genom att inom ändamålet detaljhandel särskilja handel med livsmedel från annan handel. </w:t>
      </w:r>
      <w:r w:rsidRPr="000925A8">
        <w:t>Den möjlighet till reglering av handelsändamålet i detaljplan som den nuvarande regeringen på nytt infö</w:t>
      </w:r>
      <w:r w:rsidRPr="000925A8">
        <w:t>r</w:t>
      </w:r>
      <w:r w:rsidRPr="000925A8">
        <w:t>de år 1997 är enligt vår mening bara ett av många exempel på en reglering</w:t>
      </w:r>
      <w:r w:rsidRPr="000925A8">
        <w:t>s</w:t>
      </w:r>
      <w:r w:rsidRPr="000925A8">
        <w:t>iver som gagnar de styrande på bekostnad av den vanlige medborgaren. Den nuvarande regleringen av handelsändamålet i detaljplan leder till försämrad konkurrens och därmed till högre priser för konsumenten. Denna bild har nyligen bekräftats i Konkurrensverkets rapport Kan kommunerna pressa matpriserna? I rapporten konstateras att mat</w:t>
      </w:r>
      <w:r w:rsidRPr="000925A8">
        <w:t>priserna i Sverige ligger väsen</w:t>
      </w:r>
      <w:r w:rsidRPr="000925A8">
        <w:t>t</w:t>
      </w:r>
      <w:r w:rsidRPr="000925A8">
        <w:t>ligt över EU-genomsnittet och att en av orsakerna är de bristande hänsyn som tas till konsument- och ko</w:t>
      </w:r>
      <w:r w:rsidRPr="000925A8">
        <w:t>n</w:t>
      </w:r>
      <w:r w:rsidRPr="000925A8">
        <w:t xml:space="preserve">kurrensintresset i kommunernas planering. </w:t>
      </w:r>
    </w:p>
    <w:p w14:paraId="049EDAAC" w14:textId="77777777" w:rsidR="00241093" w:rsidRPr="000925A8" w:rsidRDefault="00241093">
      <w:pPr>
        <w:pStyle w:val="Normaltindrag"/>
      </w:pPr>
      <w:r w:rsidRPr="000925A8">
        <w:t>Vikten av att slå vakt om goda förutsättningar för en sund konkurrens var ett av huvudskälen till att fyrpartiregeringen tog bort regleringen av handel</w:t>
      </w:r>
      <w:r w:rsidRPr="000925A8">
        <w:t>s</w:t>
      </w:r>
      <w:r w:rsidRPr="000925A8">
        <w:t>ändamålet i detaljplan. De argument som brukar framföras av regleringsför</w:t>
      </w:r>
      <w:r w:rsidRPr="000925A8">
        <w:t>e</w:t>
      </w:r>
      <w:r w:rsidRPr="000925A8">
        <w:t>språkarna är att en reglering skulle kunna bidra till bättre tillgänglighet till dagligvaror för den enskilde. Vi menar att detta är ett felaktigt synsätt. Vi</w:t>
      </w:r>
      <w:r w:rsidRPr="000925A8">
        <w:t>s</w:t>
      </w:r>
      <w:r w:rsidRPr="000925A8">
        <w:t>serligen kan man konstatera att det pågår en förändring inom dagligvaruha</w:t>
      </w:r>
      <w:r w:rsidRPr="000925A8">
        <w:t>n</w:t>
      </w:r>
      <w:r w:rsidRPr="000925A8">
        <w:t>deln och övrig detaljhandel, men denna beror på en rad faktorer i samhällsu</w:t>
      </w:r>
      <w:r w:rsidRPr="000925A8">
        <w:t>t</w:t>
      </w:r>
      <w:r w:rsidRPr="000925A8">
        <w:t>vecklingen. Att externa etableringar inom detaljhandeln på något påtagligt sätt skulle ha försämrat hushållens tillgänglighet ti</w:t>
      </w:r>
      <w:r w:rsidRPr="000925A8">
        <w:t>ll dagligvaror går inte att påvisa.  Det bör också erinras om att förändringarna i handelsutbudet till stor del beror på konsumenternas prioriteringar och intresse av lägre pr</w:t>
      </w:r>
      <w:r w:rsidRPr="000925A8">
        <w:t>i</w:t>
      </w:r>
      <w:r w:rsidRPr="000925A8">
        <w:t xml:space="preserve">ser. </w:t>
      </w:r>
    </w:p>
    <w:p w14:paraId="5D37AA63" w14:textId="77777777" w:rsidR="00241093" w:rsidRPr="000925A8" w:rsidRDefault="00241093">
      <w:pPr>
        <w:pStyle w:val="Normaltindrag"/>
      </w:pPr>
      <w:r w:rsidRPr="000925A8">
        <w:t>Vi anser med hänvisning till det anförda att bestämmelserna i PBL som möjliggör en reglering av handelsändamålet i detaljplan snarast bör tas bort. Detta bör riksdagen som sin mening tillkännage för regeringen som sin m</w:t>
      </w:r>
      <w:r w:rsidRPr="000925A8">
        <w:t>e</w:t>
      </w:r>
      <w:r w:rsidRPr="000925A8">
        <w:t>ning med anledning av motionerna 2001/02:Bo9 (fp) yrkande 2, 2001/02:</w:t>
      </w:r>
      <w:r w:rsidRPr="000925A8">
        <w:br/>
        <w:t>Bo207 (m), 2001/02:Bo213 (m) yrkandena 1 och 2, 2001/02:Bo216 (m) y</w:t>
      </w:r>
      <w:r w:rsidRPr="000925A8">
        <w:t>r</w:t>
      </w:r>
      <w:r w:rsidRPr="000925A8">
        <w:t xml:space="preserve">kande 7, 2001/02:Bo234 (m) samt 2001/02:N267 (fp) yrkande 22. </w:t>
      </w:r>
    </w:p>
    <w:p w14:paraId="3B9070C1" w14:textId="77777777" w:rsidR="00241093" w:rsidRPr="000925A8" w:rsidRDefault="00241093">
      <w:pPr>
        <w:pStyle w:val="Reservationspunkt"/>
        <w:rPr>
          <w:noProof w:val="0"/>
        </w:rPr>
      </w:pPr>
      <w:bookmarkStart w:id="63" w:name="_Toc4898228"/>
      <w:r w:rsidRPr="000925A8">
        <w:rPr>
          <w:noProof w:val="0"/>
        </w:rPr>
        <w:t>11.</w:t>
      </w:r>
      <w:r w:rsidRPr="000925A8">
        <w:rPr>
          <w:noProof w:val="0"/>
        </w:rPr>
        <w:tab/>
        <w:t>Externa köpcentrum (punkt 9, motiveringen)</w:t>
      </w:r>
      <w:bookmarkEnd w:id="63"/>
    </w:p>
    <w:p w14:paraId="2F427F52" w14:textId="77777777" w:rsidR="00241093" w:rsidRPr="000925A8" w:rsidRDefault="00241093">
      <w:pPr>
        <w:pStyle w:val="Reservanter"/>
      </w:pPr>
      <w:r w:rsidRPr="000925A8">
        <w:t>av Knut Billing (m), Inga Berggren (m), Yvonne Ångström (fp), Ewa Thalén Finné (m) och Sten Andersson (-).</w:t>
      </w:r>
    </w:p>
    <w:p w14:paraId="251B3326" w14:textId="77777777" w:rsidR="00241093" w:rsidRPr="000925A8" w:rsidRDefault="00241093">
      <w:pPr>
        <w:pStyle w:val="R4"/>
      </w:pPr>
      <w:r w:rsidRPr="000925A8">
        <w:t>Ställningstagande</w:t>
      </w:r>
    </w:p>
    <w:p w14:paraId="1F8601CA" w14:textId="77777777" w:rsidR="00241093" w:rsidRPr="000925A8" w:rsidRDefault="00241093">
      <w:r w:rsidRPr="000925A8">
        <w:t xml:space="preserve">Utskottet behandlar i detta avsnitt ett antal motionsyrkanden med inriktningen att en mer omfattande reglering av handelsutvecklingen bör komma till stånd och att etableringen av externa köpcentrum tills vidare helt skall stoppas. Vi avvisar givetvis förslag med denna inriktning. Vad Sverige behöver är mer konkurrens och lägre priser, inte mer regleringar och pekpinnar om var stat och kommun tycker att vi skall handla våra varor. </w:t>
      </w:r>
    </w:p>
    <w:p w14:paraId="72FF52B5" w14:textId="77777777" w:rsidR="00241093" w:rsidRPr="000925A8" w:rsidRDefault="00241093">
      <w:pPr>
        <w:pStyle w:val="Normaltindrag"/>
      </w:pPr>
      <w:r w:rsidRPr="000925A8">
        <w:t>Regeringen har aviserat sin avsikt att se över PBL med avseende på etabl</w:t>
      </w:r>
      <w:r w:rsidRPr="000925A8">
        <w:t>e</w:t>
      </w:r>
      <w:r w:rsidRPr="000925A8">
        <w:t>ringen av externa köpcentrum. Vi motsätter oss inte att frågor om handelsu</w:t>
      </w:r>
      <w:r w:rsidRPr="000925A8">
        <w:t>t</w:t>
      </w:r>
      <w:r w:rsidRPr="000925A8">
        <w:t>vecklingen i olika avseenden blir föremål för analys. Utgångspunkten för en sådan analys måste emellertid vara konsument- och konkurrensintresset och vad som kan göras för att priserna på den svenska marknaden skall kunna sänkas. Någon översyn med syfte att ytterligare öka regleringen av handelsu</w:t>
      </w:r>
      <w:r w:rsidRPr="000925A8">
        <w:t>t</w:t>
      </w:r>
      <w:r w:rsidRPr="000925A8">
        <w:t>vecklingen bör inte komma till stånd.</w:t>
      </w:r>
    </w:p>
    <w:p w14:paraId="4814F006" w14:textId="77777777" w:rsidR="00241093" w:rsidRPr="000925A8" w:rsidRDefault="00241093">
      <w:pPr>
        <w:pStyle w:val="Normaltindrag"/>
      </w:pPr>
      <w:r w:rsidRPr="000925A8">
        <w:t>Vi anser att riksdagen bör avslå motionerna 2001/02:Bo244 (kd) yrkande 4 och 2001/02:Bo300 (mp).</w:t>
      </w:r>
    </w:p>
    <w:p w14:paraId="66490333" w14:textId="77777777" w:rsidR="00241093" w:rsidRPr="000925A8" w:rsidRDefault="00241093">
      <w:pPr>
        <w:pStyle w:val="Reservationspunkt"/>
        <w:rPr>
          <w:noProof w:val="0"/>
        </w:rPr>
      </w:pPr>
      <w:r w:rsidRPr="000925A8">
        <w:rPr>
          <w:noProof w:val="0"/>
        </w:rPr>
        <w:br w:type="page"/>
      </w:r>
      <w:bookmarkStart w:id="64" w:name="_Toc4898229"/>
      <w:r w:rsidRPr="000925A8">
        <w:rPr>
          <w:noProof w:val="0"/>
        </w:rPr>
        <w:t>12.</w:t>
      </w:r>
      <w:r w:rsidRPr="000925A8">
        <w:rPr>
          <w:noProof w:val="0"/>
        </w:rPr>
        <w:tab/>
        <w:t>Externa köpcentrum (punkt 9)</w:t>
      </w:r>
      <w:bookmarkEnd w:id="64"/>
    </w:p>
    <w:p w14:paraId="1A0CA062" w14:textId="77777777" w:rsidR="00241093" w:rsidRPr="000925A8" w:rsidRDefault="00241093">
      <w:pPr>
        <w:pStyle w:val="Reservanter"/>
      </w:pPr>
      <w:r w:rsidRPr="000925A8">
        <w:t>av Ulla-Britt Hagström (kd), Annelie Enochson (kd) och Rigmor Ste</w:t>
      </w:r>
      <w:r w:rsidRPr="000925A8">
        <w:t>n</w:t>
      </w:r>
      <w:r w:rsidRPr="000925A8">
        <w:t>mark (c).</w:t>
      </w:r>
    </w:p>
    <w:p w14:paraId="717195CF" w14:textId="77777777" w:rsidR="00241093" w:rsidRPr="000925A8" w:rsidRDefault="00241093">
      <w:pPr>
        <w:pStyle w:val="R4"/>
      </w:pPr>
      <w:r w:rsidRPr="000925A8">
        <w:t>Förslag till riksdagsbeslut</w:t>
      </w:r>
    </w:p>
    <w:p w14:paraId="2D8D079C" w14:textId="77777777" w:rsidR="00241093" w:rsidRPr="000925A8" w:rsidRDefault="00241093">
      <w:r w:rsidRPr="000925A8">
        <w:t>Vi anser att utskottets förslag under punkt 9 borde ha följande lydelse:</w:t>
      </w:r>
    </w:p>
    <w:p w14:paraId="1669A43F" w14:textId="77777777" w:rsidR="00241093" w:rsidRPr="000925A8" w:rsidRDefault="00241093">
      <w:pPr>
        <w:pStyle w:val="Reservantfrslag"/>
      </w:pPr>
      <w:r w:rsidRPr="000925A8">
        <w:t>Riksdagen tillkännager för regeringen som sin mening vad som framförs i reservationen. Därmed bifaller riksdagen motion 2001/02:Bo244 yrkande 4 och avslår motion 2001/02:Bo300.</w:t>
      </w:r>
    </w:p>
    <w:p w14:paraId="6DCEBDAE" w14:textId="77777777" w:rsidR="00241093" w:rsidRPr="000925A8" w:rsidRDefault="00241093">
      <w:pPr>
        <w:pStyle w:val="R4"/>
      </w:pPr>
      <w:r w:rsidRPr="000925A8">
        <w:t>Ställningstagande</w:t>
      </w:r>
    </w:p>
    <w:p w14:paraId="2F4FB047" w14:textId="77777777" w:rsidR="00241093" w:rsidRPr="000925A8" w:rsidRDefault="00241093">
      <w:pPr>
        <w:pStyle w:val="NormalBeslutDnr"/>
      </w:pPr>
      <w:r w:rsidRPr="000925A8">
        <w:t>Vid all planering med stöd av PBL bör en avvägning göras mellan olika i</w:t>
      </w:r>
      <w:r w:rsidRPr="000925A8">
        <w:t>n</w:t>
      </w:r>
      <w:r w:rsidRPr="000925A8">
        <w:t>tressen med inriktningen att skapa ett hållbart samhälle. Här inbegrips föru</w:t>
      </w:r>
      <w:r w:rsidRPr="000925A8">
        <w:t>t</w:t>
      </w:r>
      <w:r w:rsidRPr="000925A8">
        <w:t>om ekologiska även ekonomiska, sociala och kulturella aspekter av samhäll</w:t>
      </w:r>
      <w:r w:rsidRPr="000925A8">
        <w:t>s</w:t>
      </w:r>
      <w:r w:rsidRPr="000925A8">
        <w:t>utvecklingen. Denna inriktning bör givetvis även gälla vid planering för ha</w:t>
      </w:r>
      <w:r w:rsidRPr="000925A8">
        <w:t>n</w:t>
      </w:r>
      <w:r w:rsidRPr="000925A8">
        <w:t xml:space="preserve">del. </w:t>
      </w:r>
    </w:p>
    <w:p w14:paraId="1F2A5535" w14:textId="77777777" w:rsidR="00241093" w:rsidRPr="000925A8" w:rsidRDefault="00241093">
      <w:pPr>
        <w:pStyle w:val="Normaltindrag"/>
      </w:pPr>
      <w:r w:rsidRPr="000925A8">
        <w:t>Kommunerna har genom PBL ett instrument för en effektiv och långsiktig planering av handelsutvecklingen. Det är emellertid nödvändigt att komm</w:t>
      </w:r>
      <w:r w:rsidRPr="000925A8">
        <w:t>u</w:t>
      </w:r>
      <w:r w:rsidRPr="000925A8">
        <w:t>nerna baserar sin planering på ett tillräckligt brett kunskapsunderlag där alla intressen som är relevanta i sammanhanget kan beaktas. Med utgångspunkt från ett sådant kunskapsunderlag bör kommunerna utarbeta en handelspolicy över hur man vill att kommunens handel skall utvecklas. Denna handelspolicy kan utarbetas parallellt med översiktsplanearbetet och antas av fullmäktige en gång per mandatper</w:t>
      </w:r>
      <w:r w:rsidRPr="000925A8">
        <w:t>i</w:t>
      </w:r>
      <w:r w:rsidRPr="000925A8">
        <w:t xml:space="preserve">od. </w:t>
      </w:r>
    </w:p>
    <w:p w14:paraId="36139BAF" w14:textId="77777777" w:rsidR="00241093" w:rsidRPr="000925A8" w:rsidRDefault="00241093">
      <w:pPr>
        <w:pStyle w:val="Normaltindrag"/>
      </w:pPr>
      <w:r w:rsidRPr="000925A8">
        <w:t>Ett beslut om en eventuell etablering av en stormarknad eller av annan form av extern handel bör föregås a</w:t>
      </w:r>
      <w:r w:rsidRPr="000925A8">
        <w:t>v ett detaljplanearbete där frågor om miljöhänsyn, estetik, kulturarv, trygghet, trivsel, hälsa, närhet m.m. kan b</w:t>
      </w:r>
      <w:r w:rsidRPr="000925A8">
        <w:t>e</w:t>
      </w:r>
      <w:r w:rsidRPr="000925A8">
        <w:t>aktas. Dessa allmänna intressen skall vägas mot enskilda intressen som et</w:t>
      </w:r>
      <w:r w:rsidRPr="000925A8">
        <w:t>a</w:t>
      </w:r>
      <w:r w:rsidRPr="000925A8">
        <w:t xml:space="preserve">bleringsintressen och intresset av fri konkurrens. Det är också viktigt att väga in dessa olika aspekter i en konsekvensanalys. </w:t>
      </w:r>
    </w:p>
    <w:p w14:paraId="294862B7" w14:textId="77777777" w:rsidR="00241093" w:rsidRPr="000925A8" w:rsidRDefault="00241093">
      <w:pPr>
        <w:pStyle w:val="Normaltindrag"/>
      </w:pPr>
      <w:r w:rsidRPr="000925A8">
        <w:t>När det gäller etablering av extern handel bör särskild vikt läggas vid hur ”tidrika” respektive ”tidfattiga” människor påverkas av etableringen. Efte</w:t>
      </w:r>
      <w:r w:rsidRPr="000925A8">
        <w:t>r</w:t>
      </w:r>
      <w:r w:rsidRPr="000925A8">
        <w:t>som ”tidrika” människor oftast är ekonomiskt svaga medan ”tidfattiga” mä</w:t>
      </w:r>
      <w:r w:rsidRPr="000925A8">
        <w:t>n</w:t>
      </w:r>
      <w:r w:rsidRPr="000925A8">
        <w:t>niskor oftast är ekonomiskt starka, måste bägge dessa aspekter vägas in. De ”tidrika” människorna har kanske ingen bil för att ta sig till stormarknaden medan de ”tidfattiga” oftast har bil och vill att deras handlande skall ske snabbt och effektivt. Det är viktigt att i en konsekvensanalys belysa hur en handelsetablering påverkar dessa gru</w:t>
      </w:r>
      <w:r w:rsidRPr="000925A8">
        <w:t>p</w:t>
      </w:r>
      <w:r w:rsidRPr="000925A8">
        <w:t xml:space="preserve">per. </w:t>
      </w:r>
    </w:p>
    <w:p w14:paraId="58FFCDA9" w14:textId="77777777" w:rsidR="00241093" w:rsidRPr="000925A8" w:rsidRDefault="00241093">
      <w:pPr>
        <w:pStyle w:val="Normaltindrag"/>
      </w:pPr>
      <w:r w:rsidRPr="000925A8">
        <w:t>I detta sammanhang bör erinras om länsstyrelsens ansvar att bevaka att a</w:t>
      </w:r>
      <w:r w:rsidRPr="000925A8">
        <w:t>n</w:t>
      </w:r>
      <w:r w:rsidRPr="000925A8">
        <w:t xml:space="preserve">vändningen av mark- och vattenområden som angår flera kommuner har samordnats på ett lämpligt sätt (12 kap. PBL). Kommunerna skall inte kunna spelas ut mot varandra i samband med planer på en  stormarknadsetablering. Det är inte rimligt att rädslan för att gå miste om arbetstillfällen blir styrande för kommunens beslut om att tillåta en etablering av extern handel. Det är inte heller rimligt att släppa fram etableringar som drabbar en annan kommuns centralort på ett negativt sätt. </w:t>
      </w:r>
    </w:p>
    <w:p w14:paraId="6881BBA9" w14:textId="77777777" w:rsidR="00241093" w:rsidRPr="000925A8" w:rsidRDefault="00241093">
      <w:pPr>
        <w:pStyle w:val="Normaltindrag"/>
      </w:pPr>
      <w:r w:rsidRPr="000925A8">
        <w:t>Även om respektive kommu</w:t>
      </w:r>
      <w:r w:rsidRPr="000925A8">
        <w:t>n bör ha ett stort inflytande över handelset</w:t>
      </w:r>
      <w:r w:rsidRPr="000925A8">
        <w:t>a</w:t>
      </w:r>
      <w:r w:rsidRPr="000925A8">
        <w:t>bleringar inom den egna kommunen bör det påpekas att kommunernas plan</w:t>
      </w:r>
      <w:r w:rsidRPr="000925A8">
        <w:t>e</w:t>
      </w:r>
      <w:r w:rsidRPr="000925A8">
        <w:t>ring i dessa frågor inte bör göras mer detaljerad än vad som är nödvändigt. Det kan inte anses vara en kommunal uppgift att med stöd av PBL ta ställning i frågor om vem som skall få bedriva handel, den enskilde handlarens affär</w:t>
      </w:r>
      <w:r w:rsidRPr="000925A8">
        <w:t>s</w:t>
      </w:r>
      <w:r w:rsidRPr="000925A8">
        <w:t>idé osv. Bestämmelser som närmare reglerar inriktningen av handeln får enligt PBL endast meddelas om det finns skäl av betydande vikt. Kommune</w:t>
      </w:r>
      <w:r w:rsidRPr="000925A8">
        <w:t>r</w:t>
      </w:r>
      <w:r w:rsidRPr="000925A8">
        <w:t xml:space="preserve">nas möjlighet att korrekt </w:t>
      </w:r>
      <w:r w:rsidRPr="000925A8">
        <w:t>tillämpa denna bestämmelse ökar givetvis ju bättre kännedom som kommunen har om handelns villkor och konsekvenserna av olika beslut. Det är därför angeläget att de långsiktiga besluten utgår från en red</w:t>
      </w:r>
      <w:r w:rsidRPr="000925A8">
        <w:t>o</w:t>
      </w:r>
      <w:r w:rsidRPr="000925A8">
        <w:t xml:space="preserve">visad handelspolicy.  </w:t>
      </w:r>
    </w:p>
    <w:p w14:paraId="5409387B" w14:textId="77777777" w:rsidR="00241093" w:rsidRPr="000925A8" w:rsidRDefault="00241093">
      <w:pPr>
        <w:pStyle w:val="Normaltindrag"/>
      </w:pPr>
      <w:r w:rsidRPr="000925A8">
        <w:t>Vi anser sammanfattningsvis att det är angeläget att förstärka kommune</w:t>
      </w:r>
      <w:r w:rsidRPr="000925A8">
        <w:t>r</w:t>
      </w:r>
      <w:r w:rsidRPr="000925A8">
        <w:t>nas mandat att utöva sitt planeringsansvar. Ett led i ett sådant arbete är att verka för mer omfattande konsekvensanalyser och införandet av en handel</w:t>
      </w:r>
      <w:r w:rsidRPr="000925A8">
        <w:t>s</w:t>
      </w:r>
      <w:r w:rsidRPr="000925A8">
        <w:t>policy.</w:t>
      </w:r>
    </w:p>
    <w:p w14:paraId="00C8AAB8" w14:textId="77777777" w:rsidR="00241093" w:rsidRPr="000925A8" w:rsidRDefault="00241093">
      <w:pPr>
        <w:pStyle w:val="Normaltindrag"/>
      </w:pPr>
      <w:r w:rsidRPr="000925A8">
        <w:t>Det vi ovan anfört med anledning av motion 2001/02:Bo244 (kd) yrkande 4 bör riksdagen som sin mening ge regeringen till känna. Vi avstyrker dä</w:t>
      </w:r>
      <w:r w:rsidRPr="000925A8">
        <w:t>r</w:t>
      </w:r>
      <w:r w:rsidRPr="000925A8">
        <w:t>emot motion 2001/02:300 (mp) som har en till stora delar annan inriktning.</w:t>
      </w:r>
    </w:p>
    <w:p w14:paraId="2D49F4C4" w14:textId="77777777" w:rsidR="00241093" w:rsidRPr="000925A8" w:rsidRDefault="00241093">
      <w:pPr>
        <w:pStyle w:val="Reservationspunkt"/>
        <w:rPr>
          <w:noProof w:val="0"/>
        </w:rPr>
      </w:pPr>
      <w:bookmarkStart w:id="65" w:name="_Toc4898230"/>
      <w:r w:rsidRPr="000925A8">
        <w:rPr>
          <w:noProof w:val="0"/>
        </w:rPr>
        <w:t>13.</w:t>
      </w:r>
      <w:r w:rsidRPr="000925A8">
        <w:rPr>
          <w:noProof w:val="0"/>
        </w:rPr>
        <w:tab/>
        <w:t>Externa köpcentrum (punkt 9)</w:t>
      </w:r>
      <w:bookmarkEnd w:id="65"/>
    </w:p>
    <w:p w14:paraId="093FC538" w14:textId="77777777" w:rsidR="00241093" w:rsidRPr="000925A8" w:rsidRDefault="00241093">
      <w:pPr>
        <w:pStyle w:val="Reservanter"/>
      </w:pPr>
      <w:r w:rsidRPr="000925A8">
        <w:t>av Owe Hellberg (v) och Sten Lundström (v).</w:t>
      </w:r>
    </w:p>
    <w:p w14:paraId="6E7DB54B" w14:textId="77777777" w:rsidR="00241093" w:rsidRPr="000925A8" w:rsidRDefault="00241093">
      <w:pPr>
        <w:pStyle w:val="R4"/>
      </w:pPr>
      <w:r w:rsidRPr="000925A8">
        <w:t>Förslag till riksdagsbeslut</w:t>
      </w:r>
    </w:p>
    <w:p w14:paraId="67A0EC6D" w14:textId="77777777" w:rsidR="00241093" w:rsidRPr="000925A8" w:rsidRDefault="00241093">
      <w:r w:rsidRPr="000925A8">
        <w:t>Vi anser att utskottets förslag under punkt 9 borde ha följande lydelse:</w:t>
      </w:r>
    </w:p>
    <w:p w14:paraId="239B02AB" w14:textId="77777777" w:rsidR="00241093" w:rsidRPr="000925A8" w:rsidRDefault="00241093">
      <w:pPr>
        <w:pStyle w:val="Reservantfrslag"/>
      </w:pPr>
      <w:r w:rsidRPr="000925A8">
        <w:t>Riksdagen tillkännager för regeringen som sin mening vad som framförs i reservationen. Därmed bifaller riksdagen motion 2001/02:Bo300 yrkandena 2–5 samt avslår motionerna 2001/02:Bo244 yrkande 4 och 2001/02:Bo300 yrka</w:t>
      </w:r>
      <w:r w:rsidRPr="000925A8">
        <w:t>n</w:t>
      </w:r>
      <w:r w:rsidRPr="000925A8">
        <w:t>de 1.</w:t>
      </w:r>
    </w:p>
    <w:p w14:paraId="0CC21146" w14:textId="77777777" w:rsidR="00241093" w:rsidRPr="000925A8" w:rsidRDefault="00241093">
      <w:pPr>
        <w:pStyle w:val="R4"/>
      </w:pPr>
      <w:r w:rsidRPr="000925A8">
        <w:t>Ställningstagande</w:t>
      </w:r>
    </w:p>
    <w:p w14:paraId="0C1D51EC" w14:textId="77777777" w:rsidR="00241093" w:rsidRPr="000925A8" w:rsidRDefault="00241093">
      <w:pPr>
        <w:rPr>
          <w:snapToGrid w:val="0"/>
          <w:lang w:eastAsia="sv-SE"/>
        </w:rPr>
      </w:pPr>
      <w:r w:rsidRPr="000925A8">
        <w:rPr>
          <w:snapToGrid w:val="0"/>
          <w:lang w:eastAsia="sv-SE"/>
        </w:rPr>
        <w:t>Den nu pågående snabba utbyggnaden av stormarknader och externa köpcen</w:t>
      </w:r>
      <w:r w:rsidRPr="000925A8">
        <w:rPr>
          <w:snapToGrid w:val="0"/>
          <w:lang w:eastAsia="sv-SE"/>
        </w:rPr>
        <w:t>t</w:t>
      </w:r>
      <w:r w:rsidRPr="000925A8">
        <w:rPr>
          <w:snapToGrid w:val="0"/>
          <w:lang w:eastAsia="sv-SE"/>
        </w:rPr>
        <w:t>rum innebär samtidigt att den bostadsorienterade handeln utarmas. Utvec</w:t>
      </w:r>
      <w:r w:rsidRPr="000925A8">
        <w:rPr>
          <w:snapToGrid w:val="0"/>
          <w:lang w:eastAsia="sv-SE"/>
        </w:rPr>
        <w:t>k</w:t>
      </w:r>
      <w:r w:rsidRPr="000925A8">
        <w:rPr>
          <w:snapToGrid w:val="0"/>
          <w:lang w:eastAsia="sv-SE"/>
        </w:rPr>
        <w:t xml:space="preserve">lingen leder också till ett samhälle där bilberoendet ökar kraftigt. En sådan utveckling bör motverkas både av miljöskäl och av sociala skäl. Hushåll utan bil, ofta äldre och ekonomiskt svaga grupper, skall inte behöva bli lidande av handelns omstrukturering. </w:t>
      </w:r>
    </w:p>
    <w:p w14:paraId="5BDC73A5" w14:textId="77777777" w:rsidR="00241093" w:rsidRPr="000925A8" w:rsidRDefault="00241093">
      <w:pPr>
        <w:pStyle w:val="Normaltindrag"/>
        <w:rPr>
          <w:snapToGrid w:val="0"/>
          <w:lang w:eastAsia="sv-SE"/>
        </w:rPr>
      </w:pPr>
      <w:r w:rsidRPr="000925A8">
        <w:t xml:space="preserve">Regeringen har aviserat sin avsikt att se över PBL med avseende på frågor om externa köpcentrum. </w:t>
      </w:r>
      <w:r w:rsidRPr="000925A8">
        <w:rPr>
          <w:snapToGrid w:val="0"/>
          <w:lang w:eastAsia="sv-SE"/>
        </w:rPr>
        <w:t>Vi anser mot bakgrund av den nu pågående utvec</w:t>
      </w:r>
      <w:r w:rsidRPr="000925A8">
        <w:rPr>
          <w:snapToGrid w:val="0"/>
          <w:lang w:eastAsia="sv-SE"/>
        </w:rPr>
        <w:t>k</w:t>
      </w:r>
      <w:r w:rsidRPr="000925A8">
        <w:rPr>
          <w:snapToGrid w:val="0"/>
          <w:lang w:eastAsia="sv-SE"/>
        </w:rPr>
        <w:t>lingen att ett moratorium för nya externa köpcentrum snarast bör införas. Detta ger tillfälle att se över gällande lagstiftning och förstärka kommunernas möjlighet att styra utvecklingen så att hänsyn kan tas till hela befolkningens behov och önskemål. Det behöver också utarbetas en policy vad gäller u</w:t>
      </w:r>
      <w:r w:rsidRPr="000925A8">
        <w:rPr>
          <w:snapToGrid w:val="0"/>
          <w:lang w:eastAsia="sv-SE"/>
        </w:rPr>
        <w:t>t</w:t>
      </w:r>
      <w:r w:rsidRPr="000925A8">
        <w:rPr>
          <w:snapToGrid w:val="0"/>
          <w:lang w:eastAsia="sv-SE"/>
        </w:rPr>
        <w:t>byggnaden av externa köpcentrum både på nationell och kommunal nivå. Länsstyrelsernas roll behöver förstärkas så att olika kommuners intressen bättre kan vägas m</w:t>
      </w:r>
      <w:r w:rsidRPr="000925A8">
        <w:rPr>
          <w:snapToGrid w:val="0"/>
          <w:lang w:eastAsia="sv-SE"/>
        </w:rPr>
        <w:t>ot varandra och samordnas.</w:t>
      </w:r>
    </w:p>
    <w:p w14:paraId="334D6186" w14:textId="77777777" w:rsidR="00241093" w:rsidRPr="000925A8" w:rsidRDefault="00241093">
      <w:pPr>
        <w:pStyle w:val="Normaltindrag"/>
      </w:pPr>
      <w:r w:rsidRPr="000925A8">
        <w:t>Vi föreslår att riksdagen tillkännager för regeringen som sin mening vad vi nu framfört. Vårt förslag lämnas med anledning av motion 2001/02:Bo300 (mp) yrkandena 2–4. Förslaget i yrkande 1 i samma motion om en vetorätt för kommuner mot etableringar i grannkommunen avstyrks emellertid. Vad vi anfört om behovet av en handelspolicy innebär att även motion 2001/02: Bo244 (kd) yrkande 4 får anses vara tillgodosedd.</w:t>
      </w:r>
    </w:p>
    <w:p w14:paraId="3AA330B0" w14:textId="77777777" w:rsidR="00241093" w:rsidRPr="000925A8" w:rsidRDefault="00241093">
      <w:pPr>
        <w:pStyle w:val="Reservationspunkt"/>
        <w:rPr>
          <w:noProof w:val="0"/>
        </w:rPr>
      </w:pPr>
      <w:bookmarkStart w:id="66" w:name="_Toc4898231"/>
      <w:r w:rsidRPr="000925A8">
        <w:rPr>
          <w:noProof w:val="0"/>
        </w:rPr>
        <w:t>14.</w:t>
      </w:r>
      <w:r w:rsidRPr="000925A8">
        <w:rPr>
          <w:noProof w:val="0"/>
        </w:rPr>
        <w:tab/>
        <w:t>Externa köpcentrum (punkt 9)</w:t>
      </w:r>
      <w:bookmarkEnd w:id="66"/>
    </w:p>
    <w:p w14:paraId="218FB611" w14:textId="77777777" w:rsidR="00241093" w:rsidRPr="000925A8" w:rsidRDefault="00241093">
      <w:pPr>
        <w:pStyle w:val="Reservanter"/>
      </w:pPr>
      <w:r w:rsidRPr="000925A8">
        <w:t>av Helena Hillar Rosenqvist (mp).</w:t>
      </w:r>
    </w:p>
    <w:p w14:paraId="214873C2" w14:textId="77777777" w:rsidR="00241093" w:rsidRPr="000925A8" w:rsidRDefault="00241093">
      <w:pPr>
        <w:pStyle w:val="R4"/>
      </w:pPr>
      <w:r w:rsidRPr="000925A8">
        <w:t>Förslag till riksdagsbeslut</w:t>
      </w:r>
    </w:p>
    <w:p w14:paraId="738D9B30" w14:textId="77777777" w:rsidR="00241093" w:rsidRPr="000925A8" w:rsidRDefault="00241093">
      <w:r w:rsidRPr="000925A8">
        <w:t>Jag anser att utskottets förslag under punkt 9 borde ha följande lydelse:</w:t>
      </w:r>
    </w:p>
    <w:p w14:paraId="1A8765BE" w14:textId="77777777" w:rsidR="00241093" w:rsidRPr="000925A8" w:rsidRDefault="00241093">
      <w:pPr>
        <w:pStyle w:val="Reservantfrslag"/>
      </w:pPr>
      <w:r w:rsidRPr="000925A8">
        <w:t>Riksdagen tillkännager för regeringen som sin mening vad som framförs i reservationen. Därmed bifaller riksdagen motion 2001/02:Bo300 samt avslår motion 2001/02:Bo244 yrkande 4.</w:t>
      </w:r>
    </w:p>
    <w:p w14:paraId="5756F3AD" w14:textId="77777777" w:rsidR="00241093" w:rsidRPr="000925A8" w:rsidRDefault="00241093">
      <w:pPr>
        <w:pStyle w:val="R4"/>
      </w:pPr>
      <w:r w:rsidRPr="000925A8">
        <w:t>Ställningstagande</w:t>
      </w:r>
    </w:p>
    <w:p w14:paraId="3DCF22E4" w14:textId="77777777" w:rsidR="00241093" w:rsidRPr="000925A8" w:rsidRDefault="00241093">
      <w:pPr>
        <w:pStyle w:val="NormalBeslutDnr"/>
      </w:pPr>
      <w:r w:rsidRPr="000925A8">
        <w:t>I Sverige byggs fler externa köpcentrum och stormarknader än i övriga No</w:t>
      </w:r>
      <w:r w:rsidRPr="000925A8">
        <w:t>r</w:t>
      </w:r>
      <w:r w:rsidRPr="000925A8">
        <w:t>den och inom de flesta andra EU-länder. Samtidigt sker en omfattande ne</w:t>
      </w:r>
      <w:r w:rsidRPr="000925A8">
        <w:t>d</w:t>
      </w:r>
      <w:r w:rsidRPr="000925A8">
        <w:t>läggning av den lokala handeln i bostadsområdena. Denna utveckling ger sidoeffekter som innebär ökat bilberoende och som utestänger människor utan bil från att besöka handeln. Utbyggnaden av den externa handeln innebär också att koldioxidutsläppen ökar eftersom själva förutsättningen för etabl</w:t>
      </w:r>
      <w:r w:rsidRPr="000925A8">
        <w:t>e</w:t>
      </w:r>
      <w:r w:rsidRPr="000925A8">
        <w:t>ringarna är en ökad bilanvändning. Trots att denna utveckling pågått en längre tid saknas det en nationell strategi för hur handelns omstrukture</w:t>
      </w:r>
      <w:r w:rsidRPr="000925A8">
        <w:t>ring skall hant</w:t>
      </w:r>
      <w:r w:rsidRPr="000925A8">
        <w:t>e</w:t>
      </w:r>
      <w:r w:rsidRPr="000925A8">
        <w:t>ras.</w:t>
      </w:r>
    </w:p>
    <w:p w14:paraId="4E7A6602" w14:textId="77777777" w:rsidR="00241093" w:rsidRPr="000925A8" w:rsidRDefault="00241093">
      <w:pPr>
        <w:pStyle w:val="Normaltindrag"/>
      </w:pPr>
      <w:r w:rsidRPr="000925A8">
        <w:t>PBL innebär att en kommun själv bestämmer hur mark och vatten skall användas inom kommunens gränser. Det är emellertid nödvändigt att ko</w:t>
      </w:r>
      <w:r w:rsidRPr="000925A8">
        <w:t>m</w:t>
      </w:r>
      <w:r w:rsidRPr="000925A8">
        <w:t>munerna baserar sina ställningstaganden på en helhetssyn på kommunens utveckling. I dag saknas en sådan helhetssyn i många kommuner. Det pågår nu en samhällsutveckling som innebär att boendet helt separeras från handeln. De strategiska besluten i denna utveckling tas i många fall av privata explo</w:t>
      </w:r>
      <w:r w:rsidRPr="000925A8">
        <w:t>a</w:t>
      </w:r>
      <w:r w:rsidRPr="000925A8">
        <w:t>törer enligt amerikansk modell. Kommunerna spelas ut mot varandra och vågar inte säga nej till en handelsetablering av rädsla för att mista värdefulla arbetstillfällen. Trots kraven på konsekvensanalyser i översik</w:t>
      </w:r>
      <w:r w:rsidRPr="000925A8">
        <w:t>tsplaner och på miljökonsekvens</w:t>
      </w:r>
      <w:r w:rsidRPr="000925A8">
        <w:softHyphen/>
        <w:t>beskrivningar i detaljplan verkar det som om kommunpolit</w:t>
      </w:r>
      <w:r w:rsidRPr="000925A8">
        <w:t>i</w:t>
      </w:r>
      <w:r w:rsidRPr="000925A8">
        <w:t>ker har svårt att inse de sammantagna effekterna av att släppa fram mer extern ha</w:t>
      </w:r>
      <w:r w:rsidRPr="000925A8">
        <w:t>n</w:t>
      </w:r>
      <w:r w:rsidRPr="000925A8">
        <w:t xml:space="preserve">del. </w:t>
      </w:r>
    </w:p>
    <w:p w14:paraId="48A84B1E" w14:textId="77777777" w:rsidR="00241093" w:rsidRPr="000925A8" w:rsidRDefault="00241093">
      <w:pPr>
        <w:pStyle w:val="Normaltindrag"/>
      </w:pPr>
      <w:r w:rsidRPr="000925A8">
        <w:t>Vid planering är kommunen skyldig att ta hänsyn till förhållanden i grann</w:t>
      </w:r>
      <w:r w:rsidRPr="000925A8">
        <w:softHyphen/>
        <w:t>kommunerna. Länsstyrelsen skall ingripa när den mellankommunala samor</w:t>
      </w:r>
      <w:r w:rsidRPr="000925A8">
        <w:t>d</w:t>
      </w:r>
      <w:r w:rsidRPr="000925A8">
        <w:t>ningen inte har skett på ett lämpligt sätt. Det finns dock många exempel på handelsetableringar som har tillåtits trots de uppenbara negativa konsekve</w:t>
      </w:r>
      <w:r w:rsidRPr="000925A8">
        <w:t>n</w:t>
      </w:r>
      <w:r w:rsidRPr="000925A8">
        <w:t xml:space="preserve">serna i grannkommunen. Det finns anledning att ifrågasätta om dagens </w:t>
      </w:r>
      <w:r w:rsidRPr="000925A8">
        <w:br/>
        <w:t>reg</w:t>
      </w:r>
      <w:r w:rsidRPr="000925A8">
        <w:softHyphen/>
        <w:t>lering av de mellankommunala hänsynen vid handelsetableringar är til</w:t>
      </w:r>
      <w:r w:rsidRPr="000925A8">
        <w:t>l</w:t>
      </w:r>
      <w:r w:rsidRPr="000925A8">
        <w:t>räcklig. Det har alltför ofta visat sig att kommunens eget bästa väger tyngst vid etablering av externa köpcentrum. Länsstyrelserna bör därför geno</w:t>
      </w:r>
      <w:r w:rsidRPr="000925A8">
        <w:t>mföra en ingående konsekvensanalys i samband med handelsetableringar som berör flera kommuner. Det finns också skäl att överväga införandet av en vetorätt i PBL för grannkomm</w:t>
      </w:r>
      <w:r w:rsidRPr="000925A8">
        <w:t>u</w:t>
      </w:r>
      <w:r w:rsidRPr="000925A8">
        <w:t xml:space="preserve">ner. </w:t>
      </w:r>
    </w:p>
    <w:p w14:paraId="7B56A96B" w14:textId="77777777" w:rsidR="00241093" w:rsidRPr="000925A8" w:rsidRDefault="00241093">
      <w:pPr>
        <w:pStyle w:val="Normaltindrag"/>
      </w:pPr>
      <w:r w:rsidRPr="000925A8">
        <w:t>I många länder i Europa finns det betydligt större möjlighet än i Sverige att styra handelns utveckling. Det finns exempelvis möjlighet att styra handelns etablering till stadskärnorna och att begränsa butiksstorleken. Det föreko</w:t>
      </w:r>
      <w:r w:rsidRPr="000925A8">
        <w:t>m</w:t>
      </w:r>
      <w:r w:rsidRPr="000925A8">
        <w:t>mer också planer på ett tidsbegränsat stopp för externetableringar. Jag anser att en sådan modell bör prövas i Sverige för att ge tid för en ordentlig g</w:t>
      </w:r>
      <w:r w:rsidRPr="000925A8">
        <w:t>e</w:t>
      </w:r>
      <w:r w:rsidRPr="000925A8">
        <w:t>nomlysning av konsekvenserna av den pågående utvecklingen. Ett morator</w:t>
      </w:r>
      <w:r w:rsidRPr="000925A8">
        <w:t>i</w:t>
      </w:r>
      <w:r w:rsidRPr="000925A8">
        <w:t>um bör således införas vad gäller nya externa köpcentrum och stormarknader. Detta moratorium bör gälla tills vi i Sverige har utarbetat och fastställt en tydlig policy vad gäller externa köpcentrum och ställning hunnit tas till fö</w:t>
      </w:r>
      <w:r w:rsidRPr="000925A8">
        <w:t>r</w:t>
      </w:r>
      <w:r w:rsidRPr="000925A8">
        <w:t>slag om en förstärkt lagstiftning.</w:t>
      </w:r>
    </w:p>
    <w:p w14:paraId="46AE60D0" w14:textId="77777777" w:rsidR="00241093" w:rsidRPr="000925A8" w:rsidRDefault="00241093">
      <w:pPr>
        <w:pStyle w:val="Normaltindrag"/>
      </w:pPr>
      <w:r w:rsidRPr="000925A8">
        <w:t>Ett moratorium ger vi</w:t>
      </w:r>
      <w:r w:rsidRPr="000925A8">
        <w:t>dare utrymme för en nödvändig samhällsdebatt om vilken utveckling vi vill ha och om hur vi bäst skall kunna bevara det kultu</w:t>
      </w:r>
      <w:r w:rsidRPr="000925A8">
        <w:t>r</w:t>
      </w:r>
      <w:r w:rsidRPr="000925A8">
        <w:t>arv som utgör grunden för alla våra svenska städer. Våra städer har traditi</w:t>
      </w:r>
      <w:r w:rsidRPr="000925A8">
        <w:t>o</w:t>
      </w:r>
      <w:r w:rsidRPr="000925A8">
        <w:t>nellt byggts efter en modell som innebär att centrum utgör den naturliga m</w:t>
      </w:r>
      <w:r w:rsidRPr="000925A8">
        <w:t>ö</w:t>
      </w:r>
      <w:r w:rsidRPr="000925A8">
        <w:t>tesplatsen för både inköp och kultur. De senaste årtiondenas köpcen</w:t>
      </w:r>
      <w:r w:rsidRPr="000925A8">
        <w:t>t</w:t>
      </w:r>
      <w:r w:rsidRPr="000925A8">
        <w:t>rum</w:t>
      </w:r>
      <w:r w:rsidRPr="000925A8">
        <w:softHyphen/>
        <w:t>koncept bygger emellertid på en annan typ av samhällsbygge, den amerikan</w:t>
      </w:r>
      <w:r w:rsidRPr="000925A8">
        <w:t>s</w:t>
      </w:r>
      <w:r w:rsidRPr="000925A8">
        <w:t xml:space="preserve">ka modellen baserad på separering av boende och handel. </w:t>
      </w:r>
    </w:p>
    <w:p w14:paraId="2AC4D79E" w14:textId="77777777" w:rsidR="00241093" w:rsidRPr="000925A8" w:rsidRDefault="00241093">
      <w:pPr>
        <w:pStyle w:val="Normaltindrag"/>
      </w:pPr>
      <w:r w:rsidRPr="000925A8">
        <w:t xml:space="preserve">Vad jag ovan anfört bör riksdagen </w:t>
      </w:r>
      <w:r w:rsidRPr="000925A8">
        <w:t>med anledning av motion 2001/02:</w:t>
      </w:r>
      <w:r w:rsidRPr="000925A8">
        <w:br/>
        <w:t>Bo330 (mp) som sin mening ge regeringen till känna. Det innebär också att motion 2001/02:Bo244 (kd) yrkande 4 i huvudsak får anses vara tillgodosedd.</w:t>
      </w:r>
    </w:p>
    <w:p w14:paraId="5C9089E2" w14:textId="77777777" w:rsidR="00241093" w:rsidRPr="000925A8" w:rsidRDefault="00241093">
      <w:pPr>
        <w:pStyle w:val="Reservationspunkt"/>
        <w:rPr>
          <w:noProof w:val="0"/>
        </w:rPr>
      </w:pPr>
      <w:bookmarkStart w:id="67" w:name="_Toc4898232"/>
      <w:r w:rsidRPr="000925A8">
        <w:rPr>
          <w:noProof w:val="0"/>
        </w:rPr>
        <w:t>15.</w:t>
      </w:r>
      <w:r w:rsidRPr="000925A8">
        <w:rPr>
          <w:noProof w:val="0"/>
        </w:rPr>
        <w:tab/>
        <w:t>Kommunala servicezoner (punkt 11)</w:t>
      </w:r>
      <w:bookmarkEnd w:id="67"/>
    </w:p>
    <w:p w14:paraId="300699DD" w14:textId="77777777" w:rsidR="00241093" w:rsidRPr="000925A8" w:rsidRDefault="00241093">
      <w:pPr>
        <w:pStyle w:val="Reservanter"/>
      </w:pPr>
      <w:r w:rsidRPr="000925A8">
        <w:t>av Knut Billing (m), Inga Berggren (m), Ewa Thalén Finné (m) och Sten Andersson (-).</w:t>
      </w:r>
    </w:p>
    <w:p w14:paraId="0849894E" w14:textId="77777777" w:rsidR="00241093" w:rsidRPr="000925A8" w:rsidRDefault="00241093">
      <w:pPr>
        <w:pStyle w:val="R4"/>
      </w:pPr>
      <w:r w:rsidRPr="000925A8">
        <w:t>Förslag till riksdagsbeslut</w:t>
      </w:r>
    </w:p>
    <w:p w14:paraId="08253CE5" w14:textId="77777777" w:rsidR="00241093" w:rsidRPr="000925A8" w:rsidRDefault="00241093">
      <w:r w:rsidRPr="000925A8">
        <w:t>Vi anser att utskottets förslag under punkt 11 borde ha följande lydelse:</w:t>
      </w:r>
    </w:p>
    <w:p w14:paraId="179DE294" w14:textId="77777777" w:rsidR="00241093" w:rsidRPr="000925A8" w:rsidRDefault="00241093">
      <w:pPr>
        <w:pStyle w:val="Reservantfrslag"/>
      </w:pPr>
      <w:r w:rsidRPr="000925A8">
        <w:t>Riksdagen tillkännager för regeringen som sin mening vad som framförs i reservationen. Därmed bifaller riksdagen motionerna 2001/02:Bo210 och 2001/02:Bo216 yrka</w:t>
      </w:r>
      <w:r w:rsidRPr="000925A8">
        <w:t>n</w:t>
      </w:r>
      <w:r w:rsidRPr="000925A8">
        <w:t>de 13.</w:t>
      </w:r>
    </w:p>
    <w:p w14:paraId="1F0A02E3" w14:textId="77777777" w:rsidR="00241093" w:rsidRPr="000925A8" w:rsidRDefault="00241093">
      <w:pPr>
        <w:pStyle w:val="R4"/>
      </w:pPr>
      <w:r w:rsidRPr="000925A8">
        <w:t>Ställningstagande</w:t>
      </w:r>
    </w:p>
    <w:p w14:paraId="5E1D7E01" w14:textId="77777777" w:rsidR="00241093" w:rsidRPr="000925A8" w:rsidRDefault="00241093">
      <w:pPr>
        <w:rPr>
          <w:snapToGrid w:val="0"/>
          <w:lang w:eastAsia="sv-SE"/>
        </w:rPr>
      </w:pPr>
      <w:r w:rsidRPr="000925A8">
        <w:rPr>
          <w:snapToGrid w:val="0"/>
          <w:lang w:eastAsia="sv-SE"/>
        </w:rPr>
        <w:t xml:space="preserve">Rätten att få bygga och bo efter individuella önskemål inskränks alltför ofta av kommunpolitikernas möjlighet att avstå från att detaljplanelägga områden. Detta medför att inga bygglov kan beviljas, vilket är ett effektivt sätt för kommunpolitikerna att styra var medborgarna skall bygga och bo. </w:t>
      </w:r>
    </w:p>
    <w:p w14:paraId="2C77C767" w14:textId="77777777" w:rsidR="00241093" w:rsidRPr="000925A8" w:rsidRDefault="00241093">
      <w:pPr>
        <w:pStyle w:val="Normaltindrag"/>
        <w:rPr>
          <w:snapToGrid w:val="0"/>
          <w:lang w:eastAsia="sv-SE"/>
        </w:rPr>
      </w:pPr>
      <w:r w:rsidRPr="000925A8">
        <w:rPr>
          <w:snapToGrid w:val="0"/>
          <w:lang w:eastAsia="sv-SE"/>
        </w:rPr>
        <w:t>Många människor har önskemål om att bosätta sig i t.ex. storstadskomm</w:t>
      </w:r>
      <w:r w:rsidRPr="000925A8">
        <w:rPr>
          <w:snapToGrid w:val="0"/>
          <w:lang w:eastAsia="sv-SE"/>
        </w:rPr>
        <w:t>u</w:t>
      </w:r>
      <w:r w:rsidRPr="000925A8">
        <w:rPr>
          <w:snapToGrid w:val="0"/>
          <w:lang w:eastAsia="sv-SE"/>
        </w:rPr>
        <w:t>nernas glesbygder. Motiveringen för avslag på bygglovsansökningar i sådana områden är att det blir för dyrt ur kommunalekonomisk synvinkel att tillgod</w:t>
      </w:r>
      <w:r w:rsidRPr="000925A8">
        <w:rPr>
          <w:snapToGrid w:val="0"/>
          <w:lang w:eastAsia="sv-SE"/>
        </w:rPr>
        <w:t>o</w:t>
      </w:r>
      <w:r w:rsidRPr="000925A8">
        <w:rPr>
          <w:snapToGrid w:val="0"/>
          <w:lang w:eastAsia="sv-SE"/>
        </w:rPr>
        <w:t>se önskemål om kommunal service som t.ex. skola, skolskjutsar samt barn- och äldreomsorg. Kommunerna framhåller också i många fall att dyra lö</w:t>
      </w:r>
      <w:r w:rsidRPr="000925A8">
        <w:rPr>
          <w:snapToGrid w:val="0"/>
          <w:lang w:eastAsia="sv-SE"/>
        </w:rPr>
        <w:t>s</w:t>
      </w:r>
      <w:r w:rsidRPr="000925A8">
        <w:rPr>
          <w:snapToGrid w:val="0"/>
          <w:lang w:eastAsia="sv-SE"/>
        </w:rPr>
        <w:t>ningar med anslutning till kommunala system för vatten och avlopp är nö</w:t>
      </w:r>
      <w:r w:rsidRPr="000925A8">
        <w:rPr>
          <w:snapToGrid w:val="0"/>
          <w:lang w:eastAsia="sv-SE"/>
        </w:rPr>
        <w:t>d</w:t>
      </w:r>
      <w:r w:rsidRPr="000925A8">
        <w:rPr>
          <w:snapToGrid w:val="0"/>
          <w:lang w:eastAsia="sv-SE"/>
        </w:rPr>
        <w:t>vändiga. Denna typ av frågor går emellertid ofta att lösa med lokala, miljöa</w:t>
      </w:r>
      <w:r w:rsidRPr="000925A8">
        <w:rPr>
          <w:snapToGrid w:val="0"/>
          <w:lang w:eastAsia="sv-SE"/>
        </w:rPr>
        <w:t>n</w:t>
      </w:r>
      <w:r w:rsidRPr="000925A8">
        <w:rPr>
          <w:snapToGrid w:val="0"/>
          <w:lang w:eastAsia="sv-SE"/>
        </w:rPr>
        <w:t>passade system. Även när det gäller övriga serviceområden går det na</w:t>
      </w:r>
      <w:r w:rsidRPr="000925A8">
        <w:rPr>
          <w:snapToGrid w:val="0"/>
          <w:lang w:eastAsia="sv-SE"/>
        </w:rPr>
        <w:t>turlig</w:t>
      </w:r>
      <w:r w:rsidRPr="000925A8">
        <w:rPr>
          <w:snapToGrid w:val="0"/>
          <w:lang w:eastAsia="sv-SE"/>
        </w:rPr>
        <w:t>t</w:t>
      </w:r>
      <w:r w:rsidRPr="000925A8">
        <w:rPr>
          <w:snapToGrid w:val="0"/>
          <w:lang w:eastAsia="sv-SE"/>
        </w:rPr>
        <w:t xml:space="preserve">vis ofta att hitta lösningar som är bra för både den enskilde medborgaren och kommunen. Dessa lösningar får emellertid inte innebära en inskränkning av lagreglerade rättigheter som rätten till hemsjukvård, rätten att gå i skola m.m. </w:t>
      </w:r>
    </w:p>
    <w:p w14:paraId="0A29887F" w14:textId="77777777" w:rsidR="00241093" w:rsidRPr="000925A8" w:rsidRDefault="00241093">
      <w:pPr>
        <w:pStyle w:val="Normaltindrag"/>
      </w:pPr>
      <w:r w:rsidRPr="000925A8">
        <w:rPr>
          <w:snapToGrid w:val="0"/>
          <w:lang w:eastAsia="sv-SE"/>
        </w:rPr>
        <w:t>Ett sätt att lösa problemen och låta medborgarna bygga och bo mer fritt är att man delar in kommunen i servicezoner. Då har alla parter redan från bö</w:t>
      </w:r>
      <w:r w:rsidRPr="000925A8">
        <w:rPr>
          <w:snapToGrid w:val="0"/>
          <w:lang w:eastAsia="sv-SE"/>
        </w:rPr>
        <w:t>r</w:t>
      </w:r>
      <w:r w:rsidRPr="000925A8">
        <w:rPr>
          <w:snapToGrid w:val="0"/>
          <w:lang w:eastAsia="sv-SE"/>
        </w:rPr>
        <w:t>jan klart för sig vad som gäller för kommunens åtaganden, dvs. vad den e</w:t>
      </w:r>
      <w:r w:rsidRPr="000925A8">
        <w:rPr>
          <w:snapToGrid w:val="0"/>
          <w:lang w:eastAsia="sv-SE"/>
        </w:rPr>
        <w:t>n</w:t>
      </w:r>
      <w:r w:rsidRPr="000925A8">
        <w:rPr>
          <w:snapToGrid w:val="0"/>
          <w:lang w:eastAsia="sv-SE"/>
        </w:rPr>
        <w:t>skilde kan få för service i olika delar av kommunen. Förutsättningarna för att införa möjligheten till kommunala beslut om servicezoner enligt denna m</w:t>
      </w:r>
      <w:r w:rsidRPr="000925A8">
        <w:rPr>
          <w:snapToGrid w:val="0"/>
          <w:lang w:eastAsia="sv-SE"/>
        </w:rPr>
        <w:t>o</w:t>
      </w:r>
      <w:r w:rsidRPr="000925A8">
        <w:rPr>
          <w:snapToGrid w:val="0"/>
          <w:lang w:eastAsia="sv-SE"/>
        </w:rPr>
        <w:t>dell bör snarast utredas. Vi anser att en sådan modell är förenlig med den kommunala likställighetsprincipen. Alla vet från början vad som gäller och alla har möjlighet att fatta beslutet om bosättning utifrån de givna förutsät</w:t>
      </w:r>
      <w:r w:rsidRPr="000925A8">
        <w:rPr>
          <w:snapToGrid w:val="0"/>
          <w:lang w:eastAsia="sv-SE"/>
        </w:rPr>
        <w:t>t</w:t>
      </w:r>
      <w:r w:rsidRPr="000925A8">
        <w:rPr>
          <w:snapToGrid w:val="0"/>
          <w:lang w:eastAsia="sv-SE"/>
        </w:rPr>
        <w:t>ningarna. Frågan om det krävs ändring i kommunallagen, elle</w:t>
      </w:r>
      <w:r w:rsidRPr="000925A8">
        <w:rPr>
          <w:snapToGrid w:val="0"/>
          <w:lang w:eastAsia="sv-SE"/>
        </w:rPr>
        <w:t>r andra lagän</w:t>
      </w:r>
      <w:r w:rsidRPr="000925A8">
        <w:rPr>
          <w:snapToGrid w:val="0"/>
          <w:lang w:eastAsia="sv-SE"/>
        </w:rPr>
        <w:t>d</w:t>
      </w:r>
      <w:r w:rsidRPr="000925A8">
        <w:rPr>
          <w:snapToGrid w:val="0"/>
          <w:lang w:eastAsia="sv-SE"/>
        </w:rPr>
        <w:t>ringar, för införande av en modell med kommunala servicezoner bör ägnas särskild uppmärksamhet i en utrednin</w:t>
      </w:r>
      <w:r w:rsidRPr="000925A8">
        <w:rPr>
          <w:snapToGrid w:val="0"/>
          <w:lang w:eastAsia="sv-SE"/>
        </w:rPr>
        <w:t>g</w:t>
      </w:r>
      <w:r w:rsidRPr="000925A8">
        <w:rPr>
          <w:snapToGrid w:val="0"/>
          <w:lang w:eastAsia="sv-SE"/>
        </w:rPr>
        <w:t>.</w:t>
      </w:r>
    </w:p>
    <w:p w14:paraId="76662DF3" w14:textId="77777777" w:rsidR="00241093" w:rsidRPr="000925A8" w:rsidRDefault="00241093">
      <w:pPr>
        <w:pStyle w:val="Normaltindrag"/>
      </w:pPr>
      <w:r w:rsidRPr="000925A8">
        <w:t>Vi föreslår att riksdagen tillkännager för regeringen som sin mening att en utredning om kommunala servicezoner snarast bör tillsättas. Vårt förslag lämnas med anledning av motionerna 2001/02:Bo210 (m) och 2001/02:Bo216 (m) yrkande 13.</w:t>
      </w:r>
    </w:p>
    <w:p w14:paraId="48FDBDDC" w14:textId="77777777" w:rsidR="00241093" w:rsidRPr="000925A8" w:rsidRDefault="00241093">
      <w:pPr>
        <w:pStyle w:val="Reservationspunkt"/>
        <w:rPr>
          <w:noProof w:val="0"/>
        </w:rPr>
      </w:pPr>
      <w:bookmarkStart w:id="68" w:name="_Toc4898233"/>
      <w:r w:rsidRPr="000925A8">
        <w:rPr>
          <w:noProof w:val="0"/>
        </w:rPr>
        <w:t>16.</w:t>
      </w:r>
      <w:r w:rsidRPr="000925A8">
        <w:rPr>
          <w:noProof w:val="0"/>
        </w:rPr>
        <w:tab/>
        <w:t>Den statliga kontrollen av kommunala planer (punkt 12)</w:t>
      </w:r>
      <w:bookmarkEnd w:id="68"/>
    </w:p>
    <w:p w14:paraId="4969810E" w14:textId="77777777" w:rsidR="00241093" w:rsidRPr="000925A8" w:rsidRDefault="00241093">
      <w:pPr>
        <w:pStyle w:val="Reservanter"/>
      </w:pPr>
      <w:r w:rsidRPr="000925A8">
        <w:t>av Knut Billing (m), Inga Berggren (m), Ewa Thalén Finné (m) och Sten Andersson (-).</w:t>
      </w:r>
    </w:p>
    <w:p w14:paraId="6F88D1A5" w14:textId="77777777" w:rsidR="00241093" w:rsidRPr="000925A8" w:rsidRDefault="00241093">
      <w:pPr>
        <w:pStyle w:val="R4"/>
      </w:pPr>
      <w:r w:rsidRPr="000925A8">
        <w:t>Förslag till riksdagsbeslut</w:t>
      </w:r>
    </w:p>
    <w:p w14:paraId="6EDFA5CB" w14:textId="77777777" w:rsidR="00241093" w:rsidRPr="000925A8" w:rsidRDefault="00241093">
      <w:r w:rsidRPr="000925A8">
        <w:t>Vi anser att utskottets förslag under punkt 12 borde ha följande lydelse:</w:t>
      </w:r>
    </w:p>
    <w:p w14:paraId="14E84A85" w14:textId="77777777" w:rsidR="00241093" w:rsidRPr="000925A8" w:rsidRDefault="00241093">
      <w:pPr>
        <w:pStyle w:val="Reservantfrslag"/>
      </w:pPr>
      <w:r w:rsidRPr="000925A8">
        <w:t>Riksdagen tillkännager för regeringen som sin mening vad som framförs i reservationen. Därmed bifaller riksdagen motion 2001/02:Bo216 yrka</w:t>
      </w:r>
      <w:r w:rsidRPr="000925A8">
        <w:t>n</w:t>
      </w:r>
      <w:r w:rsidRPr="000925A8">
        <w:t>de 8.</w:t>
      </w:r>
    </w:p>
    <w:p w14:paraId="2E7F87D7" w14:textId="77777777" w:rsidR="00241093" w:rsidRPr="000925A8" w:rsidRDefault="00241093">
      <w:pPr>
        <w:pStyle w:val="R4"/>
      </w:pPr>
      <w:r w:rsidRPr="000925A8">
        <w:t>Ställningstagande</w:t>
      </w:r>
    </w:p>
    <w:p w14:paraId="6D8B0D6F" w14:textId="77777777" w:rsidR="00241093" w:rsidRPr="000925A8" w:rsidRDefault="00241093">
      <w:r w:rsidRPr="000925A8">
        <w:rPr>
          <w:snapToGrid w:val="0"/>
          <w:lang w:eastAsia="sv-SE"/>
        </w:rPr>
        <w:t>Det har under senare år förekommit några fall där Boverket och länsstyrelser har sagt nej till etablering av stormarknader och därmed underkänt detaljpl</w:t>
      </w:r>
      <w:r w:rsidRPr="000925A8">
        <w:rPr>
          <w:snapToGrid w:val="0"/>
          <w:lang w:eastAsia="sv-SE"/>
        </w:rPr>
        <w:t>a</w:t>
      </w:r>
      <w:r w:rsidRPr="000925A8">
        <w:rPr>
          <w:snapToGrid w:val="0"/>
          <w:lang w:eastAsia="sv-SE"/>
        </w:rPr>
        <w:t>ner antagna av kommunfullmäktige. Detta är inte acceptabelt och ligger inte i konsumenternas intresse. Enligt vår uppfattning är det en kommunal angel</w:t>
      </w:r>
      <w:r w:rsidRPr="000925A8">
        <w:rPr>
          <w:snapToGrid w:val="0"/>
          <w:lang w:eastAsia="sv-SE"/>
        </w:rPr>
        <w:t>ä</w:t>
      </w:r>
      <w:r w:rsidRPr="000925A8">
        <w:rPr>
          <w:snapToGrid w:val="0"/>
          <w:lang w:eastAsia="sv-SE"/>
        </w:rPr>
        <w:t>genhet att bestämma hur marken skall disponeras i den egna kommunen. Det är då också högst rimligt att besluten fattas av kommunen, som är bäst skic</w:t>
      </w:r>
      <w:r w:rsidRPr="000925A8">
        <w:rPr>
          <w:snapToGrid w:val="0"/>
          <w:lang w:eastAsia="sv-SE"/>
        </w:rPr>
        <w:t>k</w:t>
      </w:r>
      <w:r w:rsidRPr="000925A8">
        <w:rPr>
          <w:snapToGrid w:val="0"/>
          <w:lang w:eastAsia="sv-SE"/>
        </w:rPr>
        <w:t>ad att bedöma och avgöra sådana frågor. Stöd för detta finns i plan- och bygglagen. Länsstyrelsen och regeringen borde endast kunna upphäva planer när dessa strider mot uttalade riksintressen. Vi anser att det b</w:t>
      </w:r>
      <w:r w:rsidRPr="000925A8">
        <w:rPr>
          <w:snapToGrid w:val="0"/>
          <w:lang w:eastAsia="sv-SE"/>
        </w:rPr>
        <w:t>ehövs en lagän</w:t>
      </w:r>
      <w:r w:rsidRPr="000925A8">
        <w:rPr>
          <w:snapToGrid w:val="0"/>
          <w:lang w:eastAsia="sv-SE"/>
        </w:rPr>
        <w:t>d</w:t>
      </w:r>
      <w:r w:rsidRPr="000925A8">
        <w:rPr>
          <w:snapToGrid w:val="0"/>
          <w:lang w:eastAsia="sv-SE"/>
        </w:rPr>
        <w:t>ring med denna inriktning.</w:t>
      </w:r>
    </w:p>
    <w:p w14:paraId="0A8F3C5C" w14:textId="77777777" w:rsidR="00241093" w:rsidRPr="000925A8" w:rsidRDefault="00241093">
      <w:pPr>
        <w:pStyle w:val="Normaltindrag"/>
      </w:pPr>
      <w:r w:rsidRPr="000925A8">
        <w:t>Vi föreslår att riksdagen tillkännager för regeringen som sin mening vad vi framför. Vårt förslag lämnas med anledning av motion 2001/02:Bo216 (m) yrkande 8.</w:t>
      </w:r>
    </w:p>
    <w:p w14:paraId="340B5197" w14:textId="77777777" w:rsidR="00241093" w:rsidRPr="000925A8" w:rsidRDefault="00241093">
      <w:pPr>
        <w:pStyle w:val="Reservationspunkt"/>
        <w:rPr>
          <w:noProof w:val="0"/>
        </w:rPr>
      </w:pPr>
      <w:bookmarkStart w:id="69" w:name="_Toc4898234"/>
      <w:r w:rsidRPr="000925A8">
        <w:rPr>
          <w:noProof w:val="0"/>
        </w:rPr>
        <w:t>17.</w:t>
      </w:r>
      <w:r w:rsidRPr="000925A8">
        <w:rPr>
          <w:noProof w:val="0"/>
        </w:rPr>
        <w:tab/>
        <w:t>Grönområden (punkt 13)</w:t>
      </w:r>
      <w:bookmarkEnd w:id="69"/>
    </w:p>
    <w:p w14:paraId="3145E23A" w14:textId="77777777" w:rsidR="00241093" w:rsidRPr="000925A8" w:rsidRDefault="00241093">
      <w:pPr>
        <w:pStyle w:val="Reservanter"/>
      </w:pPr>
      <w:r w:rsidRPr="000925A8">
        <w:t>av Ulla-Britt Hagström (kd), Annelie Enochson (kd), Rigmor Stenmark (c) och Helena Hillar R</w:t>
      </w:r>
      <w:r w:rsidRPr="000925A8">
        <w:t>o</w:t>
      </w:r>
      <w:r w:rsidRPr="000925A8">
        <w:t>senqvist (mp).</w:t>
      </w:r>
    </w:p>
    <w:p w14:paraId="610492C6" w14:textId="77777777" w:rsidR="00241093" w:rsidRPr="000925A8" w:rsidRDefault="00241093">
      <w:pPr>
        <w:pStyle w:val="R4"/>
      </w:pPr>
      <w:r w:rsidRPr="000925A8">
        <w:t>Förslag till riksdagsbeslut</w:t>
      </w:r>
    </w:p>
    <w:p w14:paraId="077FAF9E" w14:textId="77777777" w:rsidR="00241093" w:rsidRPr="000925A8" w:rsidRDefault="00241093">
      <w:r w:rsidRPr="000925A8">
        <w:t>Vi anser att utskottets förslag under punkt 13 borde ha följande lydelse:</w:t>
      </w:r>
    </w:p>
    <w:p w14:paraId="4880F346" w14:textId="77777777" w:rsidR="00241093" w:rsidRPr="000925A8" w:rsidRDefault="00241093">
      <w:pPr>
        <w:pStyle w:val="Reservantfrslag"/>
      </w:pPr>
      <w:r w:rsidRPr="000925A8">
        <w:t>Riksdagen tillkännager för regeringen som sin mening vad som framförs i reservationen. Därmed bifaller riksdagen motion 2001/02:Bo325 yrkandena 25 och 26.</w:t>
      </w:r>
    </w:p>
    <w:p w14:paraId="1601AB16" w14:textId="77777777" w:rsidR="00241093" w:rsidRPr="000925A8" w:rsidRDefault="00241093">
      <w:pPr>
        <w:pStyle w:val="R4"/>
      </w:pPr>
      <w:r w:rsidRPr="000925A8">
        <w:t>Ställningstagande</w:t>
      </w:r>
    </w:p>
    <w:p w14:paraId="590D189F" w14:textId="77777777" w:rsidR="00241093" w:rsidRPr="000925A8" w:rsidRDefault="00241093">
      <w:r w:rsidRPr="000925A8">
        <w:t>En förutsättning för att vi skall få städer som erbjuder en bra livsmiljö är att vi slår vakt om våra grönområden. Det innebär att vi måste ställa krav på att parker och andra grönområden alltid planeras in när städerna byggs ut och att  vi förbättrar skyddet för befintliga grönområden. En genomtänkt strategi för hur städernas grönområden skall kunna bevaras och utvecklas behövs därför. Samtidigt finns det naturligtvis situationer när ett befintligt grönområde kan behöva tas i anspråk för något annat angel</w:t>
      </w:r>
      <w:r w:rsidRPr="000925A8">
        <w:t>äget ändamål. En förutsättning för att så skall få ske bör dock vara att den totala tillgången på parker och andra grönområden inte minskar. Det bör därför finnas möjlighet att ställa krav på kompensationsmark då parkmark tas i anspråk för andra ändamål. Kravet på kompensationsmark bör innebära att ett nytt grönområde av minst samma storlek ställs till förfogande i rimlig närhet till det ianspråktagna området.</w:t>
      </w:r>
    </w:p>
    <w:p w14:paraId="66767D5A" w14:textId="77777777" w:rsidR="00241093" w:rsidRPr="000925A8" w:rsidRDefault="00241093">
      <w:pPr>
        <w:pStyle w:val="Normaltindrag"/>
      </w:pPr>
      <w:r w:rsidRPr="000925A8">
        <w:t>För att skydda värdefulla naturmiljöer utanför stadsområden finns lämpliga laginstrument. I stadsm</w:t>
      </w:r>
      <w:r w:rsidRPr="000925A8">
        <w:t>iljö kan värdefulla naturmiljöer skyddas genom inrä</w:t>
      </w:r>
      <w:r w:rsidRPr="000925A8">
        <w:t>t</w:t>
      </w:r>
      <w:r w:rsidRPr="000925A8">
        <w:t>tande av nationalstadsparker. Institutet nationalstadspark täcker dock inte hela det lagtekniska behovet. Det behövs ett ytterligare institut för mindre omr</w:t>
      </w:r>
      <w:r w:rsidRPr="000925A8">
        <w:t>å</w:t>
      </w:r>
      <w:r w:rsidRPr="000925A8">
        <w:t xml:space="preserve">den där skyddet kan skrivas i detaljplanebestämmelserna. Skyddet bör vara så utformat att det inte skall kunna tas bort genom en enkel planändring. </w:t>
      </w:r>
    </w:p>
    <w:p w14:paraId="6AB3CD9E" w14:textId="77777777" w:rsidR="00241093" w:rsidRPr="000925A8" w:rsidRDefault="00241093">
      <w:pPr>
        <w:pStyle w:val="Normaltindrag"/>
      </w:pPr>
      <w:r w:rsidRPr="000925A8">
        <w:t xml:space="preserve">Riksdagen bör begära att regeringen lägger fram förslag om ett institut för skydd av mindre grönområden i stadsmiljö i enlighet med vad som ovan anförts. </w:t>
      </w:r>
      <w:r w:rsidRPr="000925A8">
        <w:t>Regeringen bör också låta utreda förutsättningarna för att införa re</w:t>
      </w:r>
      <w:r w:rsidRPr="000925A8">
        <w:t>g</w:t>
      </w:r>
      <w:r w:rsidRPr="000925A8">
        <w:t>ler om krav på kompensationsmark vid ianspråktagande av parkmark för annat ändamål.</w:t>
      </w:r>
    </w:p>
    <w:p w14:paraId="0EE42422" w14:textId="77777777" w:rsidR="00241093" w:rsidRPr="000925A8" w:rsidRDefault="00241093">
      <w:pPr>
        <w:pStyle w:val="Normaltindrag"/>
      </w:pPr>
      <w:r w:rsidRPr="000925A8">
        <w:t>Våra förslag läggs fram med anledning av motion 2001/02:Bo325 (c) y</w:t>
      </w:r>
      <w:r w:rsidRPr="000925A8">
        <w:t>r</w:t>
      </w:r>
      <w:r w:rsidRPr="000925A8">
        <w:t>kandena 25 och 26.</w:t>
      </w:r>
    </w:p>
    <w:p w14:paraId="614AD7E2" w14:textId="77777777" w:rsidR="00241093" w:rsidRPr="000925A8" w:rsidRDefault="00241093">
      <w:pPr>
        <w:pStyle w:val="Reservationspunkt"/>
        <w:rPr>
          <w:noProof w:val="0"/>
        </w:rPr>
      </w:pPr>
      <w:bookmarkStart w:id="70" w:name="_Toc4898235"/>
      <w:r w:rsidRPr="000925A8">
        <w:rPr>
          <w:noProof w:val="0"/>
        </w:rPr>
        <w:t>18.</w:t>
      </w:r>
      <w:r w:rsidRPr="000925A8">
        <w:rPr>
          <w:noProof w:val="0"/>
        </w:rPr>
        <w:tab/>
        <w:t>Kulturhistoriskt värdefull bebyggelse (punkt 15)</w:t>
      </w:r>
      <w:bookmarkEnd w:id="70"/>
    </w:p>
    <w:p w14:paraId="0F48E766" w14:textId="77777777" w:rsidR="00241093" w:rsidRPr="000925A8" w:rsidRDefault="00241093">
      <w:pPr>
        <w:pStyle w:val="Reservanter"/>
      </w:pPr>
      <w:r w:rsidRPr="000925A8">
        <w:t>av Rigmor Stenmark (c).</w:t>
      </w:r>
    </w:p>
    <w:p w14:paraId="7AE1F5EA" w14:textId="77777777" w:rsidR="00241093" w:rsidRPr="000925A8" w:rsidRDefault="00241093">
      <w:pPr>
        <w:pStyle w:val="R4"/>
      </w:pPr>
      <w:r w:rsidRPr="000925A8">
        <w:t>Förslag till riksdagsbeslut</w:t>
      </w:r>
    </w:p>
    <w:p w14:paraId="49A4053F" w14:textId="77777777" w:rsidR="00241093" w:rsidRPr="000925A8" w:rsidRDefault="00241093">
      <w:r w:rsidRPr="000925A8">
        <w:t>Jag anser att utskottets förslag under punkt 15 borde ha följande lydelse:</w:t>
      </w:r>
    </w:p>
    <w:p w14:paraId="346A29D0" w14:textId="77777777" w:rsidR="00241093" w:rsidRPr="000925A8" w:rsidRDefault="00241093">
      <w:pPr>
        <w:pStyle w:val="Reservantfrslag"/>
      </w:pPr>
      <w:r w:rsidRPr="000925A8">
        <w:t>Riksdagen tillkännager för regeringen som sin mening vad som framförs i reservationen. Därmed bifaller riksdagen motion 2001/02:Bo325 yrkande 27 och avslår motion 2001/02:Bo288.</w:t>
      </w:r>
    </w:p>
    <w:p w14:paraId="67D2E7ED" w14:textId="77777777" w:rsidR="00241093" w:rsidRPr="000925A8" w:rsidRDefault="00241093">
      <w:pPr>
        <w:pStyle w:val="R4"/>
      </w:pPr>
      <w:r w:rsidRPr="000925A8">
        <w:t>Ställningstagande</w:t>
      </w:r>
    </w:p>
    <w:p w14:paraId="2118675C" w14:textId="77777777" w:rsidR="00241093" w:rsidRPr="000925A8" w:rsidRDefault="00241093">
      <w:pPr>
        <w:pStyle w:val="NormalBeslutDnr"/>
      </w:pPr>
      <w:r w:rsidRPr="000925A8">
        <w:t>I vårt land finns det ett rikt utbud av kulturmiljöer av olika slag. Byggnade</w:t>
      </w:r>
      <w:r w:rsidRPr="000925A8">
        <w:t>r</w:t>
      </w:r>
      <w:r w:rsidRPr="000925A8">
        <w:t>nas olika funktioner som bostadshus, skolhus, handelsbodar, kraftverk, sm</w:t>
      </w:r>
      <w:r w:rsidRPr="000925A8">
        <w:t>å</w:t>
      </w:r>
      <w:r w:rsidRPr="000925A8">
        <w:t>industribyggnader m.m. speglar vårt variationsrikta kulturarv. Det är ett arv som vi alla måste få ta del av, men som också behöver rätt omvårdnad för att det skall kunna bevaras till kommande generationer. Det är också nödvändigt att kontinuerligt se över vilka miljöer som behöver skyddas. Endast ett fåtal byggnader och bebyggelseområden från tiden efter andra världskriget är i dag lagskyddade. Det bör därför snarast göras en invent</w:t>
      </w:r>
      <w:r w:rsidRPr="000925A8">
        <w:t>ering av efterkrigstidens bebyggelse för att få en översikt över den värdefulla bebyggelsen från dessa årtionden.</w:t>
      </w:r>
    </w:p>
    <w:p w14:paraId="4041FC5A" w14:textId="77777777" w:rsidR="00241093" w:rsidRPr="000925A8" w:rsidRDefault="00241093">
      <w:pPr>
        <w:pStyle w:val="Normaltindrag"/>
      </w:pPr>
      <w:r w:rsidRPr="000925A8">
        <w:t>Det är en nationell angelägenhet att ta vara på den kulturhistoriskt värd</w:t>
      </w:r>
      <w:r w:rsidRPr="000925A8">
        <w:t>e</w:t>
      </w:r>
      <w:r w:rsidRPr="000925A8">
        <w:t>fulla bebyggelsen. Alla intressenter, inte bara myndigheter och fastighetsäg</w:t>
      </w:r>
      <w:r w:rsidRPr="000925A8">
        <w:t>a</w:t>
      </w:r>
      <w:r w:rsidRPr="000925A8">
        <w:t>re, måste på olika sätt involveras i detta arbete. Det behöver utarbetas en strategi för hur detta arbete långsiktigt skall bedrivas. Enligt min mening skulle ett nationellt handlingsprogram i enlighet med Centerpartiets förslag kunna utgöra en bas för ett arbete som syftar till att bevara de mångfasetter</w:t>
      </w:r>
      <w:r w:rsidRPr="000925A8">
        <w:t>a</w:t>
      </w:r>
      <w:r w:rsidRPr="000925A8">
        <w:t>de kulturmi</w:t>
      </w:r>
      <w:r w:rsidRPr="000925A8">
        <w:t>l</w:t>
      </w:r>
      <w:r w:rsidRPr="000925A8">
        <w:t xml:space="preserve">jöer och byggnader som finns i vårt land. </w:t>
      </w:r>
    </w:p>
    <w:p w14:paraId="3E7AF0EC" w14:textId="77777777" w:rsidR="00241093" w:rsidRPr="000925A8" w:rsidRDefault="00241093">
      <w:pPr>
        <w:pStyle w:val="Normaltindrag"/>
      </w:pPr>
      <w:r w:rsidRPr="000925A8">
        <w:t>Riksdagen bör ge regeringen i uppdrag att ta fram ett nationellt handlin</w:t>
      </w:r>
      <w:r w:rsidRPr="000925A8">
        <w:t>g</w:t>
      </w:r>
      <w:r w:rsidRPr="000925A8">
        <w:t>s</w:t>
      </w:r>
      <w:r w:rsidRPr="000925A8">
        <w:t>program för att bevara de mångfasetterade kulturmiljöer och byggnader som finns i vårt land. Mitt förslag lämnas med anledning av Centerpartiets part</w:t>
      </w:r>
      <w:r w:rsidRPr="000925A8">
        <w:t>i</w:t>
      </w:r>
      <w:r w:rsidRPr="000925A8">
        <w:t>motion 2001/02:Bo325 yrkande 27. I den mån motion 2001/02:Bo288 (s) inte kan anses vara tillgodosedd med det anförda avstyrks den.</w:t>
      </w:r>
    </w:p>
    <w:p w14:paraId="0D795A9D" w14:textId="77777777" w:rsidR="00241093" w:rsidRPr="000925A8" w:rsidRDefault="00241093">
      <w:pPr>
        <w:pStyle w:val="Reservationspunkt"/>
        <w:rPr>
          <w:noProof w:val="0"/>
        </w:rPr>
      </w:pPr>
      <w:bookmarkStart w:id="71" w:name="_Toc4898236"/>
      <w:r w:rsidRPr="000925A8">
        <w:rPr>
          <w:noProof w:val="0"/>
        </w:rPr>
        <w:t>19.</w:t>
      </w:r>
      <w:r w:rsidRPr="000925A8">
        <w:rPr>
          <w:noProof w:val="0"/>
        </w:rPr>
        <w:tab/>
        <w:t>Rätten att använda offentlig plats (punkt 19)</w:t>
      </w:r>
      <w:bookmarkEnd w:id="71"/>
    </w:p>
    <w:p w14:paraId="0395FA74" w14:textId="77777777" w:rsidR="00241093" w:rsidRPr="000925A8" w:rsidRDefault="00241093">
      <w:pPr>
        <w:pStyle w:val="Reservanter"/>
      </w:pPr>
      <w:r w:rsidRPr="000925A8">
        <w:t>av Knut Billing (m), Ulla-Britt Hagström (kd), Inga Berggren (m), A</w:t>
      </w:r>
      <w:r w:rsidRPr="000925A8">
        <w:t>n</w:t>
      </w:r>
      <w:r w:rsidRPr="000925A8">
        <w:t>nelie Enochson (kd), Ewa Thalén Finné (m) och Sten Andersson (-).</w:t>
      </w:r>
    </w:p>
    <w:p w14:paraId="2BB5D735" w14:textId="77777777" w:rsidR="00241093" w:rsidRPr="000925A8" w:rsidRDefault="00241093">
      <w:pPr>
        <w:pStyle w:val="R4"/>
      </w:pPr>
      <w:r w:rsidRPr="000925A8">
        <w:t>Förslag till riksdagsbeslut</w:t>
      </w:r>
    </w:p>
    <w:p w14:paraId="7A0DE664" w14:textId="77777777" w:rsidR="00241093" w:rsidRPr="000925A8" w:rsidRDefault="00241093">
      <w:r w:rsidRPr="000925A8">
        <w:t>Vi anser att utskottets förslag under punkt 19 borde ha följande lydelse:</w:t>
      </w:r>
    </w:p>
    <w:p w14:paraId="024C77E1" w14:textId="77777777" w:rsidR="00241093" w:rsidRPr="000925A8" w:rsidRDefault="00241093">
      <w:pPr>
        <w:pStyle w:val="Reservantfrslag"/>
      </w:pPr>
      <w:r w:rsidRPr="000925A8">
        <w:t>Riksdagen tillkännager för regeringen som sin mening vad som framförs i reservationen. Därmed bifaller riksdagen delvis motionerna 2001/02:Bo228 och 2001/02:Bo249.</w:t>
      </w:r>
    </w:p>
    <w:p w14:paraId="4A9F956E" w14:textId="77777777" w:rsidR="00241093" w:rsidRPr="000925A8" w:rsidRDefault="00241093">
      <w:pPr>
        <w:pStyle w:val="R4"/>
      </w:pPr>
      <w:r w:rsidRPr="000925A8">
        <w:t>Ställningstagande</w:t>
      </w:r>
    </w:p>
    <w:p w14:paraId="67347A9F" w14:textId="77777777" w:rsidR="00241093" w:rsidRPr="000925A8" w:rsidRDefault="00241093">
      <w:r w:rsidRPr="000925A8">
        <w:t>I motionerna 2001/02:Bo228 (s) och 2001/02:Bo249 (s) behandlas frågor om användandet av platser som är tillgängliga för allmänheten. Motionärerna framför farhågor för att privatiseringar (med i vissa fall tillhörande ”inglas</w:t>
      </w:r>
      <w:r w:rsidRPr="000925A8">
        <w:softHyphen/>
        <w:t>ningar”) av t.ex. torg och gallerior leder till försämrade möjligheter för debatt, opinionsbildning och offentliga samtal. De framhåller behovet av att köpcen</w:t>
      </w:r>
      <w:r w:rsidRPr="000925A8">
        <w:t>t</w:t>
      </w:r>
      <w:r w:rsidRPr="000925A8">
        <w:t>rum och liknande platser betraktas som allmän plats samt att de gemensamma mötesplatserna värnas. I en av motionerna föreslås att kommunerna skall ges rätt att i planbestämmelser föreskriva rättigheter för envar att utöva dessa aktiviteter i inomhuscentrum, köpcentrum etc. Förslaget förutsätter ändringar i plan- och bygglagen.</w:t>
      </w:r>
    </w:p>
    <w:p w14:paraId="6351188D" w14:textId="77777777" w:rsidR="00241093" w:rsidRPr="000925A8" w:rsidRDefault="00241093">
      <w:pPr>
        <w:pStyle w:val="Normaltindrag"/>
      </w:pPr>
      <w:r w:rsidRPr="000925A8">
        <w:t>Motionerna aktualiserar</w:t>
      </w:r>
      <w:r w:rsidRPr="000925A8">
        <w:t xml:space="preserve"> frågor som har betydelse för grundläggande fri- och rättigheter. Det är för demokratin frågor av central betydelse. Genom regeringsformen är varje medborgare </w:t>
      </w:r>
      <w:r w:rsidRPr="000925A8">
        <w:rPr>
          <w:i/>
        </w:rPr>
        <w:t>gentemot det allmänna</w:t>
      </w:r>
      <w:r w:rsidRPr="000925A8">
        <w:t xml:space="preserve"> tillförsäkrad bl.a. frihet att anordna och delta i demonstration på </w:t>
      </w:r>
      <w:r w:rsidRPr="000925A8">
        <w:rPr>
          <w:i/>
        </w:rPr>
        <w:t>allmän plats</w:t>
      </w:r>
      <w:r w:rsidRPr="000925A8">
        <w:t xml:space="preserve"> (2 kap. 1 § 3 RF). Allmänna sammankomster får inte utan tillstånd anordnas på </w:t>
      </w:r>
      <w:r w:rsidRPr="000925A8">
        <w:rPr>
          <w:i/>
        </w:rPr>
        <w:t>offentliga platser</w:t>
      </w:r>
      <w:r w:rsidRPr="000925A8">
        <w:t xml:space="preserve"> (2 kap. 4 § ordningslagen). Tillståndsprövningen enligt ordningslagen avser primärt om sammankomsten kan innebära fara för ordning och säkerhet eller för</w:t>
      </w:r>
      <w:r w:rsidRPr="000925A8">
        <w:t xml:space="preserve"> trafiken. Regleringen utgör en inskränkning av bl.a. demonstration</w:t>
      </w:r>
      <w:r w:rsidRPr="000925A8">
        <w:t>s</w:t>
      </w:r>
      <w:r w:rsidRPr="000925A8">
        <w:t xml:space="preserve">friheten i syfte att beakta dessa ordningsintressen. </w:t>
      </w:r>
    </w:p>
    <w:p w14:paraId="3927BD8D" w14:textId="77777777" w:rsidR="00241093" w:rsidRPr="000925A8" w:rsidRDefault="00241093">
      <w:pPr>
        <w:pStyle w:val="Normaltindrag"/>
      </w:pPr>
      <w:r w:rsidRPr="000925A8">
        <w:rPr>
          <w:i/>
        </w:rPr>
        <w:t>Offentliga platser</w:t>
      </w:r>
      <w:r w:rsidRPr="000925A8">
        <w:t xml:space="preserve"> är bl.a. gator, vägar, torg, parker och andra platser som i detaljplan redovisas som </w:t>
      </w:r>
      <w:r w:rsidRPr="000925A8">
        <w:rPr>
          <w:i/>
        </w:rPr>
        <w:t>allmän plats</w:t>
      </w:r>
      <w:r w:rsidRPr="000925A8">
        <w:t xml:space="preserve"> och som har upplåtits för sitt ändamål. Även andra landområden och utrymmen inomhus som stadigvarande används för allmän trafik är offentliga platser (2 kap. 2 § ordningslagen). Exempel på sistnämnda inomhusutrymmen anses vara bl.a. Sturegallerian och Täbys Centrumanläggning (se Persson, G. P. m.fl., Ordningslagen, Sthlm 1994). </w:t>
      </w:r>
    </w:p>
    <w:p w14:paraId="449FAC61" w14:textId="77777777" w:rsidR="00241093" w:rsidRPr="000925A8" w:rsidRDefault="00241093">
      <w:pPr>
        <w:pStyle w:val="Normaltindrag"/>
      </w:pPr>
      <w:r w:rsidRPr="000925A8">
        <w:t>Enligt vår uppfattning är det till att börja med högst oklart i vilken omfat</w:t>
      </w:r>
      <w:r w:rsidRPr="000925A8">
        <w:t>t</w:t>
      </w:r>
      <w:r w:rsidRPr="000925A8">
        <w:t>ning som fastighetsägare förbjuder viss aktivitet eller vissa utövare och om det i förekommande fall innebär några egentliga olägenheter för det fria åsiktsu</w:t>
      </w:r>
      <w:r w:rsidRPr="000925A8">
        <w:t>t</w:t>
      </w:r>
      <w:r w:rsidRPr="000925A8">
        <w:t xml:space="preserve">bytet m.m. </w:t>
      </w:r>
    </w:p>
    <w:p w14:paraId="3CA4DD21" w14:textId="77777777" w:rsidR="00241093" w:rsidRPr="000925A8" w:rsidRDefault="00241093">
      <w:pPr>
        <w:pStyle w:val="Normaltindrag"/>
      </w:pPr>
      <w:r w:rsidRPr="000925A8">
        <w:t>Vi anser dock att det finns skäl att närmare utreda denna fråga. Det bör a</w:t>
      </w:r>
      <w:r w:rsidRPr="000925A8">
        <w:t>n</w:t>
      </w:r>
      <w:r w:rsidRPr="000925A8">
        <w:t>komma på regeringen att göra detta.</w:t>
      </w:r>
    </w:p>
    <w:p w14:paraId="1BC4174D" w14:textId="77777777" w:rsidR="00241093" w:rsidRPr="000925A8" w:rsidRDefault="00241093">
      <w:pPr>
        <w:pStyle w:val="Normaltindrag"/>
      </w:pPr>
      <w:r w:rsidRPr="000925A8">
        <w:t>Om det mot vår förmodan skulle visa sig att denna utredning ger vid ha</w:t>
      </w:r>
      <w:r w:rsidRPr="000925A8">
        <w:t>n</w:t>
      </w:r>
      <w:r w:rsidRPr="000925A8">
        <w:t>den att det finns tillräckliga skäl för att, utifrån de synpunkter som gör sig gällande beträffande det fria åsiktsutbytet m.m., överväga en förändring av den nuvarande ordningen bör frågan om hur detta skulle förhålla sig till sky</w:t>
      </w:r>
      <w:r w:rsidRPr="000925A8">
        <w:t>d</w:t>
      </w:r>
      <w:r w:rsidRPr="000925A8">
        <w:t>det för äganderätten samt vilka övriga konsekvenser detta skulle få för fasti</w:t>
      </w:r>
      <w:r w:rsidRPr="000925A8">
        <w:t>g</w:t>
      </w:r>
      <w:r w:rsidRPr="000925A8">
        <w:t>hetsägare, i form av ökade kostnader för renhållning m.m., ägnas ingående an</w:t>
      </w:r>
      <w:r w:rsidRPr="000925A8">
        <w:t>a</w:t>
      </w:r>
      <w:r w:rsidRPr="000925A8">
        <w:t xml:space="preserve">lyser. </w:t>
      </w:r>
    </w:p>
    <w:p w14:paraId="4CBEB66B" w14:textId="77777777" w:rsidR="00241093" w:rsidRPr="000925A8" w:rsidRDefault="00241093">
      <w:pPr>
        <w:pStyle w:val="Normaltindrag"/>
      </w:pPr>
      <w:r w:rsidRPr="000925A8">
        <w:t xml:space="preserve">Riksdagen bör med anledning av motionerna 2001/02:Bo228 (s) och 2001/02:Bo249 (s) som sin mening ge regeringen till </w:t>
      </w:r>
      <w:r w:rsidRPr="000925A8">
        <w:t>känna vad utskottet ovan anfört om rätten att använda offentlig plats.</w:t>
      </w:r>
    </w:p>
    <w:p w14:paraId="4B6911B8" w14:textId="77777777" w:rsidR="00241093" w:rsidRPr="000925A8" w:rsidRDefault="00241093"/>
    <w:p w14:paraId="18D99A6F" w14:textId="77777777" w:rsidR="00241093" w:rsidRPr="000925A8" w:rsidRDefault="00241093">
      <w:pPr>
        <w:pStyle w:val="Normaltindrag"/>
        <w:sectPr w:rsidR="00000000" w:rsidRPr="000925A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14:paraId="6F065EF3" w14:textId="77777777" w:rsidR="00241093" w:rsidRPr="000925A8" w:rsidRDefault="00241093">
      <w:pPr>
        <w:pStyle w:val="Bilaga"/>
      </w:pPr>
      <w:r w:rsidRPr="000925A8">
        <w:t>Bilaga 1</w:t>
      </w:r>
    </w:p>
    <w:p w14:paraId="62758D2E" w14:textId="77777777" w:rsidR="00241093" w:rsidRPr="000925A8" w:rsidRDefault="00241093">
      <w:pPr>
        <w:pStyle w:val="Rubrik1"/>
        <w:rPr>
          <w:noProof w:val="0"/>
        </w:rPr>
      </w:pPr>
      <w:bookmarkStart w:id="72" w:name="_Toc4898237"/>
      <w:r w:rsidRPr="000925A8">
        <w:rPr>
          <w:noProof w:val="0"/>
        </w:rPr>
        <w:t>Förteckning över behandlade förslag</w:t>
      </w:r>
      <w:bookmarkEnd w:id="72"/>
    </w:p>
    <w:p w14:paraId="52B6161F" w14:textId="77777777" w:rsidR="00241093" w:rsidRPr="000925A8" w:rsidRDefault="00241093">
      <w:pPr>
        <w:pStyle w:val="Rubrik2"/>
        <w:spacing w:before="0"/>
      </w:pPr>
      <w:bookmarkStart w:id="73" w:name="_Toc4898238"/>
      <w:r w:rsidRPr="000925A8">
        <w:t>Motioner från allmänna motionstiden 2001</w:t>
      </w:r>
      <w:bookmarkEnd w:id="73"/>
    </w:p>
    <w:p w14:paraId="2E7B7922" w14:textId="77777777" w:rsidR="00241093" w:rsidRPr="000925A8" w:rsidRDefault="00241093">
      <w:pPr>
        <w:pStyle w:val="Motioner"/>
      </w:pPr>
      <w:r w:rsidRPr="000925A8">
        <w:t>2001/02:Bo207 av Marietta de Pourbaix-Lundin (m):</w:t>
      </w:r>
    </w:p>
    <w:p w14:paraId="51E2C6F8" w14:textId="77777777" w:rsidR="00241093" w:rsidRPr="000925A8" w:rsidRDefault="00241093">
      <w:r w:rsidRPr="000925A8">
        <w:t>Riksdagen begär att regeringen lägger fram förslag om att avskaffa komm</w:t>
      </w:r>
      <w:r w:rsidRPr="000925A8">
        <w:t>u</w:t>
      </w:r>
      <w:r w:rsidRPr="000925A8">
        <w:t xml:space="preserve">nernas rätt att i detaljplaner precisera handelsändamålet i enlighet med vad som anförs i motionen. </w:t>
      </w:r>
    </w:p>
    <w:p w14:paraId="03F80C16" w14:textId="77777777" w:rsidR="00241093" w:rsidRPr="000925A8" w:rsidRDefault="00241093">
      <w:pPr>
        <w:pStyle w:val="Motioner"/>
      </w:pPr>
      <w:r w:rsidRPr="000925A8">
        <w:t>2001/02:Bo210 av Marietta de Pourbaix-Lundin (m):</w:t>
      </w:r>
    </w:p>
    <w:p w14:paraId="5DF4625C" w14:textId="77777777" w:rsidR="00241093" w:rsidRPr="000925A8" w:rsidRDefault="00241093">
      <w:r w:rsidRPr="000925A8">
        <w:t xml:space="preserve">Riksdagen tillkännager för regeringen som sin mening vad i motionen anförs om att möjligheten att införa kommunala servicezoner bör utredas. </w:t>
      </w:r>
    </w:p>
    <w:p w14:paraId="036E505F" w14:textId="77777777" w:rsidR="00241093" w:rsidRPr="000925A8" w:rsidRDefault="00241093">
      <w:pPr>
        <w:pStyle w:val="Motioner"/>
      </w:pPr>
      <w:r w:rsidRPr="000925A8">
        <w:t>2001/02:Bo213 av Ola Karlsson och Lars Björkman (m):</w:t>
      </w:r>
    </w:p>
    <w:p w14:paraId="3A0E0409" w14:textId="77777777" w:rsidR="00241093" w:rsidRPr="000925A8" w:rsidRDefault="00241093">
      <w:pPr>
        <w:pStyle w:val="Yrkanden"/>
      </w:pPr>
      <w:r w:rsidRPr="000925A8">
        <w:t>1. Riksdagen tillkännager för regeringen som sin mening vad i motionen anförs om vikten av goda etableringsmöjligheter, väl fungerande konku</w:t>
      </w:r>
      <w:r w:rsidRPr="000925A8">
        <w:t>r</w:t>
      </w:r>
      <w:r w:rsidRPr="000925A8">
        <w:t xml:space="preserve">rens samt snabb myndighetshantering. </w:t>
      </w:r>
    </w:p>
    <w:p w14:paraId="46BD9799" w14:textId="77777777" w:rsidR="00241093" w:rsidRPr="000925A8" w:rsidRDefault="00241093">
      <w:pPr>
        <w:pStyle w:val="Yrkanden"/>
      </w:pPr>
      <w:r w:rsidRPr="000925A8">
        <w:t>2. Riksdagen tillkännager för regeringen som sin mening vad i motionen anförs om handelsä</w:t>
      </w:r>
      <w:r w:rsidRPr="000925A8">
        <w:t>n</w:t>
      </w:r>
      <w:r w:rsidRPr="000925A8">
        <w:t xml:space="preserve">damålet i detaljplan. </w:t>
      </w:r>
    </w:p>
    <w:p w14:paraId="726DA99D" w14:textId="77777777" w:rsidR="00241093" w:rsidRPr="000925A8" w:rsidRDefault="00241093">
      <w:pPr>
        <w:pStyle w:val="Motioner"/>
      </w:pPr>
      <w:r w:rsidRPr="000925A8">
        <w:t>2001/02:Bo216 av Knut Billing m.fl. (m):</w:t>
      </w:r>
    </w:p>
    <w:p w14:paraId="7410CE7D" w14:textId="77777777" w:rsidR="00241093" w:rsidRPr="000925A8" w:rsidRDefault="00241093">
      <w:pPr>
        <w:pStyle w:val="Yrkanden"/>
      </w:pPr>
      <w:r w:rsidRPr="000925A8">
        <w:t xml:space="preserve">7. Riksdagen beslutar avskaffa handelsändamålet vid detaljplan i PBL. </w:t>
      </w:r>
    </w:p>
    <w:p w14:paraId="43CE8553" w14:textId="77777777" w:rsidR="00241093" w:rsidRPr="000925A8" w:rsidRDefault="00241093">
      <w:pPr>
        <w:pStyle w:val="Yrkanden"/>
      </w:pPr>
      <w:r w:rsidRPr="000925A8">
        <w:t>8. Riksdagen beslutar att kommunala detaljplaner endast får upphävas när de strider mot uttalade riksintressen, i enlighet med vad som anförs i moti</w:t>
      </w:r>
      <w:r w:rsidRPr="000925A8">
        <w:t>o</w:t>
      </w:r>
      <w:r w:rsidRPr="000925A8">
        <w:t xml:space="preserve">nen. </w:t>
      </w:r>
    </w:p>
    <w:p w14:paraId="64DD9AFD" w14:textId="77777777" w:rsidR="00241093" w:rsidRPr="000925A8" w:rsidRDefault="00241093">
      <w:pPr>
        <w:pStyle w:val="Yrkanden"/>
      </w:pPr>
      <w:r w:rsidRPr="000925A8">
        <w:t>13. Riksdagen begär att regeringen utreder frågan om kommunala servicez</w:t>
      </w:r>
      <w:r w:rsidRPr="000925A8">
        <w:t>o</w:t>
      </w:r>
      <w:r w:rsidRPr="000925A8">
        <w:t xml:space="preserve">ner i enlighet med vad som anförs i motionen. </w:t>
      </w:r>
    </w:p>
    <w:p w14:paraId="248FD3F3" w14:textId="77777777" w:rsidR="00241093" w:rsidRPr="000925A8" w:rsidRDefault="00241093">
      <w:pPr>
        <w:pStyle w:val="Motioner"/>
      </w:pPr>
      <w:r w:rsidRPr="000925A8">
        <w:t>2001/02:Bo217 av Barbro Feltzing (mp):</w:t>
      </w:r>
    </w:p>
    <w:p w14:paraId="3CC2C44E" w14:textId="77777777" w:rsidR="00241093" w:rsidRPr="000925A8" w:rsidRDefault="00241093">
      <w:pPr>
        <w:pStyle w:val="Yrkanden"/>
      </w:pPr>
      <w:r w:rsidRPr="000925A8">
        <w:t xml:space="preserve">1. Riksdagen tillkännager för regeringen som sin mening vad i motionen anförs om miljöer som är bullerfria. </w:t>
      </w:r>
    </w:p>
    <w:p w14:paraId="16F1B290" w14:textId="77777777" w:rsidR="00241093" w:rsidRPr="000925A8" w:rsidRDefault="00241093">
      <w:pPr>
        <w:pStyle w:val="Yrkanden"/>
      </w:pPr>
      <w:r w:rsidRPr="000925A8">
        <w:t xml:space="preserve">2. Riksdagen tillkännager för regeringen som sin mening vad i motionen anförs om att bygga ett tystare samhälle. </w:t>
      </w:r>
    </w:p>
    <w:p w14:paraId="515C0A10" w14:textId="77777777" w:rsidR="00241093" w:rsidRPr="000925A8" w:rsidRDefault="00241093">
      <w:pPr>
        <w:pStyle w:val="Yrkanden"/>
      </w:pPr>
      <w:r w:rsidRPr="000925A8">
        <w:t xml:space="preserve">3. Riksdagen tillkännager för regeringen som sin mening vad i motionen anförs om att gränsvärden för bakgrundsbuller på arbetsplatser och ute i samhället bör tas fram. </w:t>
      </w:r>
    </w:p>
    <w:p w14:paraId="52FAFA27" w14:textId="77777777" w:rsidR="00241093" w:rsidRPr="000925A8" w:rsidRDefault="00241093">
      <w:pPr>
        <w:pStyle w:val="Yrkanden"/>
      </w:pPr>
      <w:r w:rsidRPr="000925A8">
        <w:t>4. Riksdagen tillkännager för regeringen som sin mening vad i motionen anförs om bulleraspekten som ett kvalitetskrav på produkter vid upphan</w:t>
      </w:r>
      <w:r w:rsidRPr="000925A8">
        <w:t>d</w:t>
      </w:r>
      <w:r w:rsidRPr="000925A8">
        <w:t xml:space="preserve">ling. </w:t>
      </w:r>
    </w:p>
    <w:p w14:paraId="015B8B0E" w14:textId="77777777" w:rsidR="00241093" w:rsidRPr="000925A8" w:rsidRDefault="00241093">
      <w:pPr>
        <w:pStyle w:val="Yrkanden"/>
      </w:pPr>
      <w:r w:rsidRPr="000925A8">
        <w:t>6. Riksdagen tillkännager för regeringen som sin mening vad i motionen anförs om sänkta gränsvärden i urb</w:t>
      </w:r>
      <w:r w:rsidRPr="000925A8">
        <w:t>a</w:t>
      </w:r>
      <w:r w:rsidRPr="000925A8">
        <w:t xml:space="preserve">na utomhusmiljöer. </w:t>
      </w:r>
    </w:p>
    <w:p w14:paraId="2FF2463E" w14:textId="77777777" w:rsidR="00241093" w:rsidRPr="000925A8" w:rsidRDefault="00241093">
      <w:pPr>
        <w:pStyle w:val="Motioner"/>
      </w:pPr>
      <w:r w:rsidRPr="000925A8">
        <w:t>2001/02:Bo228 av Leif Jakobsson (s):</w:t>
      </w:r>
    </w:p>
    <w:p w14:paraId="7C7D8E2A" w14:textId="77777777" w:rsidR="00241093" w:rsidRPr="000925A8" w:rsidRDefault="00241093">
      <w:r w:rsidRPr="000925A8">
        <w:t>Riksdagen tillkännager för regeringen som sin mening vad som anförs i m</w:t>
      </w:r>
      <w:r w:rsidRPr="000925A8">
        <w:t>o</w:t>
      </w:r>
      <w:r w:rsidRPr="000925A8">
        <w:t xml:space="preserve">tionen om behovet av att köpcentrum och liknande publika platser betraktas som allmän plats. </w:t>
      </w:r>
    </w:p>
    <w:p w14:paraId="77C3DE33" w14:textId="77777777" w:rsidR="00241093" w:rsidRPr="000925A8" w:rsidRDefault="00241093">
      <w:pPr>
        <w:pStyle w:val="Motioner"/>
      </w:pPr>
      <w:r w:rsidRPr="000925A8">
        <w:t>2001/02:Bo233 av Margareta Cederfelt (m):</w:t>
      </w:r>
    </w:p>
    <w:p w14:paraId="30303334" w14:textId="77777777" w:rsidR="00241093" w:rsidRPr="000925A8" w:rsidRDefault="00241093">
      <w:r w:rsidRPr="000925A8">
        <w:t>Riksdagen tillkännager för regeringen som sin mening vad i motionen anförs om en översyn av lagstiftningen om olovlig yrkesmässig verksamhet i b</w:t>
      </w:r>
      <w:r w:rsidRPr="000925A8">
        <w:t>o</w:t>
      </w:r>
      <w:r w:rsidRPr="000925A8">
        <w:t xml:space="preserve">stadsområde. </w:t>
      </w:r>
    </w:p>
    <w:p w14:paraId="4429224A" w14:textId="77777777" w:rsidR="00241093" w:rsidRPr="000925A8" w:rsidRDefault="00241093">
      <w:pPr>
        <w:pStyle w:val="Motioner"/>
      </w:pPr>
      <w:r w:rsidRPr="000925A8">
        <w:t>2001/02:Bo234 av Christel Anderberg m.fl. (m):</w:t>
      </w:r>
    </w:p>
    <w:p w14:paraId="791546E6" w14:textId="77777777" w:rsidR="00241093" w:rsidRPr="000925A8" w:rsidRDefault="00241093">
      <w:r w:rsidRPr="000925A8">
        <w:t xml:space="preserve">Riksdagen beslutar att avskaffa handelsändamålet i plan- och bygglagen. </w:t>
      </w:r>
    </w:p>
    <w:p w14:paraId="404DD37A" w14:textId="77777777" w:rsidR="00241093" w:rsidRPr="000925A8" w:rsidRDefault="00241093">
      <w:pPr>
        <w:pStyle w:val="Motioner"/>
      </w:pPr>
      <w:r w:rsidRPr="000925A8">
        <w:t>2001/02:Bo243 av Ulla-Britt Hagström m.fl. (kd):</w:t>
      </w:r>
    </w:p>
    <w:p w14:paraId="04B6B4C8" w14:textId="77777777" w:rsidR="00241093" w:rsidRPr="000925A8" w:rsidRDefault="00241093">
      <w:pPr>
        <w:pStyle w:val="Yrkanden"/>
      </w:pPr>
      <w:r w:rsidRPr="000925A8">
        <w:t>3. Riksdagen tillkännager för regeringen som sin mening vad i motionen anförs om vikten av brottsförebyggande policy i kommunernas översikt</w:t>
      </w:r>
      <w:r w:rsidRPr="000925A8">
        <w:t>s</w:t>
      </w:r>
      <w:r w:rsidRPr="000925A8">
        <w:t xml:space="preserve">planer. </w:t>
      </w:r>
    </w:p>
    <w:p w14:paraId="70421EBE" w14:textId="77777777" w:rsidR="00241093" w:rsidRPr="000925A8" w:rsidRDefault="00241093">
      <w:pPr>
        <w:pStyle w:val="Yrkanden"/>
      </w:pPr>
      <w:r w:rsidRPr="000925A8">
        <w:t>4. Riksdagen tillkännager för regeringen som sin mening vad i motionen anförs om tydliga rik</w:t>
      </w:r>
      <w:r w:rsidRPr="000925A8">
        <w:t>t</w:t>
      </w:r>
      <w:r w:rsidRPr="000925A8">
        <w:t xml:space="preserve">linjer för bebyggelseinriktade hinder mot brott. </w:t>
      </w:r>
    </w:p>
    <w:p w14:paraId="33A240CE" w14:textId="77777777" w:rsidR="00241093" w:rsidRPr="000925A8" w:rsidRDefault="00241093">
      <w:pPr>
        <w:pStyle w:val="Motioner"/>
      </w:pPr>
      <w:r w:rsidRPr="000925A8">
        <w:t>2001/02:Bo244 av Annelie Enochson m.fl. (kd):</w:t>
      </w:r>
    </w:p>
    <w:p w14:paraId="729CFA52" w14:textId="77777777" w:rsidR="00241093" w:rsidRPr="000925A8" w:rsidRDefault="00241093">
      <w:pPr>
        <w:pStyle w:val="Yrkanden"/>
      </w:pPr>
      <w:r w:rsidRPr="000925A8">
        <w:t>3. Riksdagen begär att regeringen tillsätter en utredning med uppgift att utr</w:t>
      </w:r>
      <w:r w:rsidRPr="000925A8">
        <w:t>e</w:t>
      </w:r>
      <w:r w:rsidRPr="000925A8">
        <w:t xml:space="preserve">da förutsättningarna för att i den fysiska planeringen bättre kunna hantera översvämningsfrågor. </w:t>
      </w:r>
    </w:p>
    <w:p w14:paraId="0B3C13AE" w14:textId="77777777" w:rsidR="00241093" w:rsidRPr="000925A8" w:rsidRDefault="00241093">
      <w:pPr>
        <w:pStyle w:val="Yrkanden"/>
      </w:pPr>
      <w:r w:rsidRPr="000925A8">
        <w:t>4. Riksdagen tillkännager för regeringen som sin mening vad i motionen anförs om vikten av konsekvensbeskrivningar och handelspolicy vid et</w:t>
      </w:r>
      <w:r w:rsidRPr="000925A8">
        <w:t>a</w:t>
      </w:r>
      <w:r w:rsidRPr="000925A8">
        <w:t xml:space="preserve">bleringar av extern handel. </w:t>
      </w:r>
    </w:p>
    <w:p w14:paraId="1ACB9F4E" w14:textId="77777777" w:rsidR="00241093" w:rsidRPr="000925A8" w:rsidRDefault="00241093">
      <w:pPr>
        <w:pStyle w:val="Yrkanden"/>
      </w:pPr>
      <w:r w:rsidRPr="000925A8">
        <w:t>8. Riksdagen tillkännager för regeringen som sin mening vad i motionen anförs om vikten av att kommunerna kartlägger tysta zoner i översiktspl</w:t>
      </w:r>
      <w:r w:rsidRPr="000925A8">
        <w:t>a</w:t>
      </w:r>
      <w:r w:rsidRPr="000925A8">
        <w:t xml:space="preserve">nerna. </w:t>
      </w:r>
    </w:p>
    <w:p w14:paraId="10AB2371" w14:textId="77777777" w:rsidR="00241093" w:rsidRPr="000925A8" w:rsidRDefault="00241093">
      <w:pPr>
        <w:pStyle w:val="Yrkanden"/>
      </w:pPr>
      <w:r w:rsidRPr="000925A8">
        <w:t xml:space="preserve">9. Riksdagen begär att regeringen tillsätter en utredning om vilket genomslag Agenda 21 och Habitatagendan fått i kommunernas översiktsplaner. </w:t>
      </w:r>
    </w:p>
    <w:p w14:paraId="107B710F" w14:textId="77777777" w:rsidR="00241093" w:rsidRPr="000925A8" w:rsidRDefault="00241093">
      <w:pPr>
        <w:pStyle w:val="Yrkanden"/>
      </w:pPr>
      <w:r w:rsidRPr="000925A8">
        <w:t>10. Riksdagen begär att regeringen utreder hur lagstiftningen kring samhäll</w:t>
      </w:r>
      <w:r w:rsidRPr="000925A8">
        <w:t>s</w:t>
      </w:r>
      <w:r w:rsidRPr="000925A8">
        <w:t xml:space="preserve">planering i större utsträckning kan ta hänsyn till regionala skillnader och behov. </w:t>
      </w:r>
    </w:p>
    <w:p w14:paraId="6AACF91B" w14:textId="77777777" w:rsidR="00241093" w:rsidRPr="000925A8" w:rsidRDefault="00241093">
      <w:pPr>
        <w:pStyle w:val="Yrkanden"/>
      </w:pPr>
      <w:r w:rsidRPr="000925A8">
        <w:t xml:space="preserve">16. Riksdagen tillkännager för regeringen som sin mening vad i motionen anförs om vikten av att i samhällsplaneringen väga in barnens perspektiv. </w:t>
      </w:r>
    </w:p>
    <w:p w14:paraId="08DD648B" w14:textId="77777777" w:rsidR="00241093" w:rsidRPr="000925A8" w:rsidRDefault="00241093">
      <w:pPr>
        <w:pStyle w:val="Yrkanden"/>
      </w:pPr>
      <w:r w:rsidRPr="000925A8">
        <w:t>17. Riksdagen tillkännager för regeringen som sin mening vad i motionen anförs om vikten av att i samhällsplaneringen väga in de äldres och fun</w:t>
      </w:r>
      <w:r w:rsidRPr="000925A8">
        <w:t>k</w:t>
      </w:r>
      <w:r w:rsidRPr="000925A8">
        <w:t xml:space="preserve">tionshindrades perspektiv. </w:t>
      </w:r>
    </w:p>
    <w:p w14:paraId="3066D2E8" w14:textId="77777777" w:rsidR="00241093" w:rsidRPr="000925A8" w:rsidRDefault="00241093">
      <w:pPr>
        <w:pStyle w:val="Motioner"/>
      </w:pPr>
      <w:r w:rsidRPr="000925A8">
        <w:t>2001/02:Bo249 av Anders Ygeman (s):</w:t>
      </w:r>
    </w:p>
    <w:p w14:paraId="73B5E0C6" w14:textId="77777777" w:rsidR="00241093" w:rsidRPr="000925A8" w:rsidRDefault="00241093">
      <w:r w:rsidRPr="000925A8">
        <w:t xml:space="preserve">Riksdagen tillkännager för regeringen som sin mening vad i motionen anförs om att värna de gemensamma mötesplatserna. </w:t>
      </w:r>
    </w:p>
    <w:p w14:paraId="237D0B9C" w14:textId="77777777" w:rsidR="00241093" w:rsidRPr="000925A8" w:rsidRDefault="00241093">
      <w:pPr>
        <w:pStyle w:val="Motioner"/>
      </w:pPr>
      <w:r w:rsidRPr="000925A8">
        <w:t>2001/02:Bo254 av Lars Wegendal och Eva Johansson (s):</w:t>
      </w:r>
    </w:p>
    <w:p w14:paraId="0F3326EF" w14:textId="77777777" w:rsidR="00241093" w:rsidRPr="000925A8" w:rsidRDefault="00241093">
      <w:r w:rsidRPr="000925A8">
        <w:t>Riksdagen tillkännager för regeringen som sin mening vad i motionen anförs om vikten av aktiv</w:t>
      </w:r>
      <w:r w:rsidRPr="000925A8">
        <w:t>i</w:t>
      </w:r>
      <w:r w:rsidRPr="000925A8">
        <w:t xml:space="preserve">tetsytor i bostadsområden och deras närhet. </w:t>
      </w:r>
    </w:p>
    <w:p w14:paraId="38694856" w14:textId="77777777" w:rsidR="00241093" w:rsidRPr="000925A8" w:rsidRDefault="00241093">
      <w:pPr>
        <w:pStyle w:val="Motioner"/>
      </w:pPr>
      <w:r w:rsidRPr="000925A8">
        <w:t>2001/02:Bo256 av Sten Lundström m.fl. (v):</w:t>
      </w:r>
    </w:p>
    <w:p w14:paraId="3A08D6D8" w14:textId="77777777" w:rsidR="00241093" w:rsidRPr="000925A8" w:rsidRDefault="00241093">
      <w:pPr>
        <w:pStyle w:val="Yrkanden"/>
      </w:pPr>
      <w:r w:rsidRPr="000925A8">
        <w:t xml:space="preserve">1. Riksdagen tillkännager för regeringen som sin mening det som i motionen anförs om barns inflytande i planering av boendemiljöer. </w:t>
      </w:r>
    </w:p>
    <w:p w14:paraId="002700E0" w14:textId="77777777" w:rsidR="00241093" w:rsidRPr="000925A8" w:rsidRDefault="00241093">
      <w:pPr>
        <w:pStyle w:val="Motioner"/>
      </w:pPr>
      <w:r w:rsidRPr="000925A8">
        <w:t>2001/02:Bo258 av Carina Hägg (s):</w:t>
      </w:r>
    </w:p>
    <w:p w14:paraId="73595422" w14:textId="77777777" w:rsidR="00241093" w:rsidRPr="000925A8" w:rsidRDefault="00241093">
      <w:r w:rsidRPr="000925A8">
        <w:t>Riksdagen tillkännager för regeringen som sin mening vad i motionen anförs om att inrätta häs</w:t>
      </w:r>
      <w:r w:rsidRPr="000925A8">
        <w:t>t</w:t>
      </w:r>
      <w:r w:rsidRPr="000925A8">
        <w:t xml:space="preserve">gårdar. </w:t>
      </w:r>
    </w:p>
    <w:p w14:paraId="44FD967C" w14:textId="77777777" w:rsidR="00241093" w:rsidRPr="000925A8" w:rsidRDefault="00241093">
      <w:pPr>
        <w:pStyle w:val="Motioner"/>
      </w:pPr>
      <w:r w:rsidRPr="000925A8">
        <w:t>2001/02:Bo260 av Carina Hägg (s):</w:t>
      </w:r>
    </w:p>
    <w:p w14:paraId="4F82FE1E" w14:textId="77777777" w:rsidR="00241093" w:rsidRPr="000925A8" w:rsidRDefault="00241093">
      <w:r w:rsidRPr="000925A8">
        <w:t>Riksdagen tillkännager för regeringen som sin mening vad i motionen anförs om behovet av en översyn av plan- och bygglagen för att garantera jämställ</w:t>
      </w:r>
      <w:r w:rsidRPr="000925A8">
        <w:t>d</w:t>
      </w:r>
      <w:r w:rsidRPr="000925A8">
        <w:t xml:space="preserve">het i religiösa samlingslokaler. </w:t>
      </w:r>
    </w:p>
    <w:p w14:paraId="6F5BB464" w14:textId="77777777" w:rsidR="00241093" w:rsidRPr="000925A8" w:rsidRDefault="00241093">
      <w:pPr>
        <w:pStyle w:val="Motioner"/>
      </w:pPr>
      <w:r w:rsidRPr="000925A8">
        <w:t>2001/02:Bo282 av Carina Ohlsson och Kjell Nordström (s):</w:t>
      </w:r>
    </w:p>
    <w:p w14:paraId="2C2444F5" w14:textId="77777777" w:rsidR="00241093" w:rsidRPr="000925A8" w:rsidRDefault="00241093">
      <w:r w:rsidRPr="000925A8">
        <w:t xml:space="preserve">Riksdagen tillkännager för regeringen som sin mening vad i motionen anförs om nödvändigheten av att det tas hänsyn till översvämningsrisken i all fysisk planering. </w:t>
      </w:r>
    </w:p>
    <w:p w14:paraId="067642C0" w14:textId="77777777" w:rsidR="00241093" w:rsidRPr="000925A8" w:rsidRDefault="00241093">
      <w:pPr>
        <w:pStyle w:val="Motioner"/>
      </w:pPr>
      <w:r w:rsidRPr="000925A8">
        <w:t>2001/02:Bo288 av Per Erik Granström m.fl. (s):</w:t>
      </w:r>
    </w:p>
    <w:p w14:paraId="01EB67C4" w14:textId="77777777" w:rsidR="00241093" w:rsidRPr="000925A8" w:rsidRDefault="00241093">
      <w:r w:rsidRPr="000925A8">
        <w:t>Riksdagen tillkännager för regeringen som sin mening vad i motionen anförs om behovet av en utredning som stärker kommunernas möjligheter att bevara unik bebyggelse och unika byg</w:t>
      </w:r>
      <w:r w:rsidRPr="000925A8">
        <w:t>g</w:t>
      </w:r>
      <w:r w:rsidRPr="000925A8">
        <w:t xml:space="preserve">nadsmiljöer. </w:t>
      </w:r>
    </w:p>
    <w:p w14:paraId="3EF87D88" w14:textId="77777777" w:rsidR="00241093" w:rsidRPr="000925A8" w:rsidRDefault="00241093">
      <w:pPr>
        <w:pStyle w:val="Motioner"/>
      </w:pPr>
      <w:r w:rsidRPr="000925A8">
        <w:t>2001/02:Bo297 av Sten Lundström och Owe Hellberg (v):</w:t>
      </w:r>
    </w:p>
    <w:p w14:paraId="5DF48E24" w14:textId="77777777" w:rsidR="00241093" w:rsidRPr="000925A8" w:rsidRDefault="00241093">
      <w:r w:rsidRPr="000925A8">
        <w:t xml:space="preserve">Riksdagen tillkännager för regeringen som sin mening vad i motionen anförs om en utredning om planeringsinstrument för regional samhällsplanering. </w:t>
      </w:r>
    </w:p>
    <w:p w14:paraId="09FDF3B7" w14:textId="77777777" w:rsidR="00241093" w:rsidRPr="000925A8" w:rsidRDefault="00241093">
      <w:pPr>
        <w:pStyle w:val="Motioner"/>
      </w:pPr>
      <w:r w:rsidRPr="000925A8">
        <w:t>2001/02:Bo300 av Ewa Larsson m.fl. (mp):</w:t>
      </w:r>
    </w:p>
    <w:p w14:paraId="6E7B77E3" w14:textId="77777777" w:rsidR="00241093" w:rsidRPr="000925A8" w:rsidRDefault="00241093">
      <w:pPr>
        <w:pStyle w:val="Yrkanden"/>
      </w:pPr>
      <w:r w:rsidRPr="000925A8">
        <w:t>1. Riksdagen tillkännager för regeringen som sin mening att plan- och byg</w:t>
      </w:r>
      <w:r w:rsidRPr="000925A8">
        <w:t>g</w:t>
      </w:r>
      <w:r w:rsidRPr="000925A8">
        <w:t>lagen bör ändras så att grannkommuner får vetorätt vid etablering av e</w:t>
      </w:r>
      <w:r w:rsidRPr="000925A8">
        <w:t>x</w:t>
      </w:r>
      <w:r w:rsidRPr="000925A8">
        <w:t xml:space="preserve">terna köpcentrum. </w:t>
      </w:r>
    </w:p>
    <w:p w14:paraId="11B33974" w14:textId="77777777" w:rsidR="00241093" w:rsidRPr="000925A8" w:rsidRDefault="00241093">
      <w:pPr>
        <w:pStyle w:val="Yrkanden"/>
      </w:pPr>
      <w:r w:rsidRPr="000925A8">
        <w:t xml:space="preserve">2. Riksdagen tillkännager för regeringen som sin mening att ett moratorium för nyetablering av externa köpcentrum införs. </w:t>
      </w:r>
    </w:p>
    <w:p w14:paraId="23AFBF87" w14:textId="77777777" w:rsidR="00241093" w:rsidRPr="000925A8" w:rsidRDefault="00241093">
      <w:pPr>
        <w:pStyle w:val="Yrkanden"/>
      </w:pPr>
      <w:r w:rsidRPr="000925A8">
        <w:t>3. Riksdagen tillkännager för regeringen som sin mening att Sverige är i behov av en tydlig pol</w:t>
      </w:r>
      <w:r w:rsidRPr="000925A8">
        <w:t>i</w:t>
      </w:r>
      <w:r w:rsidRPr="000925A8">
        <w:t xml:space="preserve">cy vad gäller utvecklingen av externa köpcentrum. </w:t>
      </w:r>
    </w:p>
    <w:p w14:paraId="28537436" w14:textId="77777777" w:rsidR="00241093" w:rsidRPr="000925A8" w:rsidRDefault="00241093">
      <w:pPr>
        <w:pStyle w:val="Yrkanden"/>
      </w:pPr>
      <w:r w:rsidRPr="000925A8">
        <w:t xml:space="preserve">4. Riksdagen tillkännager för regeringen som sin mening att en förstärkt lagstiftning kan behövas för att skydda samhälleliga värden. </w:t>
      </w:r>
    </w:p>
    <w:p w14:paraId="249E111D" w14:textId="77777777" w:rsidR="00241093" w:rsidRPr="000925A8" w:rsidRDefault="00241093">
      <w:pPr>
        <w:pStyle w:val="Yrkanden"/>
      </w:pPr>
      <w:r w:rsidRPr="000925A8">
        <w:t>5. Riksdagen tillkännager för regeringen som sin mening att konsekvensan</w:t>
      </w:r>
      <w:r w:rsidRPr="000925A8">
        <w:t>a</w:t>
      </w:r>
      <w:r w:rsidRPr="000925A8">
        <w:t xml:space="preserve">lyser bör omfatta social, ekonomisk och miljömässig påverkan. </w:t>
      </w:r>
    </w:p>
    <w:p w14:paraId="5F0342AD" w14:textId="77777777" w:rsidR="00241093" w:rsidRPr="000925A8" w:rsidRDefault="00241093">
      <w:pPr>
        <w:pStyle w:val="Motioner"/>
      </w:pPr>
      <w:r w:rsidRPr="000925A8">
        <w:t>2001/02:Bo310 av Carina Ohlsson m.fl. (s):</w:t>
      </w:r>
    </w:p>
    <w:p w14:paraId="1B21C915" w14:textId="77777777" w:rsidR="00241093" w:rsidRPr="000925A8" w:rsidRDefault="00241093">
      <w:r w:rsidRPr="000925A8">
        <w:t xml:space="preserve">Riksdagen tillkännager för regeringen som sin mening vad i motionen anförs om forskning inriktad på en helhetssyn i framtidens samhällsbyggande och integrering av det lokala Agenda 21-arbetet i all samhällsplanering. </w:t>
      </w:r>
    </w:p>
    <w:p w14:paraId="7A2BE31F" w14:textId="77777777" w:rsidR="00241093" w:rsidRPr="000925A8" w:rsidRDefault="00241093">
      <w:pPr>
        <w:pStyle w:val="Motioner"/>
      </w:pPr>
      <w:r w:rsidRPr="000925A8">
        <w:t>2001/02:Bo325 av Agne Hansson m.fl. (c):</w:t>
      </w:r>
    </w:p>
    <w:p w14:paraId="00B51AD2" w14:textId="77777777" w:rsidR="00241093" w:rsidRPr="000925A8" w:rsidRDefault="00241093">
      <w:pPr>
        <w:pStyle w:val="Yrkanden"/>
      </w:pPr>
      <w:r w:rsidRPr="000925A8">
        <w:t>24. Riksdagen tillkännager för regeringen som sin mening vad i motionen anförs om att brottsförebyggande aspekter måste tas med vid all samhäll</w:t>
      </w:r>
      <w:r w:rsidRPr="000925A8">
        <w:t>s</w:t>
      </w:r>
      <w:r w:rsidRPr="000925A8">
        <w:t xml:space="preserve">planering. </w:t>
      </w:r>
    </w:p>
    <w:p w14:paraId="3ED295D3" w14:textId="77777777" w:rsidR="00241093" w:rsidRPr="000925A8" w:rsidRDefault="00241093">
      <w:pPr>
        <w:pStyle w:val="Yrkanden"/>
      </w:pPr>
      <w:r w:rsidRPr="000925A8">
        <w:t xml:space="preserve">25. Riksdagen tillkännager för regeringen som sin mening vad i motionen anförs om förnyelse av bostadsmiljön. </w:t>
      </w:r>
    </w:p>
    <w:p w14:paraId="2FCA8796" w14:textId="77777777" w:rsidR="00241093" w:rsidRPr="000925A8" w:rsidRDefault="00241093">
      <w:pPr>
        <w:pStyle w:val="Yrkanden"/>
      </w:pPr>
      <w:r w:rsidRPr="000925A8">
        <w:t xml:space="preserve">26. Riksdagen begär att regeringen lägger fram förslag om ett institut för skydd av mindre grönområden i stadsmiljö i enlighet med vad i motionen anförs. </w:t>
      </w:r>
    </w:p>
    <w:p w14:paraId="07C052D2" w14:textId="77777777" w:rsidR="00241093" w:rsidRPr="000925A8" w:rsidRDefault="00241093">
      <w:pPr>
        <w:pStyle w:val="Yrkanden"/>
      </w:pPr>
      <w:r w:rsidRPr="000925A8">
        <w:t xml:space="preserve">27. Riksdagen begär att regeringen tar fram ett nationellt handlingsprogram för att bevara de mångfasetterade kulturmiljöer och byggnader som finns i vårt land. </w:t>
      </w:r>
    </w:p>
    <w:p w14:paraId="78360725" w14:textId="77777777" w:rsidR="00241093" w:rsidRPr="000925A8" w:rsidRDefault="00241093">
      <w:pPr>
        <w:pStyle w:val="Motioner"/>
      </w:pPr>
      <w:r w:rsidRPr="000925A8">
        <w:t>2001/02:A212 av Agne Hansson m.fl. (c):</w:t>
      </w:r>
    </w:p>
    <w:p w14:paraId="4BBD13DF" w14:textId="77777777" w:rsidR="00241093" w:rsidRPr="000925A8" w:rsidRDefault="00241093">
      <w:pPr>
        <w:pStyle w:val="Yrkanden"/>
      </w:pPr>
      <w:r w:rsidRPr="000925A8">
        <w:t>13. Riksdagen tillkännager för regeringen som sin mening vad i motionen anförs om ett jä</w:t>
      </w:r>
      <w:r w:rsidRPr="000925A8">
        <w:t>m</w:t>
      </w:r>
      <w:r w:rsidRPr="000925A8">
        <w:t xml:space="preserve">ställdhetsperspektiv i samhällsplaneringen. </w:t>
      </w:r>
    </w:p>
    <w:p w14:paraId="2FB02E8D" w14:textId="77777777" w:rsidR="00241093" w:rsidRPr="000925A8" w:rsidRDefault="00241093">
      <w:pPr>
        <w:pStyle w:val="Motioner"/>
      </w:pPr>
      <w:r w:rsidRPr="000925A8">
        <w:t>2001/02:Ju237 av Agne Hansson m.fl. (c):</w:t>
      </w:r>
    </w:p>
    <w:p w14:paraId="14F69737" w14:textId="77777777" w:rsidR="00241093" w:rsidRPr="000925A8" w:rsidRDefault="00241093">
      <w:pPr>
        <w:pStyle w:val="Yrkanden"/>
      </w:pPr>
      <w:r w:rsidRPr="000925A8">
        <w:t>19. Riksdagen tillkännager för regeringen som sin mening vad i motionen anförs om att brottsförebyggande aspekter alltid bör tas med i såväl plan</w:t>
      </w:r>
      <w:r w:rsidRPr="000925A8">
        <w:t>e</w:t>
      </w:r>
      <w:r w:rsidRPr="000925A8">
        <w:t>ring av bostadsområden som samhäll</w:t>
      </w:r>
      <w:r w:rsidRPr="000925A8">
        <w:t>s</w:t>
      </w:r>
      <w:r w:rsidRPr="000925A8">
        <w:t xml:space="preserve">planering i övrigt. </w:t>
      </w:r>
    </w:p>
    <w:p w14:paraId="5313D11A" w14:textId="77777777" w:rsidR="00241093" w:rsidRPr="000925A8" w:rsidRDefault="00241093">
      <w:pPr>
        <w:pStyle w:val="Motioner"/>
      </w:pPr>
      <w:bookmarkStart w:id="74" w:name="RangeStart"/>
      <w:bookmarkStart w:id="75" w:name="RangeEnd"/>
      <w:bookmarkEnd w:id="74"/>
      <w:r w:rsidRPr="000925A8">
        <w:t>2001/02:Ju389  av Ragnwi Marcelind m.fl. (kd):</w:t>
      </w:r>
    </w:p>
    <w:p w14:paraId="3A49AE29" w14:textId="77777777" w:rsidR="00241093" w:rsidRPr="000925A8" w:rsidRDefault="00241093">
      <w:pPr>
        <w:pStyle w:val="Yrkanden"/>
      </w:pPr>
      <w:r w:rsidRPr="000925A8">
        <w:t>6. Riksdagen tillkännager för regeringen som sin mening vad i motionen             anförs om att ge Boverket i uppdrag att för kommunerna utarbeta tydliga  riktlinjer för bebyggelseinriktade hinder mot brott.</w:t>
      </w:r>
    </w:p>
    <w:p w14:paraId="37AB1AF6" w14:textId="77777777" w:rsidR="00241093" w:rsidRPr="000925A8" w:rsidRDefault="00241093">
      <w:pPr>
        <w:pStyle w:val="Normaltindrag"/>
      </w:pPr>
      <w:r w:rsidRPr="000925A8">
        <w:t xml:space="preserve"> </w:t>
      </w:r>
    </w:p>
    <w:bookmarkEnd w:id="75"/>
    <w:p w14:paraId="3A360E75" w14:textId="77777777" w:rsidR="00241093" w:rsidRPr="000925A8" w:rsidRDefault="00241093">
      <w:pPr>
        <w:pStyle w:val="Motioner"/>
        <w:spacing w:before="0"/>
      </w:pPr>
      <w:r w:rsidRPr="000925A8">
        <w:t>2001/02:K284 av Agne Hansson m.fl. (c):</w:t>
      </w:r>
    </w:p>
    <w:p w14:paraId="46D57618" w14:textId="77777777" w:rsidR="00241093" w:rsidRPr="000925A8" w:rsidRDefault="00241093">
      <w:pPr>
        <w:pStyle w:val="Yrkanden"/>
      </w:pPr>
      <w:r w:rsidRPr="000925A8">
        <w:t xml:space="preserve">15. Riksdagen tillkännager för regeringen som sin mening vad i motionen anförs om barns och ungdomars medverkan i samhällsplaneringen. </w:t>
      </w:r>
    </w:p>
    <w:p w14:paraId="06205D86" w14:textId="77777777" w:rsidR="00241093" w:rsidRPr="000925A8" w:rsidRDefault="00241093">
      <w:pPr>
        <w:pStyle w:val="Motioner"/>
      </w:pPr>
      <w:r w:rsidRPr="000925A8">
        <w:t>2001/02:MJ341 av Gunnel Wallin (c):</w:t>
      </w:r>
    </w:p>
    <w:p w14:paraId="22B09940" w14:textId="77777777" w:rsidR="00241093" w:rsidRPr="000925A8" w:rsidRDefault="00241093">
      <w:pPr>
        <w:pStyle w:val="Yrkanden"/>
      </w:pPr>
      <w:r w:rsidRPr="000925A8">
        <w:t>8. Riksdagen tillkännager för regeringen som sin mening vad i motionen anförs om att uppdra åt berörda myndigheter att på ett tydligare sätt beakta åkermarkens betydelse i all samhällsplanering och då inte minst i komm</w:t>
      </w:r>
      <w:r w:rsidRPr="000925A8">
        <w:t>u</w:t>
      </w:r>
      <w:r w:rsidRPr="000925A8">
        <w:t xml:space="preserve">nernas översiktsplanering. </w:t>
      </w:r>
    </w:p>
    <w:p w14:paraId="6BF3EF3C" w14:textId="77777777" w:rsidR="00241093" w:rsidRPr="000925A8" w:rsidRDefault="00241093">
      <w:pPr>
        <w:pStyle w:val="Motioner"/>
      </w:pPr>
      <w:r w:rsidRPr="000925A8">
        <w:t>2001/02:N267 av Eva Flyborg m.fl. (fp):</w:t>
      </w:r>
    </w:p>
    <w:p w14:paraId="082DB97A" w14:textId="77777777" w:rsidR="00241093" w:rsidRPr="000925A8" w:rsidRDefault="00241093">
      <w:pPr>
        <w:pStyle w:val="Yrkanden"/>
      </w:pPr>
      <w:r w:rsidRPr="000925A8">
        <w:t xml:space="preserve">22. Riksdagen tillkännager för regeringen som sin mening vad i motionen anförs om behovet av förändringar i plan- och bygglagen (PBL). </w:t>
      </w:r>
    </w:p>
    <w:p w14:paraId="5D31275B" w14:textId="77777777" w:rsidR="00241093" w:rsidRPr="000925A8" w:rsidRDefault="00241093">
      <w:pPr>
        <w:pStyle w:val="Motioner"/>
      </w:pPr>
      <w:r w:rsidRPr="000925A8">
        <w:t>2001/02:So276 av Margareta Andersson och Sofia Jonsson (c):</w:t>
      </w:r>
    </w:p>
    <w:p w14:paraId="41BFA414" w14:textId="77777777" w:rsidR="00241093" w:rsidRPr="000925A8" w:rsidRDefault="00241093">
      <w:pPr>
        <w:pStyle w:val="Yrkanden"/>
      </w:pPr>
      <w:r w:rsidRPr="000925A8">
        <w:t>2. Riksdagen tillkännager för regeringen som sin mening vad i motionen anförs om tillägg i plan- och bygglagen om att planera så att bullerstö</w:t>
      </w:r>
      <w:r w:rsidRPr="000925A8">
        <w:t>r</w:t>
      </w:r>
      <w:r w:rsidRPr="000925A8">
        <w:t xml:space="preserve">ningar minimeras. </w:t>
      </w:r>
    </w:p>
    <w:p w14:paraId="70065AD2" w14:textId="77777777" w:rsidR="00241093" w:rsidRPr="000925A8" w:rsidRDefault="00241093">
      <w:pPr>
        <w:pStyle w:val="Motioner"/>
      </w:pPr>
      <w:r w:rsidRPr="000925A8">
        <w:t>2001/02:So501 av Agne Hansson m.fl. (c):</w:t>
      </w:r>
    </w:p>
    <w:p w14:paraId="3ED71609" w14:textId="77777777" w:rsidR="00241093" w:rsidRPr="000925A8" w:rsidRDefault="00241093">
      <w:pPr>
        <w:pStyle w:val="Yrkanden"/>
      </w:pPr>
      <w:r w:rsidRPr="000925A8">
        <w:t>12. Riksdagen tillkännager för regeringen som sin mening vad i motionen anförs om miljökons</w:t>
      </w:r>
      <w:r w:rsidRPr="000925A8">
        <w:t>e</w:t>
      </w:r>
      <w:r w:rsidRPr="000925A8">
        <w:t xml:space="preserve">kvensbeskrivningar. </w:t>
      </w:r>
    </w:p>
    <w:p w14:paraId="5C7538E6" w14:textId="77777777" w:rsidR="00241093" w:rsidRPr="000925A8" w:rsidRDefault="00241093">
      <w:pPr>
        <w:pStyle w:val="Motioner"/>
      </w:pPr>
      <w:r w:rsidRPr="000925A8">
        <w:t>2001/02:So613 av Sven Brus m.fl. (kd):</w:t>
      </w:r>
    </w:p>
    <w:p w14:paraId="1814C366" w14:textId="77777777" w:rsidR="00241093" w:rsidRPr="000925A8" w:rsidRDefault="00241093">
      <w:pPr>
        <w:pStyle w:val="Yrkanden"/>
      </w:pPr>
      <w:r w:rsidRPr="000925A8">
        <w:t>15. Riksdagen begär att regeringen ger Boverket i uppdrag att utarbeta tydliga riktlinjer för b</w:t>
      </w:r>
      <w:r w:rsidRPr="000925A8">
        <w:t>e</w:t>
      </w:r>
      <w:r w:rsidRPr="000925A8">
        <w:t xml:space="preserve">byggelseinriktade hinder mot brott. </w:t>
      </w:r>
    </w:p>
    <w:p w14:paraId="6F98CC7C" w14:textId="77777777" w:rsidR="00241093" w:rsidRPr="000925A8" w:rsidRDefault="00241093">
      <w:pPr>
        <w:pStyle w:val="Rubrik2"/>
      </w:pPr>
      <w:bookmarkStart w:id="76" w:name="_Toc4898239"/>
      <w:r w:rsidRPr="000925A8">
        <w:t>Motion väckt med anledning av Riksdagens revisorers förslag 2001/02:RR8</w:t>
      </w:r>
      <w:bookmarkEnd w:id="76"/>
    </w:p>
    <w:p w14:paraId="53E9A63C" w14:textId="77777777" w:rsidR="00241093" w:rsidRPr="000925A8" w:rsidRDefault="00241093">
      <w:pPr>
        <w:pStyle w:val="Motioner"/>
      </w:pPr>
      <w:r w:rsidRPr="000925A8">
        <w:t>2001/02:Bo9 av Yvonne Ångström och Karin Pilsäter (fp):</w:t>
      </w:r>
    </w:p>
    <w:p w14:paraId="459B28EF" w14:textId="77777777" w:rsidR="00241093" w:rsidRPr="000925A8" w:rsidRDefault="00241093">
      <w:pPr>
        <w:pStyle w:val="Yrkanden"/>
      </w:pPr>
      <w:r w:rsidRPr="000925A8">
        <w:t>2. Riksdagen tillkännager för regeringen som sin mening vad i motionen anförs om handelsä</w:t>
      </w:r>
      <w:r w:rsidRPr="000925A8">
        <w:t>n</w:t>
      </w:r>
      <w:r w:rsidRPr="000925A8">
        <w:t xml:space="preserve">damålet i detaljplaneärenden. </w:t>
      </w:r>
    </w:p>
    <w:p w14:paraId="6C7E2A32" w14:textId="77777777" w:rsidR="00241093" w:rsidRPr="000925A8" w:rsidRDefault="00241093"/>
    <w:p w14:paraId="3F25A40B" w14:textId="77777777" w:rsidR="00241093" w:rsidRPr="000925A8" w:rsidRDefault="00241093">
      <w:pPr>
        <w:pStyle w:val="Normaltindrag"/>
        <w:sectPr w:rsidR="00000000" w:rsidRPr="000925A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14:paraId="221318C8" w14:textId="77777777" w:rsidR="00241093" w:rsidRPr="000925A8" w:rsidRDefault="00241093">
      <w:pPr>
        <w:pStyle w:val="Bilaga"/>
      </w:pPr>
      <w:r w:rsidRPr="000925A8">
        <w:t>Bilaga 2</w:t>
      </w:r>
    </w:p>
    <w:p w14:paraId="51AA81E1" w14:textId="77777777" w:rsidR="00241093" w:rsidRPr="000925A8" w:rsidRDefault="00241093">
      <w:pPr>
        <w:pStyle w:val="Rubrik1"/>
        <w:rPr>
          <w:noProof w:val="0"/>
        </w:rPr>
      </w:pPr>
      <w:bookmarkStart w:id="77" w:name="_Toc4304407"/>
      <w:bookmarkStart w:id="78" w:name="_Toc4898240"/>
      <w:r w:rsidRPr="000925A8">
        <w:rPr>
          <w:noProof w:val="0"/>
        </w:rPr>
        <w:t>Uppföljningsrapport</w:t>
      </w:r>
      <w:bookmarkEnd w:id="78"/>
      <w:r w:rsidRPr="000925A8">
        <w:rPr>
          <w:noProof w:val="0"/>
        </w:rPr>
        <w:t xml:space="preserve"> </w:t>
      </w:r>
      <w:bookmarkEnd w:id="77"/>
    </w:p>
    <w:p w14:paraId="15456AAF" w14:textId="77777777" w:rsidR="00241093" w:rsidRPr="000925A8" w:rsidRDefault="00241093">
      <w:pPr>
        <w:pStyle w:val="Normaltindrag"/>
      </w:pPr>
    </w:p>
    <w:p w14:paraId="231A7C2A" w14:textId="77777777" w:rsidR="00241093" w:rsidRPr="000925A8" w:rsidRDefault="00241093">
      <w:pPr>
        <w:jc w:val="center"/>
        <w:rPr>
          <w:sz w:val="52"/>
        </w:rPr>
      </w:pPr>
    </w:p>
    <w:p w14:paraId="4A1A20C3" w14:textId="77777777" w:rsidR="00241093" w:rsidRPr="000925A8" w:rsidRDefault="00241093">
      <w:pPr>
        <w:jc w:val="center"/>
        <w:rPr>
          <w:sz w:val="52"/>
        </w:rPr>
      </w:pPr>
      <w:r w:rsidRPr="000925A8">
        <w:rPr>
          <w:sz w:val="52"/>
        </w:rPr>
        <w:t>Länsstyrelserna och</w:t>
      </w:r>
      <w:r w:rsidRPr="000925A8">
        <w:rPr>
          <w:sz w:val="52"/>
        </w:rPr>
        <w:br/>
        <w:t>mellankommunal</w:t>
      </w:r>
      <w:r w:rsidRPr="000925A8">
        <w:rPr>
          <w:sz w:val="52"/>
        </w:rPr>
        <w:br/>
        <w:t>samordning inom</w:t>
      </w:r>
      <w:r w:rsidRPr="000925A8">
        <w:rPr>
          <w:sz w:val="52"/>
        </w:rPr>
        <w:br/>
        <w:t>PBL-området</w:t>
      </w:r>
    </w:p>
    <w:p w14:paraId="6767B9F2" w14:textId="77777777" w:rsidR="00241093" w:rsidRPr="000925A8" w:rsidRDefault="00241093">
      <w:pPr>
        <w:jc w:val="center"/>
      </w:pPr>
    </w:p>
    <w:p w14:paraId="11556257" w14:textId="77777777" w:rsidR="00241093" w:rsidRPr="000925A8" w:rsidRDefault="00241093">
      <w:pPr>
        <w:jc w:val="center"/>
      </w:pPr>
    </w:p>
    <w:p w14:paraId="13AA6CE3" w14:textId="77777777" w:rsidR="00241093" w:rsidRPr="000925A8" w:rsidRDefault="00241093">
      <w:pPr>
        <w:jc w:val="center"/>
      </w:pPr>
    </w:p>
    <w:p w14:paraId="0C200CAC" w14:textId="77777777" w:rsidR="00241093" w:rsidRPr="000925A8" w:rsidRDefault="00241093">
      <w:pPr>
        <w:jc w:val="center"/>
      </w:pPr>
      <w:r w:rsidRPr="000925A8">
        <w:t>av</w:t>
      </w:r>
    </w:p>
    <w:p w14:paraId="4492CB8C" w14:textId="77777777" w:rsidR="00241093" w:rsidRPr="000925A8" w:rsidRDefault="00241093">
      <w:pPr>
        <w:jc w:val="center"/>
      </w:pPr>
      <w:r w:rsidRPr="000925A8">
        <w:t>Roger Berggren</w:t>
      </w:r>
    </w:p>
    <w:p w14:paraId="4E978204" w14:textId="77777777" w:rsidR="00241093" w:rsidRPr="000925A8" w:rsidRDefault="00241093">
      <w:pPr>
        <w:jc w:val="center"/>
      </w:pPr>
      <w:r w:rsidRPr="000925A8">
        <w:t>på uppdrag av riksdagens bostadsutskott</w:t>
      </w:r>
      <w:bookmarkStart w:id="79" w:name="Dokumenttyp"/>
      <w:bookmarkStart w:id="80" w:name="_Toc477837975"/>
      <w:bookmarkStart w:id="81" w:name="_Toc479749825"/>
      <w:bookmarkEnd w:id="79"/>
    </w:p>
    <w:p w14:paraId="2563AA39" w14:textId="77777777" w:rsidR="00241093" w:rsidRPr="000925A8" w:rsidRDefault="00241093">
      <w:pPr>
        <w:pStyle w:val="Rubrik2"/>
      </w:pPr>
      <w:r w:rsidRPr="000925A8">
        <w:br w:type="page"/>
      </w:r>
      <w:bookmarkStart w:id="82" w:name="_Toc4898241"/>
      <w:r w:rsidRPr="000925A8">
        <w:t>1 Inledning</w:t>
      </w:r>
      <w:bookmarkEnd w:id="80"/>
      <w:bookmarkEnd w:id="81"/>
      <w:bookmarkEnd w:id="82"/>
    </w:p>
    <w:p w14:paraId="7B860D38" w14:textId="77777777" w:rsidR="00241093" w:rsidRPr="000925A8" w:rsidRDefault="00241093">
      <w:pPr>
        <w:pStyle w:val="R3"/>
      </w:pPr>
      <w:r w:rsidRPr="000925A8">
        <w:t>Uppföljningens bakgrund och inriktning</w:t>
      </w:r>
    </w:p>
    <w:p w14:paraId="60B6063E" w14:textId="77777777" w:rsidR="00241093" w:rsidRPr="000925A8" w:rsidRDefault="00241093">
      <w:pPr>
        <w:spacing w:before="0"/>
      </w:pPr>
      <w:r w:rsidRPr="000925A8">
        <w:t>Riksdagens bostadsutskott beslutade våren 2001 att genomföra en uppföljning av länsstyrelsernas roll i samband med mellankommunala plan- och byggfr</w:t>
      </w:r>
      <w:r w:rsidRPr="000925A8">
        <w:t>å</w:t>
      </w:r>
      <w:r w:rsidRPr="000925A8">
        <w:t>gor. Utskottet konstaterade att det i plan- och bygglagen (1987:10) stadgas att det vid planläggning ska tas hänsyn till förhållanden i angränsande komm</w:t>
      </w:r>
      <w:r w:rsidRPr="000925A8">
        <w:t>u</w:t>
      </w:r>
      <w:r w:rsidRPr="000925A8">
        <w:t>ner. Länsstyrelsen har därvid till uppgift att verka för att frågor om använ</w:t>
      </w:r>
      <w:r w:rsidRPr="000925A8">
        <w:t>d</w:t>
      </w:r>
      <w:r w:rsidRPr="000925A8">
        <w:t xml:space="preserve">ningen av mark och vatten som angår två eller flera kommuner samordnas på ett lämpligt sätt. </w:t>
      </w:r>
    </w:p>
    <w:p w14:paraId="421A5DC0" w14:textId="77777777" w:rsidR="00241093" w:rsidRPr="000925A8" w:rsidRDefault="00241093">
      <w:pPr>
        <w:pStyle w:val="Normaltindrag"/>
      </w:pPr>
      <w:r w:rsidRPr="000925A8">
        <w:t>Enligt utskottet bör uppföljningen bl.a. innefatta frågor om i vilken u</w:t>
      </w:r>
      <w:r w:rsidRPr="000925A8">
        <w:t>t</w:t>
      </w:r>
      <w:r w:rsidRPr="000925A8">
        <w:t>sträckning länsstyrelserna har verkat för att en samordning kommer till stånd genom dels rådgivande och stödjande insatser, dels med stöd av de bestä</w:t>
      </w:r>
      <w:r w:rsidRPr="000925A8">
        <w:t>m</w:t>
      </w:r>
      <w:r w:rsidRPr="000925A8">
        <w:t>melser för detta ändamål som finns i plan- och bygglagen (PBL). Vidare bör det belysas i vilken utsträckning länsstyrelsernas beslut har överklagats och vad dessa besvär har resulterat i.</w:t>
      </w:r>
    </w:p>
    <w:p w14:paraId="088B77CE" w14:textId="77777777" w:rsidR="00241093" w:rsidRPr="000925A8" w:rsidRDefault="00241093">
      <w:pPr>
        <w:pStyle w:val="R3"/>
      </w:pPr>
      <w:r w:rsidRPr="000925A8">
        <w:t>Uppföljningens genomförande</w:t>
      </w:r>
    </w:p>
    <w:p w14:paraId="697FC046" w14:textId="77777777" w:rsidR="00241093" w:rsidRPr="000925A8" w:rsidRDefault="00241093">
      <w:pPr>
        <w:spacing w:before="0"/>
        <w:rPr>
          <w:b/>
        </w:rPr>
      </w:pPr>
      <w:r w:rsidRPr="000925A8">
        <w:t>Uppföljningen har genomförts under perioden oktober 2001 till januari 2002. En till utskottet inlånad tjänsteman från Riksdagens revisorer har ansvarat för arbetet.</w:t>
      </w:r>
      <w:r w:rsidRPr="000925A8">
        <w:rPr>
          <w:b/>
        </w:rPr>
        <w:t xml:space="preserve"> </w:t>
      </w:r>
    </w:p>
    <w:p w14:paraId="65001E3C" w14:textId="77777777" w:rsidR="00241093" w:rsidRPr="000925A8" w:rsidRDefault="00241093">
      <w:pPr>
        <w:pStyle w:val="Normaltindrag"/>
      </w:pPr>
      <w:r w:rsidRPr="000925A8">
        <w:t xml:space="preserve">Studien bygger huvudsakligen på en genomgång av riksdagstryck och andra relevanta skriftliga källor. De senare främst i form av rapporter från berörda myndigheter samt annan myndighetsdokumentation som beslut, samrådsyttranden, planer etc. Utöver detta material har primärdata inhämtats genom två enkäter, den ena till samtliga länsstyrelser och den andra till ett urval av landets kommuner. </w:t>
      </w:r>
    </w:p>
    <w:p w14:paraId="5094D7B6" w14:textId="77777777" w:rsidR="00241093" w:rsidRPr="000925A8" w:rsidRDefault="00241093">
      <w:pPr>
        <w:pStyle w:val="Normaltindrag"/>
      </w:pPr>
      <w:r w:rsidRPr="000925A8">
        <w:t>Det skriftliga materialet har kompletterats med muntliga källor företräde</w:t>
      </w:r>
      <w:r w:rsidRPr="000925A8">
        <w:t>s</w:t>
      </w:r>
      <w:r w:rsidRPr="000925A8">
        <w:t>vis i form av intervjuer. Sammanlagt har ca 25 tjänstemän vid länsstyrelser, Regeringskansliet, Boverket, Vägverket m.fl. myndigheter intervjuats. Däru</w:t>
      </w:r>
      <w:r w:rsidRPr="000925A8">
        <w:t>t</w:t>
      </w:r>
      <w:r w:rsidRPr="000925A8">
        <w:t>över har intervjuer genomförts med representanter för Svenska Kommunfö</w:t>
      </w:r>
      <w:r w:rsidRPr="000925A8">
        <w:t>r</w:t>
      </w:r>
      <w:r w:rsidRPr="000925A8">
        <w:t xml:space="preserve">bundet. </w:t>
      </w:r>
    </w:p>
    <w:p w14:paraId="79243AE1" w14:textId="77777777" w:rsidR="00241093" w:rsidRPr="000925A8" w:rsidRDefault="00241093">
      <w:pPr>
        <w:pStyle w:val="Normaltindrag"/>
      </w:pPr>
      <w:r w:rsidRPr="000925A8">
        <w:t>Datainsamling har även skett genom deltagande observation vid ett sa</w:t>
      </w:r>
      <w:r w:rsidRPr="000925A8">
        <w:t>m</w:t>
      </w:r>
      <w:r w:rsidRPr="000925A8">
        <w:t>rådsmöte mellan Länsstyrelsen i Stoc</w:t>
      </w:r>
      <w:r w:rsidRPr="000925A8">
        <w:t>k</w:t>
      </w:r>
      <w:r w:rsidRPr="000925A8">
        <w:t>holms län och Huddinge kommun.</w:t>
      </w:r>
    </w:p>
    <w:p w14:paraId="7DF3BACD" w14:textId="77777777" w:rsidR="00241093" w:rsidRPr="000925A8" w:rsidRDefault="00241093">
      <w:pPr>
        <w:pStyle w:val="R3"/>
      </w:pPr>
      <w:r w:rsidRPr="000925A8">
        <w:t>Rapportens disposition</w:t>
      </w:r>
    </w:p>
    <w:p w14:paraId="0A524E6D" w14:textId="77777777" w:rsidR="00241093" w:rsidRPr="000925A8" w:rsidRDefault="00241093">
      <w:pPr>
        <w:spacing w:before="0"/>
      </w:pPr>
      <w:r w:rsidRPr="000925A8">
        <w:t>Utöver detta inledningskapitel består denna rapport av ytterligare nio kapitel. Kapitel två ger en allmän orientering om länsstyrelsernas roll och den refo</w:t>
      </w:r>
      <w:r w:rsidRPr="000925A8">
        <w:t>r</w:t>
      </w:r>
      <w:r w:rsidRPr="000925A8">
        <w:t>mering av länsförvaltningen som är under genomförande. Det tredje kapitlet fokuserar den roll som länsstyrelsen har inom PBL-området. I kapitel fyra görs en genomgång av vad som har framkommit i några av de utrednin</w:t>
      </w:r>
      <w:r w:rsidRPr="000925A8">
        <w:t>g</w:t>
      </w:r>
      <w:r w:rsidRPr="000925A8">
        <w:t>ar/uppföljningar som berör frågor om mellankommunal samordning inom PBL-området. Vidare refereras till aviserade men ännu inte tillsatta utre</w:t>
      </w:r>
      <w:r w:rsidRPr="000925A8">
        <w:t>d</w:t>
      </w:r>
      <w:r w:rsidRPr="000925A8">
        <w:t>ningar med anknytning till området.</w:t>
      </w:r>
    </w:p>
    <w:p w14:paraId="12975A22" w14:textId="77777777" w:rsidR="00241093" w:rsidRPr="000925A8" w:rsidRDefault="00241093">
      <w:pPr>
        <w:pStyle w:val="Normaltindrag"/>
      </w:pPr>
      <w:r w:rsidRPr="000925A8">
        <w:t>I kapitel fem och sex redovisas resultaten från enkäterna till länsstyrelser och kommuner. I kapitel 7–9 beskrivs någ</w:t>
      </w:r>
      <w:r w:rsidRPr="000925A8">
        <w:t>ra av de planfrågor som på senare år utkristalliserat sig som de mest svårhanterliga ur ett mellankommunalt perspektiv. Det är främst externhandelsetableringar (kapitel sju) men även vindkraftsutbyggnad (kapitel åtta). I kapitel nio ges ytterligare några exempel på PBL-frågor som förväntas ställa krav på mellankommunal samordning. Rapportens sista kapitel innehåller sammanfattande slutsa</w:t>
      </w:r>
      <w:r w:rsidRPr="000925A8">
        <w:t>t</w:t>
      </w:r>
      <w:r w:rsidRPr="000925A8">
        <w:t>ser.</w:t>
      </w:r>
    </w:p>
    <w:p w14:paraId="5369761C" w14:textId="77777777" w:rsidR="00241093" w:rsidRPr="000925A8" w:rsidRDefault="00241093">
      <w:pPr>
        <w:pStyle w:val="R3"/>
      </w:pPr>
      <w:r w:rsidRPr="000925A8">
        <w:t>Avgränsningar</w:t>
      </w:r>
    </w:p>
    <w:p w14:paraId="0FE4ED03" w14:textId="77777777" w:rsidR="00241093" w:rsidRPr="000925A8" w:rsidRDefault="00241093">
      <w:pPr>
        <w:spacing w:before="0"/>
      </w:pPr>
      <w:r w:rsidRPr="000925A8">
        <w:t>Rapporten berör inte transnationella planeringsfrågor eller hur länsstyrelsen har verkat för att främja mellankommunal samordning över nationsgränser. Här konstateras endast att denna typ av samverkan förekommer på flera håll, inte sällan inom ramen för EU-finansierade Interregprojekt.</w:t>
      </w:r>
      <w:r w:rsidRPr="000925A8">
        <w:rPr>
          <w:rStyle w:val="Fotnotsreferens"/>
        </w:rPr>
        <w:footnoteReference w:id="1"/>
      </w:r>
      <w:r w:rsidRPr="000925A8">
        <w:t xml:space="preserve"> </w:t>
      </w:r>
    </w:p>
    <w:p w14:paraId="5C654196" w14:textId="77777777" w:rsidR="00241093" w:rsidRPr="000925A8" w:rsidRDefault="00241093">
      <w:pPr>
        <w:pStyle w:val="Normaltindrag"/>
      </w:pPr>
      <w:r w:rsidRPr="000925A8">
        <w:t>Länsstyrelsen har en viktigt roll att fylla när det gäller att samordna statliga intressen inom PBL-området. Under arbetet med uppföljningen har flera synpunkter framförts på hur länsstyrelserna klarar denna uppgift. Flera akt</w:t>
      </w:r>
      <w:r w:rsidRPr="000925A8">
        <w:t>ö</w:t>
      </w:r>
      <w:r w:rsidRPr="000925A8">
        <w:t>rer menar att denna samordning är en viktigare uppgift för länsstyrelserna än den mellankommunala. En närmare analys av den inomstatliga samordningen på regional nivå och länsstyrelsernas roll i det sammanhanget ligger dock utanför denna uppföljningsstud</w:t>
      </w:r>
      <w:r w:rsidRPr="000925A8">
        <w:t>i</w:t>
      </w:r>
      <w:r w:rsidRPr="000925A8">
        <w:t>e.</w:t>
      </w:r>
    </w:p>
    <w:p w14:paraId="33920BDB" w14:textId="77777777" w:rsidR="00241093" w:rsidRPr="000925A8" w:rsidRDefault="00241093">
      <w:pPr>
        <w:pStyle w:val="Rubrik1"/>
        <w:rPr>
          <w:noProof w:val="0"/>
          <w:sz w:val="19"/>
        </w:rPr>
      </w:pPr>
    </w:p>
    <w:p w14:paraId="04DDADC6" w14:textId="77777777" w:rsidR="00241093" w:rsidRPr="000925A8" w:rsidRDefault="00241093">
      <w:pPr>
        <w:pStyle w:val="Rubrik2"/>
        <w:spacing w:before="0"/>
      </w:pPr>
      <w:r w:rsidRPr="000925A8">
        <w:br w:type="page"/>
      </w:r>
      <w:bookmarkStart w:id="83" w:name="_Toc4898242"/>
      <w:r w:rsidRPr="000925A8">
        <w:t>2 Länsstyrelsernas roll</w:t>
      </w:r>
      <w:bookmarkEnd w:id="83"/>
    </w:p>
    <w:p w14:paraId="476036E8" w14:textId="77777777" w:rsidR="00241093" w:rsidRPr="000925A8" w:rsidRDefault="00241093">
      <w:pPr>
        <w:pStyle w:val="R3"/>
        <w:rPr>
          <w:rFonts w:eastAsia="MS Mincho"/>
        </w:rPr>
      </w:pPr>
      <w:r w:rsidRPr="000925A8">
        <w:rPr>
          <w:rFonts w:eastAsia="MS Mincho"/>
        </w:rPr>
        <w:t>Länsstyrelserna i dag</w:t>
      </w:r>
    </w:p>
    <w:p w14:paraId="5127420A" w14:textId="77777777" w:rsidR="00241093" w:rsidRPr="000925A8" w:rsidRDefault="00241093">
      <w:pPr>
        <w:spacing w:before="0"/>
        <w:rPr>
          <w:rFonts w:eastAsia="MS Mincho"/>
        </w:rPr>
      </w:pPr>
      <w:r w:rsidRPr="000925A8">
        <w:rPr>
          <w:rFonts w:eastAsia="MS Mincho"/>
        </w:rPr>
        <w:t>Länsstyrelsen har två huvuduppgifter. För det första svarar länsstyrelsen för den statliga förvaltningen i länet.</w:t>
      </w:r>
      <w:r w:rsidRPr="000925A8">
        <w:rPr>
          <w:rStyle w:val="Fotnotsreferens"/>
          <w:rFonts w:eastAsia="MS Mincho"/>
        </w:rPr>
        <w:footnoteReference w:id="2"/>
      </w:r>
      <w:r w:rsidRPr="000925A8">
        <w:rPr>
          <w:rFonts w:eastAsia="MS Mincho"/>
        </w:rPr>
        <w:t xml:space="preserve"> För det andra har läns</w:t>
      </w:r>
      <w:r w:rsidRPr="000925A8">
        <w:rPr>
          <w:rFonts w:eastAsia="MS Mincho"/>
        </w:rPr>
        <w:softHyphen/>
        <w:t>styrelsen ansvar för att länet utvecklas på ett sådant sätt att nationella mål får genomslag, samt</w:t>
      </w:r>
      <w:r w:rsidRPr="000925A8">
        <w:rPr>
          <w:rFonts w:eastAsia="MS Mincho"/>
        </w:rPr>
        <w:t>i</w:t>
      </w:r>
      <w:r w:rsidRPr="000925A8">
        <w:rPr>
          <w:rFonts w:eastAsia="MS Mincho"/>
        </w:rPr>
        <w:t>digt som hänsyn tas till regionala förhållanden och förutsättningar.</w:t>
      </w:r>
      <w:r w:rsidRPr="000925A8">
        <w:rPr>
          <w:rStyle w:val="Fotnotsreferens"/>
          <w:rFonts w:eastAsia="MS Mincho"/>
        </w:rPr>
        <w:footnoteReference w:id="3"/>
      </w:r>
      <w:r w:rsidRPr="000925A8">
        <w:rPr>
          <w:rFonts w:eastAsia="MS Mincho"/>
        </w:rPr>
        <w:t xml:space="preserve"> Länsst</w:t>
      </w:r>
      <w:r w:rsidRPr="000925A8">
        <w:rPr>
          <w:rFonts w:eastAsia="MS Mincho"/>
        </w:rPr>
        <w:t>y</w:t>
      </w:r>
      <w:r w:rsidRPr="000925A8">
        <w:rPr>
          <w:rFonts w:eastAsia="MS Mincho"/>
        </w:rPr>
        <w:t xml:space="preserve">relsen har således en s.k. </w:t>
      </w:r>
      <w:r w:rsidRPr="000925A8">
        <w:rPr>
          <w:rFonts w:eastAsia="MS Mincho"/>
          <w:i/>
        </w:rPr>
        <w:t>förvaltningsuppgift</w:t>
      </w:r>
      <w:r w:rsidRPr="000925A8">
        <w:rPr>
          <w:rFonts w:eastAsia="MS Mincho"/>
        </w:rPr>
        <w:t xml:space="preserve"> och en </w:t>
      </w:r>
      <w:r w:rsidRPr="000925A8">
        <w:rPr>
          <w:rFonts w:eastAsia="MS Mincho"/>
          <w:i/>
        </w:rPr>
        <w:t>utvecklande uppgift</w:t>
      </w:r>
      <w:r w:rsidRPr="000925A8">
        <w:rPr>
          <w:rFonts w:eastAsia="MS Mincho"/>
        </w:rPr>
        <w:t>. I den senare ingår planering, projektverksamhet, samordningsuppgifter, överlägg</w:t>
      </w:r>
      <w:r w:rsidRPr="000925A8">
        <w:rPr>
          <w:rFonts w:eastAsia="MS Mincho"/>
        </w:rPr>
        <w:softHyphen/>
        <w:t>ningar med andra parter i länet, uppföljning och utvärdering, uppdrag åt r</w:t>
      </w:r>
      <w:r w:rsidRPr="000925A8">
        <w:rPr>
          <w:rFonts w:eastAsia="MS Mincho"/>
        </w:rPr>
        <w:t>e</w:t>
      </w:r>
      <w:r w:rsidRPr="000925A8">
        <w:rPr>
          <w:rFonts w:eastAsia="MS Mincho"/>
        </w:rPr>
        <w:t>geringen m.m. Vilken tyngdpunkt som läggs på de båda uppgifterna varierar till viss del med var i landet länet ligger. Länsstyrelsen har i de nordliga länen en stark samordnande ställning som hör samman med de aktiva regionalpol</w:t>
      </w:r>
      <w:r w:rsidRPr="000925A8">
        <w:rPr>
          <w:rFonts w:eastAsia="MS Mincho"/>
        </w:rPr>
        <w:t>i</w:t>
      </w:r>
      <w:r w:rsidRPr="000925A8">
        <w:rPr>
          <w:rFonts w:eastAsia="MS Mincho"/>
        </w:rPr>
        <w:t>tiska åtgärder som staten där svarar för. I d</w:t>
      </w:r>
      <w:r w:rsidRPr="000925A8">
        <w:rPr>
          <w:rFonts w:eastAsia="MS Mincho"/>
        </w:rPr>
        <w:t>e sydliga länen ses länsstyrelsen mer som en förvaltningsmyndighet.</w:t>
      </w:r>
      <w:r w:rsidRPr="000925A8">
        <w:rPr>
          <w:rStyle w:val="Fotnotsreferens"/>
          <w:rFonts w:eastAsia="MS Mincho"/>
        </w:rPr>
        <w:footnoteReference w:id="4"/>
      </w:r>
    </w:p>
    <w:p w14:paraId="6A1D58B7" w14:textId="77777777" w:rsidR="00241093" w:rsidRPr="000925A8" w:rsidRDefault="00241093">
      <w:pPr>
        <w:pStyle w:val="Normaltindrag"/>
        <w:rPr>
          <w:rFonts w:eastAsia="MS Mincho"/>
        </w:rPr>
      </w:pPr>
      <w:r w:rsidRPr="000925A8">
        <w:rPr>
          <w:rFonts w:eastAsia="MS Mincho"/>
        </w:rPr>
        <w:t xml:space="preserve"> </w:t>
      </w:r>
      <w:r w:rsidRPr="000925A8">
        <w:t>Sedan 1991 är länsstyrelserna i stort sett fria att själva bestämma sin org</w:t>
      </w:r>
      <w:r w:rsidRPr="000925A8">
        <w:t>a</w:t>
      </w:r>
      <w:r w:rsidRPr="000925A8">
        <w:t>nisation. En begränsning är dock att varje länsstyrelse inom ett antal specifika fackområden ska ha speciella länsexperter som är direkt underställda styre</w:t>
      </w:r>
      <w:r w:rsidRPr="000925A8">
        <w:t>l</w:t>
      </w:r>
      <w:r w:rsidRPr="000925A8">
        <w:t>sen. Ett av dessa fackområden är hållbar sa</w:t>
      </w:r>
      <w:r w:rsidRPr="000925A8">
        <w:t>m</w:t>
      </w:r>
      <w:r w:rsidRPr="000925A8">
        <w:t xml:space="preserve">hällsplanering och boende. </w:t>
      </w:r>
    </w:p>
    <w:p w14:paraId="02E15195" w14:textId="77777777" w:rsidR="00241093" w:rsidRPr="000925A8" w:rsidRDefault="00241093">
      <w:pPr>
        <w:pStyle w:val="R3"/>
        <w:rPr>
          <w:rFonts w:eastAsia="MS Mincho"/>
        </w:rPr>
      </w:pPr>
      <w:r w:rsidRPr="000925A8">
        <w:rPr>
          <w:rFonts w:eastAsia="MS Mincho"/>
        </w:rPr>
        <w:t>Regional försöksverksamhet</w:t>
      </w:r>
    </w:p>
    <w:p w14:paraId="1903603A" w14:textId="77777777" w:rsidR="00241093" w:rsidRPr="000925A8" w:rsidRDefault="00241093">
      <w:pPr>
        <w:spacing w:before="0"/>
        <w:rPr>
          <w:rFonts w:eastAsia="MS Mincho"/>
        </w:rPr>
      </w:pPr>
      <w:r w:rsidRPr="000925A8">
        <w:rPr>
          <w:rFonts w:eastAsia="MS Mincho"/>
        </w:rPr>
        <w:t xml:space="preserve">I fyra län (Kalmar, Gotlands, Skåne och Västra Götalands län) pågår det för närvarande en försöksverksamhet med ändrad ansvarsfördelning. </w:t>
      </w:r>
      <w:r w:rsidRPr="000925A8">
        <w:t>Försöken inriktades på att utveckla former för en starkare demokratisk förankring av det regionala utvecklingsarbetet samt</w:t>
      </w:r>
      <w:r w:rsidRPr="000925A8">
        <w:rPr>
          <w:rFonts w:eastAsia="MS Mincho"/>
        </w:rPr>
        <w:t xml:space="preserve"> </w:t>
      </w:r>
      <w:r w:rsidRPr="000925A8">
        <w:t>till ett effektivare utnyttjande av resu</w:t>
      </w:r>
      <w:r w:rsidRPr="000925A8">
        <w:t>r</w:t>
      </w:r>
      <w:r w:rsidRPr="000925A8">
        <w:t xml:space="preserve">ser som finns i länet. </w:t>
      </w:r>
      <w:r w:rsidRPr="000925A8">
        <w:rPr>
          <w:rFonts w:eastAsia="MS Mincho"/>
        </w:rPr>
        <w:t xml:space="preserve">I försökslänen har länsstyrelsens uppgifter för regional utveckling därför begränsats. </w:t>
      </w:r>
    </w:p>
    <w:p w14:paraId="318F5329" w14:textId="77777777" w:rsidR="00241093" w:rsidRPr="000925A8" w:rsidRDefault="00241093">
      <w:pPr>
        <w:pStyle w:val="Normaltindrag"/>
        <w:rPr>
          <w:rFonts w:eastAsia="MS Mincho"/>
        </w:rPr>
      </w:pPr>
      <w:r w:rsidRPr="000925A8">
        <w:t>Av de utredningar som låg till grund för försöksverksamheten framgår dock att denna begränsning inte innebar någon förändring av länsstyrelsernas ansvar inom den fysiska samhällsplan</w:t>
      </w:r>
      <w:r w:rsidRPr="000925A8">
        <w:t>e</w:t>
      </w:r>
      <w:r w:rsidRPr="000925A8">
        <w:t>ringen.</w:t>
      </w:r>
      <w:r w:rsidRPr="000925A8">
        <w:rPr>
          <w:rStyle w:val="Fotnotsreferens"/>
        </w:rPr>
        <w:footnoteReference w:id="5"/>
      </w:r>
    </w:p>
    <w:p w14:paraId="62761E50" w14:textId="77777777" w:rsidR="00241093" w:rsidRPr="000925A8" w:rsidRDefault="00241093">
      <w:pPr>
        <w:spacing w:before="0"/>
      </w:pPr>
      <w:r w:rsidRPr="000925A8">
        <w:rPr>
          <w:rFonts w:eastAsia="MS Mincho"/>
        </w:rPr>
        <w:t xml:space="preserve">Av de utvärderingar som har genomförts av verksamheten i försökslänen framkommer att </w:t>
      </w:r>
      <w:r w:rsidRPr="000925A8">
        <w:t xml:space="preserve">självstyrelseorganen i samtliga försökslän har utvecklat konstruktiva och positiva relationer med kommunerna i respektive län. </w:t>
      </w:r>
    </w:p>
    <w:p w14:paraId="6875DBC5" w14:textId="77777777" w:rsidR="00241093" w:rsidRPr="000925A8" w:rsidRDefault="00241093">
      <w:pPr>
        <w:pStyle w:val="Normaltindrag"/>
      </w:pPr>
      <w:r w:rsidRPr="000925A8">
        <w:t>Självstyrelseorganen har en hög grad av stöd och legitimitet bland me</w:t>
      </w:r>
      <w:r w:rsidRPr="000925A8">
        <w:t>r</w:t>
      </w:r>
      <w:r w:rsidRPr="000925A8">
        <w:t xml:space="preserve">parten av ledande kommunföreträdare i försökslänen. Försöksverksamheten har också bidragit till att förbättra samarbetsklimatet mellan kommunerna i respektive försökslän. </w:t>
      </w:r>
    </w:p>
    <w:p w14:paraId="0C7D0650" w14:textId="77777777" w:rsidR="00241093" w:rsidRPr="000925A8" w:rsidRDefault="00241093">
      <w:pPr>
        <w:pStyle w:val="Normaltindrag"/>
      </w:pPr>
      <w:r w:rsidRPr="000925A8">
        <w:t>Av utvärderingarna framgår också att självstyrelseorganen i Kalmar och Västra Götaland inte har tagit upp frågor om fysisk planering. I Skåne har dock självstyrelseorganet Region Skåne inrättat en förvaltning – Planering och Miljö – som har resurser för fysisk planering. Planering och Miljö för ”informella dialoger på tjänstemannanivå” m</w:t>
      </w:r>
      <w:r w:rsidRPr="000925A8">
        <w:t>ed kommunerna bl.a. i syfte att uppmärksamma de regionala frågorna i ett tidigt skede av kommunernas översiktsplanering.</w:t>
      </w:r>
      <w:r w:rsidRPr="000925A8">
        <w:rPr>
          <w:rStyle w:val="Fotnotsreferens"/>
        </w:rPr>
        <w:footnoteReference w:id="6"/>
      </w:r>
      <w:r w:rsidRPr="000925A8">
        <w:t xml:space="preserve"> De frågor som behandlas i dessa sammanhang är sådana som berör mer än en kommun som exempelvis översiktplanering, marka</w:t>
      </w:r>
      <w:r w:rsidRPr="000925A8">
        <w:t>n</w:t>
      </w:r>
      <w:r w:rsidRPr="000925A8">
        <w:t>vändnings-, bebyggelse- och miljöfrågor. Effekterna av detta arbete uppfatt</w:t>
      </w:r>
      <w:r w:rsidRPr="000925A8">
        <w:t>a</w:t>
      </w:r>
      <w:r w:rsidRPr="000925A8">
        <w:t xml:space="preserve">des av centrala intressenter emellertid som begränsade. Dessutom framfördes synpunkter på att ansvarsfördelningen mellan länsstyrelsen och Region Skåne inte föreföll helt klar. Utredningen ansåg dock att detta arbete hade en stor potential och </w:t>
      </w:r>
      <w:r w:rsidRPr="000925A8">
        <w:rPr>
          <w:i/>
        </w:rPr>
        <w:t>att behovet av ökad samverkan inom samhällsplaneringen är mycket stort</w:t>
      </w:r>
      <w:r w:rsidRPr="000925A8">
        <w:t>.</w:t>
      </w:r>
      <w:r w:rsidRPr="000925A8">
        <w:t xml:space="preserve"> Ansvarsfördelningen mellan självstyrelseorganen och länsstyre</w:t>
      </w:r>
      <w:r w:rsidRPr="000925A8">
        <w:t>l</w:t>
      </w:r>
      <w:r w:rsidRPr="000925A8">
        <w:t>sen kan, enligt den parlamentariska regionkommittén (PARK), under en u</w:t>
      </w:r>
      <w:r w:rsidRPr="000925A8">
        <w:t>t</w:t>
      </w:r>
      <w:r w:rsidRPr="000925A8">
        <w:t>vecklingsprocess i någon mån bli otydlig eftersom länsstyrelsen har ett ansvar att stödja mellankommunalt samarbete.</w:t>
      </w:r>
      <w:r w:rsidRPr="000925A8">
        <w:rPr>
          <w:rStyle w:val="Fotnotsreferens"/>
        </w:rPr>
        <w:footnoteReference w:id="7"/>
      </w:r>
      <w:r w:rsidRPr="000925A8">
        <w:t xml:space="preserve"> </w:t>
      </w:r>
    </w:p>
    <w:p w14:paraId="3367D433" w14:textId="77777777" w:rsidR="00241093" w:rsidRPr="000925A8" w:rsidRDefault="00241093">
      <w:pPr>
        <w:pStyle w:val="Normaltindrag"/>
        <w:rPr>
          <w:rFonts w:eastAsia="MS Mincho"/>
        </w:rPr>
      </w:pPr>
      <w:r w:rsidRPr="000925A8">
        <w:t>PARK konstaterade vidare att länsstyrelsens verksamhet domineras av förvaltnings- och tillsynsuppgifterna men att det inom några områden, dä</w:t>
      </w:r>
      <w:r w:rsidRPr="000925A8">
        <w:t>r</w:t>
      </w:r>
      <w:r w:rsidRPr="000925A8">
        <w:t>ibland hållbar samhällsplanering, finns inslag av utvecklingsuppgifter. Den nära kopplingen till förvaltnings- och tillsynsuppgifterna gjorde dock att PARK inte såg några skäl till att överföra utvecklingsuppgifter inom dessa områden från länsstyrelsen till självstyrelseorgan. Beträffande den fysiska planeringen konstaterade PARK vidare att även denna har tydliga beröring</w:t>
      </w:r>
      <w:r w:rsidRPr="000925A8">
        <w:t>s</w:t>
      </w:r>
      <w:r w:rsidRPr="000925A8">
        <w:t>punkter med regionalt utvecklingsarbete. Då kommunerna svarar för den fysiska planeringen är det, enligt PARK, naturligt att de regional</w:t>
      </w:r>
      <w:r w:rsidRPr="000925A8">
        <w:t>a självstyre</w:t>
      </w:r>
      <w:r w:rsidRPr="000925A8">
        <w:t>l</w:t>
      </w:r>
      <w:r w:rsidRPr="000925A8">
        <w:t>seorganen har en ”dialog på frivillig grund med kommunerna i samhällsplan</w:t>
      </w:r>
      <w:r w:rsidRPr="000925A8">
        <w:t>e</w:t>
      </w:r>
      <w:r w:rsidRPr="000925A8">
        <w:t>ringsfr</w:t>
      </w:r>
      <w:r w:rsidRPr="000925A8">
        <w:t>å</w:t>
      </w:r>
      <w:r w:rsidRPr="000925A8">
        <w:t>gor”.</w:t>
      </w:r>
      <w:r w:rsidRPr="000925A8">
        <w:rPr>
          <w:rStyle w:val="Fotnotsreferens"/>
        </w:rPr>
        <w:footnoteReference w:id="8"/>
      </w:r>
    </w:p>
    <w:p w14:paraId="314477A7" w14:textId="77777777" w:rsidR="00241093" w:rsidRPr="000925A8" w:rsidRDefault="00241093">
      <w:pPr>
        <w:pStyle w:val="R3"/>
        <w:rPr>
          <w:rFonts w:eastAsia="MS Mincho"/>
        </w:rPr>
      </w:pPr>
      <w:r w:rsidRPr="000925A8">
        <w:rPr>
          <w:rFonts w:eastAsia="MS Mincho"/>
        </w:rPr>
        <w:t>Reformerad statlig länsförvaltning</w:t>
      </w:r>
    </w:p>
    <w:p w14:paraId="2AAF1451" w14:textId="77777777" w:rsidR="00241093" w:rsidRPr="000925A8" w:rsidRDefault="00241093">
      <w:pPr>
        <w:spacing w:before="0"/>
        <w:rPr>
          <w:spacing w:val="-3"/>
          <w:kern w:val="1"/>
        </w:rPr>
      </w:pPr>
      <w:r w:rsidRPr="000925A8">
        <w:t>Delvis mot bakgrund av erfarenheterna från försöksverksamheten konstater</w:t>
      </w:r>
      <w:r w:rsidRPr="000925A8">
        <w:t>a</w:t>
      </w:r>
      <w:r w:rsidRPr="000925A8">
        <w:t>de regeringen hösten 2001 att länsstyrelsernas roll avseende tillsyn, uppföl</w:t>
      </w:r>
      <w:r w:rsidRPr="000925A8">
        <w:t>j</w:t>
      </w:r>
      <w:r w:rsidRPr="000925A8">
        <w:t>ning och utvärdering behöver stärkas.</w:t>
      </w:r>
      <w:r w:rsidRPr="000925A8">
        <w:rPr>
          <w:rStyle w:val="Fotnotsreferens"/>
        </w:rPr>
        <w:footnoteReference w:id="9"/>
      </w:r>
      <w:r w:rsidRPr="000925A8">
        <w:t xml:space="preserve"> Regeringen föreslog att f</w:t>
      </w:r>
      <w:r w:rsidRPr="000925A8">
        <w:rPr>
          <w:spacing w:val="-3"/>
          <w:kern w:val="1"/>
        </w:rPr>
        <w:t>örsöksver</w:t>
      </w:r>
      <w:r w:rsidRPr="000925A8">
        <w:rPr>
          <w:spacing w:val="-3"/>
          <w:kern w:val="1"/>
        </w:rPr>
        <w:t>k</w:t>
      </w:r>
      <w:r w:rsidRPr="000925A8">
        <w:rPr>
          <w:spacing w:val="-3"/>
          <w:kern w:val="1"/>
        </w:rPr>
        <w:t>samheten förändras så att den kan tillämpas i samtliga län. Kommuner och landsting ges därvid möjlighet att, fr.o.m. 2003, bilda s.k. samverkansorgan.</w:t>
      </w:r>
      <w:r w:rsidRPr="000925A8">
        <w:rPr>
          <w:rStyle w:val="Fotnotsreferens"/>
          <w:spacing w:val="-3"/>
          <w:kern w:val="1"/>
        </w:rPr>
        <w:footnoteReference w:id="10"/>
      </w:r>
      <w:r w:rsidRPr="000925A8">
        <w:rPr>
          <w:spacing w:val="-3"/>
          <w:kern w:val="1"/>
        </w:rPr>
        <w:t xml:space="preserve"> </w:t>
      </w:r>
      <w:r w:rsidRPr="000925A8">
        <w:t>Samverkansorganet ska bl.a. utarbeta program för länets utveckling samt besluta om länsplan för regional infrastruktur. I de län som inte bildar ko</w:t>
      </w:r>
      <w:r w:rsidRPr="000925A8">
        <w:t>m</w:t>
      </w:r>
      <w:r w:rsidRPr="000925A8">
        <w:t>munala samverkansorgan svarar länsstyrelsen för motsvarande uppgifter.</w:t>
      </w:r>
      <w:r w:rsidRPr="000925A8">
        <w:rPr>
          <w:spacing w:val="-3"/>
          <w:kern w:val="1"/>
        </w:rPr>
        <w:t xml:space="preserve"> </w:t>
      </w:r>
    </w:p>
    <w:p w14:paraId="19AB2851" w14:textId="77777777" w:rsidR="00241093" w:rsidRPr="000925A8" w:rsidRDefault="00241093">
      <w:pPr>
        <w:rPr>
          <w:spacing w:val="-3"/>
          <w:kern w:val="1"/>
        </w:rPr>
      </w:pPr>
    </w:p>
    <w:p w14:paraId="56366A70" w14:textId="77777777" w:rsidR="00241093" w:rsidRPr="000925A8" w:rsidRDefault="00241093">
      <w:pPr>
        <w:spacing w:before="0"/>
      </w:pPr>
      <w:r w:rsidRPr="000925A8">
        <w:t>Regeringen aviserade också att man har för avsikt att initiera en allmän öve</w:t>
      </w:r>
      <w:r w:rsidRPr="000925A8">
        <w:t>r</w:t>
      </w:r>
      <w:r w:rsidRPr="000925A8">
        <w:t>syn av uppgifts- och ansvarsfördelningen mellan staten, kommunerna och landstingen. Utgångspunkten för en sådan översyn bör bl.a. vara upprätthål</w:t>
      </w:r>
      <w:r w:rsidRPr="000925A8">
        <w:t>l</w:t>
      </w:r>
      <w:r w:rsidRPr="000925A8">
        <w:t>andet av en långtgående kommunal självstyrelse.</w:t>
      </w:r>
      <w:r w:rsidRPr="000925A8">
        <w:rPr>
          <w:rStyle w:val="Fotnotsreferens"/>
        </w:rPr>
        <w:footnoteReference w:id="11"/>
      </w:r>
      <w:r w:rsidRPr="000925A8">
        <w:rPr>
          <w:spacing w:val="-3"/>
          <w:kern w:val="1"/>
        </w:rPr>
        <w:t xml:space="preserve"> Samtidigt </w:t>
      </w:r>
      <w:r w:rsidRPr="000925A8">
        <w:t>konstaterade regeringen att staten behöver en stark och kompetent statlig länsförvaltning för att hantera de statliga uppgifter som inte kan eller bör skötas på central nivå. Enligt regeringen är det än viktigare att länsstyrelsen kan samla sina resurser till sådana uppgifter som rör det nationella intresset på regional nivå och där länen är lämpliga områden för den statliga hanteringen. Hit hör tillsyn och uppföljning av nationella mål, utvärdering av olika slags verksamhet, men också allmänna f</w:t>
      </w:r>
      <w:r w:rsidRPr="000925A8">
        <w:t>örvaltningsuppgifter som exempelvis ärendehantering.</w:t>
      </w:r>
      <w:r w:rsidRPr="000925A8">
        <w:rPr>
          <w:rStyle w:val="Fotnotsreferens"/>
        </w:rPr>
        <w:footnoteReference w:id="12"/>
      </w:r>
      <w:r w:rsidRPr="000925A8">
        <w:t xml:space="preserve"> </w:t>
      </w:r>
    </w:p>
    <w:p w14:paraId="009E41AE" w14:textId="77777777" w:rsidR="00241093" w:rsidRPr="000925A8" w:rsidRDefault="00241093">
      <w:pPr>
        <w:pStyle w:val="Normaltindrag"/>
      </w:pPr>
      <w:r w:rsidRPr="000925A8">
        <w:t>Samtidigt konstaterade regeringen att länsstyrelsens roll på det förval</w:t>
      </w:r>
      <w:r w:rsidRPr="000925A8">
        <w:t>t</w:t>
      </w:r>
      <w:r w:rsidRPr="000925A8">
        <w:t>ningsrättsliga området övervägs i andra sammanhang, bl.a. vad avser systemet för överprövning av överklagandebeslut enligt PBL (se vidare nedan). Dessa frågor behandlades därför inte närmare i den aktuella propositi</w:t>
      </w:r>
      <w:r w:rsidRPr="000925A8">
        <w:t>o</w:t>
      </w:r>
      <w:r w:rsidRPr="000925A8">
        <w:t>nen.</w:t>
      </w:r>
      <w:r w:rsidRPr="000925A8">
        <w:rPr>
          <w:rStyle w:val="Fotnotsreferens"/>
        </w:rPr>
        <w:footnoteReference w:id="13"/>
      </w:r>
    </w:p>
    <w:p w14:paraId="524A4E68" w14:textId="77777777" w:rsidR="00241093" w:rsidRPr="000925A8" w:rsidRDefault="00241093">
      <w:pPr>
        <w:pStyle w:val="R3"/>
      </w:pPr>
      <w:r w:rsidRPr="000925A8">
        <w:t>Regionalpolitik och mellankommunal sa</w:t>
      </w:r>
      <w:r w:rsidRPr="000925A8">
        <w:t>m</w:t>
      </w:r>
      <w:r w:rsidRPr="000925A8">
        <w:t>ordning</w:t>
      </w:r>
    </w:p>
    <w:p w14:paraId="07AECD58" w14:textId="77777777" w:rsidR="00241093" w:rsidRPr="000925A8" w:rsidRDefault="00241093">
      <w:pPr>
        <w:spacing w:before="0"/>
      </w:pPr>
      <w:r w:rsidRPr="000925A8">
        <w:t>Hösten 2001 presenterade regeringen även en regionalpolitisk proposition.</w:t>
      </w:r>
      <w:r w:rsidRPr="000925A8">
        <w:rPr>
          <w:rStyle w:val="Fotnotsreferens"/>
        </w:rPr>
        <w:footnoteReference w:id="14"/>
      </w:r>
      <w:bookmarkStart w:id="84" w:name="_Toc526239397"/>
      <w:bookmarkStart w:id="85" w:name="_Toc526244123"/>
      <w:r w:rsidRPr="000925A8">
        <w:t xml:space="preserve"> I denna påtalas vikten av en tydligare ansvarsfördelning på regional nivå me</w:t>
      </w:r>
      <w:r w:rsidRPr="000925A8">
        <w:t>l</w:t>
      </w:r>
      <w:r w:rsidRPr="000925A8">
        <w:t>lan staten och den kommunala nivån</w:t>
      </w:r>
      <w:bookmarkEnd w:id="84"/>
      <w:bookmarkEnd w:id="85"/>
      <w:r w:rsidRPr="000925A8">
        <w:t>, men även att ett effektivt arbete för regional utveckling</w:t>
      </w:r>
      <w:r w:rsidRPr="000925A8">
        <w:rPr>
          <w:b/>
        </w:rPr>
        <w:t xml:space="preserve"> </w:t>
      </w:r>
      <w:r w:rsidRPr="000925A8">
        <w:t>förutsätter nära samverkan mellan staten och den ko</w:t>
      </w:r>
      <w:r w:rsidRPr="000925A8">
        <w:t>m</w:t>
      </w:r>
      <w:r w:rsidRPr="000925A8">
        <w:t xml:space="preserve">munala nivån. Regeringen menade att det fanns goda skäl att lyfta fram den regionala nivån som en samarbetsarena för utvecklingsarbete mellan staten och kommuner, landsting, näringsliv och organisationer. </w:t>
      </w:r>
    </w:p>
    <w:p w14:paraId="58085493" w14:textId="77777777" w:rsidR="00241093" w:rsidRPr="000925A8" w:rsidRDefault="00241093">
      <w:pPr>
        <w:pStyle w:val="Normaltindrag"/>
      </w:pPr>
      <w:r w:rsidRPr="000925A8">
        <w:t>Regeringen hänvisade också till betydelsen av de ovan beskrivna komm</w:t>
      </w:r>
      <w:r w:rsidRPr="000925A8">
        <w:t>u</w:t>
      </w:r>
      <w:r w:rsidRPr="000925A8">
        <w:t>nala samverkansorganen och att länsstyrelsens roll som statlig företrädare ska bli tydligare. Länsstyrelsen får ett bredare samordningsansvar och dess roll som statens företrädare i länet ska utvecklas.</w:t>
      </w:r>
    </w:p>
    <w:p w14:paraId="52A180AA" w14:textId="77777777" w:rsidR="00241093" w:rsidRPr="000925A8" w:rsidRDefault="00241093">
      <w:pPr>
        <w:pStyle w:val="Rubrik2"/>
        <w:spacing w:before="0"/>
      </w:pPr>
      <w:r w:rsidRPr="000925A8">
        <w:br w:type="page"/>
      </w:r>
      <w:bookmarkStart w:id="86" w:name="_Toc4898243"/>
      <w:r w:rsidRPr="000925A8">
        <w:t>3 Länsstyrelsernas roll enligt PBL</w:t>
      </w:r>
      <w:bookmarkEnd w:id="86"/>
      <w:r w:rsidRPr="000925A8">
        <w:t xml:space="preserve"> </w:t>
      </w:r>
    </w:p>
    <w:p w14:paraId="18D1DDDD" w14:textId="77777777" w:rsidR="00241093" w:rsidRPr="000925A8" w:rsidRDefault="00241093">
      <w:pPr>
        <w:spacing w:before="0"/>
      </w:pPr>
    </w:p>
    <w:p w14:paraId="46393489" w14:textId="77777777" w:rsidR="00241093" w:rsidRPr="000925A8" w:rsidRDefault="00241093">
      <w:pPr>
        <w:spacing w:before="0"/>
      </w:pPr>
      <w:r w:rsidRPr="000925A8">
        <w:t>Genom att belysa samband och konsekvenser kan länsstyrelsen bidra till ett regionalt perspektiv i kommunernas fysiska planering. Länsstyrelsen tar des</w:t>
      </w:r>
      <w:r w:rsidRPr="000925A8">
        <w:t>s</w:t>
      </w:r>
      <w:r w:rsidRPr="000925A8">
        <w:t>utom i sin utvecklingsplanering för länet initiativ till och arbetar för regional utveckling. Detta är viktiga utgångspunkter i kommunernas planering.</w:t>
      </w:r>
      <w:r w:rsidRPr="000925A8">
        <w:rPr>
          <w:rStyle w:val="Fotnotsreferens"/>
          <w:sz w:val="20"/>
        </w:rPr>
        <w:footnoteReference w:id="15"/>
      </w:r>
    </w:p>
    <w:p w14:paraId="1BA15007" w14:textId="77777777" w:rsidR="00241093" w:rsidRPr="000925A8" w:rsidRDefault="00241093">
      <w:pPr>
        <w:pStyle w:val="R3"/>
      </w:pPr>
      <w:r w:rsidRPr="000925A8">
        <w:t>Inledning</w:t>
      </w:r>
    </w:p>
    <w:p w14:paraId="1687D15F" w14:textId="77777777" w:rsidR="00241093" w:rsidRPr="000925A8" w:rsidRDefault="00241093">
      <w:pPr>
        <w:spacing w:before="0"/>
      </w:pPr>
      <w:r w:rsidRPr="000925A8">
        <w:t>När PBL tillkom 1987 innebar det att länsstyrelsen delvis fick en ny roll i den fysiska planeringen. Den aktiva rådgivningen i tidiga skeden av planering</w:t>
      </w:r>
      <w:r w:rsidRPr="000925A8">
        <w:t>s</w:t>
      </w:r>
      <w:r w:rsidRPr="000925A8">
        <w:t>processen blev viktigare. Den granskande och kontrollerande verksamheten i planeringens sena skeden skulle ersättas med en roll som betonade inform</w:t>
      </w:r>
      <w:r w:rsidRPr="000925A8">
        <w:t>a</w:t>
      </w:r>
      <w:r w:rsidRPr="000925A8">
        <w:t>tion och samråd på förhand. Länsstyrelsernas tre huvudsakliga roller i den fysiska planeringen är numera service, samordning och beslut.</w:t>
      </w:r>
      <w:r w:rsidRPr="000925A8">
        <w:rPr>
          <w:rStyle w:val="Fotnotsreferens"/>
        </w:rPr>
        <w:footnoteReference w:id="16"/>
      </w:r>
      <w:r w:rsidRPr="000925A8">
        <w:t xml:space="preserve"> </w:t>
      </w:r>
    </w:p>
    <w:p w14:paraId="7377DF28" w14:textId="77777777" w:rsidR="00241093" w:rsidRPr="000925A8" w:rsidRDefault="00241093">
      <w:pPr>
        <w:pStyle w:val="Normaltindrag"/>
      </w:pPr>
      <w:r w:rsidRPr="000925A8">
        <w:t xml:space="preserve">Länsstyrelsens arbete i samband med mellankommunala PBL-frågor kan bl.a. sägas hänga samman med </w:t>
      </w:r>
      <w:r w:rsidRPr="000925A8">
        <w:rPr>
          <w:i/>
        </w:rPr>
        <w:t>när</w:t>
      </w:r>
      <w:r w:rsidRPr="000925A8">
        <w:t xml:space="preserve"> länsstyrelsen agerar i processen. Ju tidig</w:t>
      </w:r>
      <w:r w:rsidRPr="000925A8">
        <w:t>a</w:t>
      </w:r>
      <w:r w:rsidRPr="000925A8">
        <w:t>re man upprättar kontakter med kommunerna desto, mer informell och serv</w:t>
      </w:r>
      <w:r w:rsidRPr="000925A8">
        <w:t>i</w:t>
      </w:r>
      <w:r w:rsidRPr="000925A8">
        <w:t>ceinriktad kan relationen vara. Länsstyrelsernas medverkan i det tidiga me</w:t>
      </w:r>
      <w:r w:rsidRPr="000925A8">
        <w:t>l</w:t>
      </w:r>
      <w:r w:rsidRPr="000925A8">
        <w:t xml:space="preserve">lankommunala samarbetet är egentligen främst att vara diskussionspart. </w:t>
      </w:r>
    </w:p>
    <w:p w14:paraId="58B903D5" w14:textId="77777777" w:rsidR="00241093" w:rsidRPr="000925A8" w:rsidRDefault="00241093">
      <w:pPr>
        <w:pStyle w:val="Normaltindrag"/>
      </w:pPr>
      <w:r w:rsidRPr="000925A8">
        <w:t>Om berörda kommuner i sin planering inte beaktar de underlag med eve</w:t>
      </w:r>
      <w:r w:rsidRPr="000925A8">
        <w:t>n</w:t>
      </w:r>
      <w:r w:rsidRPr="000925A8">
        <w:t>tuella mellankommunala dimensioner som länsstyrelsen tillhandahåller bör länsstyrelsen påpeka detta såväl informellt som i mer formella yttranden i samband med de samrådstillfällen som bjuds under olika delar av planering</w:t>
      </w:r>
      <w:r w:rsidRPr="000925A8">
        <w:t>s</w:t>
      </w:r>
      <w:r w:rsidRPr="000925A8">
        <w:t>processen. Om kommunerna ändå inte sörjer för att samordning kommer till stånd kan länsstyrelsen pröva och upphäva de aktuella planerna. I den hände</w:t>
      </w:r>
      <w:r w:rsidRPr="000925A8">
        <w:t>l</w:t>
      </w:r>
      <w:r w:rsidRPr="000925A8">
        <w:t>se detta sker har länsstyrelsen i mångt och mycket tvingats återgå till sin tidigare roll som formell efterhandsgranskare. Många länsstyrels</w:t>
      </w:r>
      <w:r w:rsidRPr="000925A8">
        <w:t xml:space="preserve">er beskriver också en sådan situation som att man i någon utsträckning har </w:t>
      </w:r>
      <w:r w:rsidRPr="000925A8">
        <w:rPr>
          <w:i/>
        </w:rPr>
        <w:t>misslyckats</w:t>
      </w:r>
      <w:r w:rsidRPr="000925A8">
        <w:t xml:space="preserve"> med sitt uppdrag att främja en tidig mellankommunal samordning. </w:t>
      </w:r>
    </w:p>
    <w:p w14:paraId="4CD4D76C" w14:textId="77777777" w:rsidR="00241093" w:rsidRPr="000925A8" w:rsidRDefault="00241093">
      <w:pPr>
        <w:pStyle w:val="Normaltindrag"/>
      </w:pPr>
      <w:r w:rsidRPr="000925A8">
        <w:t>I detta kapitel beskrivs länsstyrelsernas möjligheter att under olika delar av de fysiska planeringsprocesserna främja en lämplig mellankommunal sa</w:t>
      </w:r>
      <w:r w:rsidRPr="000925A8">
        <w:t>m</w:t>
      </w:r>
      <w:r w:rsidRPr="000925A8">
        <w:t>ordning.</w:t>
      </w:r>
    </w:p>
    <w:p w14:paraId="1C592A4C" w14:textId="77777777" w:rsidR="00241093" w:rsidRPr="000925A8" w:rsidRDefault="00241093">
      <w:pPr>
        <w:pStyle w:val="R3"/>
      </w:pPr>
      <w:r w:rsidRPr="000925A8">
        <w:t>Några reflektioner kring centrala begrepp</w:t>
      </w:r>
    </w:p>
    <w:p w14:paraId="23B853D8" w14:textId="77777777" w:rsidR="00241093" w:rsidRPr="000925A8" w:rsidRDefault="00241093">
      <w:pPr>
        <w:spacing w:before="0"/>
      </w:pPr>
      <w:r w:rsidRPr="000925A8">
        <w:t>Innan vi går vidare och tittar närmare på länsstyrelsernas roll inom PBL-området beträffande mellankommunal samordning är det på sin plats att r</w:t>
      </w:r>
      <w:r w:rsidRPr="000925A8">
        <w:t>e</w:t>
      </w:r>
      <w:r w:rsidRPr="000925A8">
        <w:t>flektera något kring några av de centrala begreppen i detta samma</w:t>
      </w:r>
      <w:r w:rsidRPr="000925A8">
        <w:t>n</w:t>
      </w:r>
      <w:r w:rsidRPr="000925A8">
        <w:t>hang.</w:t>
      </w:r>
    </w:p>
    <w:p w14:paraId="71753BB7" w14:textId="77777777" w:rsidR="00241093" w:rsidRPr="000925A8" w:rsidRDefault="00241093">
      <w:pPr>
        <w:pStyle w:val="R4"/>
      </w:pPr>
      <w:r w:rsidRPr="000925A8">
        <w:t>Mellankommunalt eller regionalt?</w:t>
      </w:r>
    </w:p>
    <w:p w14:paraId="3980C8CD" w14:textId="77777777" w:rsidR="00241093" w:rsidRPr="000925A8" w:rsidRDefault="00241093">
      <w:pPr>
        <w:spacing w:before="0"/>
      </w:pPr>
      <w:r w:rsidRPr="000925A8">
        <w:t>När PBL tillkom var diskussionen om regioner inte särskilt utbredd. Frågan om ett eventuellt svenskt medlemskap i EU samt den framväxande insikten om att flera samhälleliga utmaningar (miljöfrågor, regional konkurrens etc.) inte enbart kunde hanteras på den lokala nivån gjorde emellertid att dessa frågors betydelse ökade under 1990-talet. I ljuset av detta växte flera fråg</w:t>
      </w:r>
      <w:r w:rsidRPr="000925A8">
        <w:t>e</w:t>
      </w:r>
      <w:r w:rsidRPr="000925A8">
        <w:t>ställningar fram. En av dessa var hur man skulle se på relationen mellan me</w:t>
      </w:r>
      <w:r w:rsidRPr="000925A8">
        <w:t>l</w:t>
      </w:r>
      <w:r w:rsidRPr="000925A8">
        <w:t xml:space="preserve">lankommunala och regionala PBL-frågor. </w:t>
      </w:r>
    </w:p>
    <w:p w14:paraId="1CA43AEA" w14:textId="77777777" w:rsidR="00241093" w:rsidRPr="000925A8" w:rsidRDefault="00241093">
      <w:pPr>
        <w:pStyle w:val="Normaltindrag"/>
      </w:pPr>
      <w:r w:rsidRPr="000925A8">
        <w:t>Länsstyrelsen i Skåne resonerar i en nyutkommen skrift kring detta fö</w:t>
      </w:r>
      <w:r w:rsidRPr="000925A8">
        <w:t>r</w:t>
      </w:r>
      <w:r w:rsidRPr="000925A8">
        <w:t>hållande.</w:t>
      </w:r>
      <w:r w:rsidRPr="000925A8">
        <w:rPr>
          <w:rStyle w:val="Fotnotsreferens"/>
        </w:rPr>
        <w:footnoteReference w:id="17"/>
      </w:r>
      <w:r w:rsidRPr="000925A8">
        <w:t xml:space="preserve"> Man konstaterade att gränsen mellan de båda begreppen är diffus och att samverkan mellan kommuner kan ske på olika sätt beroende på om en fråga betraktas som mellankommunal eller regional. Samtidigt ansåg man att länsstyrelsens roll inte är densamma om en fråga uppfattas som mellanko</w:t>
      </w:r>
      <w:r w:rsidRPr="000925A8">
        <w:t>m</w:t>
      </w:r>
      <w:r w:rsidRPr="000925A8">
        <w:t>munal eller regional. I det förra fallet är begreppet en ingripandegrund enligt PBL medan den i det senare fallet främst innebär att länsstyrelsen ska svara för olika former av unde</w:t>
      </w:r>
      <w:r w:rsidRPr="000925A8">
        <w:t>r</w:t>
      </w:r>
      <w:r w:rsidRPr="000925A8">
        <w:t>lagsmaterial.</w:t>
      </w:r>
      <w:r w:rsidRPr="000925A8">
        <w:rPr>
          <w:rStyle w:val="Fotnotsreferens"/>
        </w:rPr>
        <w:footnoteReference w:id="18"/>
      </w:r>
    </w:p>
    <w:p w14:paraId="6374DFB3" w14:textId="77777777" w:rsidR="00241093" w:rsidRPr="000925A8" w:rsidRDefault="00241093">
      <w:pPr>
        <w:pStyle w:val="Normaltindrag"/>
      </w:pPr>
      <w:r w:rsidRPr="000925A8">
        <w:t>Länsstyrelsen i Skåne län menade att PBL inte ger någon tydlig vägledning om hur de båda begreppen ska skiljas åt. Den skillnad som finns innebär att mellankommunala frågor berör den enskilda kommunen och angränsande kommuner medan regionala frågor är de som berör fler kommuner än de direkt kringliggande. Det regionala arbetet anses vara mer övergripande och består i att beskriva strukturer. Det är mer inriktat på att diskutera samverkan än att lösa konkreta konflikter. De mellankommunala frågorna är mer k</w:t>
      </w:r>
      <w:r w:rsidRPr="000925A8">
        <w:t>o</w:t>
      </w:r>
      <w:r w:rsidRPr="000925A8">
        <w:t>n</w:t>
      </w:r>
      <w:r w:rsidRPr="000925A8">
        <w:t>kreta, har en större detaljeringsnivå och är aktuella för den specifika komm</w:t>
      </w:r>
      <w:r w:rsidRPr="000925A8">
        <w:t>u</w:t>
      </w:r>
      <w:r w:rsidRPr="000925A8">
        <w:t>nen och dess grannkommuner. Denna samverkan sker vanligen kring plan</w:t>
      </w:r>
      <w:r w:rsidRPr="000925A8">
        <w:t>e</w:t>
      </w:r>
      <w:r w:rsidRPr="000925A8">
        <w:t>ringsproblem som är fysiska objekt med utsträckning över flera kommuner (t.ex. infrastruktursatsningar) och mer sällan kring mer allmänna gemensa</w:t>
      </w:r>
      <w:r w:rsidRPr="000925A8">
        <w:t>m</w:t>
      </w:r>
      <w:r w:rsidRPr="000925A8">
        <w:t>ma frågor som inte går att avgränsa på en karta. Länsstyrelsen avslutar sitt resonemang med att konstatera att det behövs en större tydlighet i använ</w:t>
      </w:r>
      <w:r w:rsidRPr="000925A8">
        <w:t>d</w:t>
      </w:r>
      <w:r w:rsidRPr="000925A8">
        <w:t>ningen av de båda begreppen för att de inte ska förlora sin status o</w:t>
      </w:r>
      <w:r w:rsidRPr="000925A8">
        <w:t>ch betyde</w:t>
      </w:r>
      <w:r w:rsidRPr="000925A8">
        <w:t>l</w:t>
      </w:r>
      <w:r w:rsidRPr="000925A8">
        <w:t>se.</w:t>
      </w:r>
      <w:r w:rsidRPr="000925A8">
        <w:rPr>
          <w:rStyle w:val="Fotnotsreferens"/>
        </w:rPr>
        <w:footnoteReference w:id="19"/>
      </w:r>
      <w:r w:rsidRPr="000925A8">
        <w:t xml:space="preserve"> </w:t>
      </w:r>
    </w:p>
    <w:p w14:paraId="15B6B4D1" w14:textId="77777777" w:rsidR="00241093" w:rsidRPr="000925A8" w:rsidRDefault="00241093">
      <w:pPr>
        <w:pStyle w:val="Normaltindrag"/>
      </w:pPr>
      <w:r w:rsidRPr="000925A8">
        <w:t>Denna rapport har sitt fokus på de mellankommunala frågorna, dvs. de som fungerar som en ingripandegrund enligt 12 kap. PBL. Det har under arbetets gång emellertid blivit uppenbart att den mellankommunala diskussi</w:t>
      </w:r>
      <w:r w:rsidRPr="000925A8">
        <w:t>o</w:t>
      </w:r>
      <w:r w:rsidRPr="000925A8">
        <w:t>nen gärna glider över i resonemang om regionala frågor, inte sällan med anknytning till den breda vision om fysisk planering som anläggs EU:s g</w:t>
      </w:r>
      <w:r w:rsidRPr="000925A8">
        <w:t>e</w:t>
      </w:r>
      <w:r w:rsidRPr="000925A8">
        <w:t>mensamma planeringsperspektiv ESDP (</w:t>
      </w:r>
      <w:r w:rsidRPr="000925A8">
        <w:rPr>
          <w:i/>
        </w:rPr>
        <w:t>European Spatial Development Perspect</w:t>
      </w:r>
      <w:r w:rsidRPr="000925A8">
        <w:rPr>
          <w:i/>
        </w:rPr>
        <w:t>i</w:t>
      </w:r>
      <w:r w:rsidRPr="000925A8">
        <w:rPr>
          <w:i/>
        </w:rPr>
        <w:t>ve</w:t>
      </w:r>
      <w:r w:rsidRPr="000925A8">
        <w:t>). ESDP berörs ytterligare något nedan.</w:t>
      </w:r>
    </w:p>
    <w:p w14:paraId="1D4360CA" w14:textId="77777777" w:rsidR="00241093" w:rsidRPr="000925A8" w:rsidRDefault="00241093">
      <w:pPr>
        <w:pStyle w:val="Rubrik4"/>
        <w:rPr>
          <w:rStyle w:val="Kommentarsreferens"/>
          <w:noProof w:val="0"/>
          <w:vanish/>
        </w:rPr>
      </w:pPr>
      <w:bookmarkStart w:id="87" w:name="_Toc4570234"/>
      <w:bookmarkStart w:id="88" w:name="_Toc4898244"/>
      <w:r w:rsidRPr="000925A8">
        <w:rPr>
          <w:noProof w:val="0"/>
        </w:rPr>
        <w:t>Samordna eller samverka?</w:t>
      </w:r>
      <w:bookmarkEnd w:id="87"/>
      <w:bookmarkEnd w:id="88"/>
      <w:r w:rsidRPr="000925A8">
        <w:rPr>
          <w:rStyle w:val="Kommentarsreferens"/>
          <w:noProof w:val="0"/>
          <w:vanish/>
        </w:rPr>
        <w:t xml:space="preserve"> </w:t>
      </w:r>
      <w:commentRangeStart w:id="89"/>
      <w:commentRangeEnd w:id="89"/>
      <w:r w:rsidRPr="000925A8">
        <w:rPr>
          <w:rStyle w:val="Kommentarsreferens"/>
          <w:noProof w:val="0"/>
          <w:vanish/>
        </w:rPr>
        <w:commentReference w:id="89"/>
      </w:r>
    </w:p>
    <w:p w14:paraId="3CE4D4F6" w14:textId="77777777" w:rsidR="00241093" w:rsidRPr="000925A8" w:rsidRDefault="00241093">
      <w:pPr>
        <w:pStyle w:val="Rubrik4"/>
        <w:rPr>
          <w:noProof w:val="0"/>
        </w:rPr>
      </w:pPr>
    </w:p>
    <w:p w14:paraId="31CAC852" w14:textId="77777777" w:rsidR="00241093" w:rsidRPr="000925A8" w:rsidRDefault="00241093">
      <w:pPr>
        <w:spacing w:before="0"/>
      </w:pPr>
      <w:r w:rsidRPr="000925A8">
        <w:t xml:space="preserve">Enligt PBL ska länsstyrelsen verka för en lämplig mellankommunal </w:t>
      </w:r>
      <w:r w:rsidRPr="000925A8">
        <w:rPr>
          <w:i/>
        </w:rPr>
        <w:t>samor</w:t>
      </w:r>
      <w:r w:rsidRPr="000925A8">
        <w:rPr>
          <w:i/>
        </w:rPr>
        <w:t>d</w:t>
      </w:r>
      <w:r w:rsidRPr="000925A8">
        <w:rPr>
          <w:i/>
        </w:rPr>
        <w:t>ning</w:t>
      </w:r>
      <w:r w:rsidRPr="000925A8">
        <w:t>. Under arbetet med denna uppföljning har några intervjupersoner fra</w:t>
      </w:r>
      <w:r w:rsidRPr="000925A8">
        <w:t>m</w:t>
      </w:r>
      <w:r w:rsidRPr="000925A8">
        <w:t xml:space="preserve">hållit det man uppfattar som en viktig betydelseskillnad i begreppen </w:t>
      </w:r>
      <w:r w:rsidRPr="000925A8">
        <w:rPr>
          <w:i/>
        </w:rPr>
        <w:t>samor</w:t>
      </w:r>
      <w:r w:rsidRPr="000925A8">
        <w:rPr>
          <w:i/>
        </w:rPr>
        <w:t>d</w:t>
      </w:r>
      <w:r w:rsidRPr="000925A8">
        <w:rPr>
          <w:i/>
        </w:rPr>
        <w:t>na</w:t>
      </w:r>
      <w:r w:rsidRPr="000925A8">
        <w:t xml:space="preserve"> och </w:t>
      </w:r>
      <w:r w:rsidRPr="000925A8">
        <w:rPr>
          <w:i/>
        </w:rPr>
        <w:t>samverka</w:t>
      </w:r>
      <w:r w:rsidRPr="000925A8">
        <w:t xml:space="preserve">. Man menar att </w:t>
      </w:r>
      <w:r w:rsidRPr="000925A8">
        <w:rPr>
          <w:i/>
        </w:rPr>
        <w:t>samordna</w:t>
      </w:r>
      <w:r w:rsidRPr="000925A8">
        <w:t xml:space="preserve"> signalerar ”uppifrånplanering” och att staten ska ”lägga sig i” den kommunala fysiska planeringen. </w:t>
      </w:r>
      <w:r w:rsidRPr="000925A8">
        <w:rPr>
          <w:i/>
        </w:rPr>
        <w:t>Samor</w:t>
      </w:r>
      <w:r w:rsidRPr="000925A8">
        <w:rPr>
          <w:i/>
        </w:rPr>
        <w:t>d</w:t>
      </w:r>
      <w:r w:rsidRPr="000925A8">
        <w:rPr>
          <w:i/>
        </w:rPr>
        <w:t>ning</w:t>
      </w:r>
      <w:r w:rsidRPr="000925A8">
        <w:t xml:space="preserve"> är med detta synsätt något som kan ske utan de berörda kommunernas uttryckliga önskemål och eventuellt genom tillämpning eller hot om tilläm</w:t>
      </w:r>
      <w:r w:rsidRPr="000925A8">
        <w:t>p</w:t>
      </w:r>
      <w:r w:rsidRPr="000925A8">
        <w:t>ning av de tvångsmedel som står till buds enligt 12 kap. PBL. Enlig</w:t>
      </w:r>
      <w:r w:rsidRPr="000925A8">
        <w:t>t dessa bedömare signalerar begreppet ”samverka” på ett mer positivt sätt att länsst</w:t>
      </w:r>
      <w:r w:rsidRPr="000925A8">
        <w:t>y</w:t>
      </w:r>
      <w:r w:rsidRPr="000925A8">
        <w:t>relsens arbete i mångt och mycket ska ske på kommunernas villkor och vara inriktat på råd och stöd tidigt i planeringsprocesserna.</w:t>
      </w:r>
    </w:p>
    <w:p w14:paraId="4B73BB4B" w14:textId="77777777" w:rsidR="00241093" w:rsidRPr="000925A8" w:rsidRDefault="00241093">
      <w:pPr>
        <w:pStyle w:val="R3"/>
      </w:pPr>
      <w:r w:rsidRPr="000925A8">
        <w:t>Översiktsplaneringen</w:t>
      </w:r>
    </w:p>
    <w:p w14:paraId="31E50D5B" w14:textId="77777777" w:rsidR="00241093" w:rsidRPr="000925A8" w:rsidRDefault="00241093">
      <w:pPr>
        <w:pStyle w:val="R4"/>
      </w:pPr>
      <w:r w:rsidRPr="000925A8">
        <w:t>Länsstyrelsernas roll som samrådspartner och kunskapsförmedlare</w:t>
      </w:r>
    </w:p>
    <w:p w14:paraId="3B3E1F1F" w14:textId="77777777" w:rsidR="00241093" w:rsidRPr="000925A8" w:rsidRDefault="00241093">
      <w:pPr>
        <w:spacing w:before="0"/>
      </w:pPr>
      <w:r w:rsidRPr="000925A8">
        <w:t xml:space="preserve">De kommunala </w:t>
      </w:r>
      <w:r w:rsidRPr="000925A8">
        <w:rPr>
          <w:i/>
        </w:rPr>
        <w:t>översiktsplanerna</w:t>
      </w:r>
      <w:r w:rsidRPr="000925A8">
        <w:t xml:space="preserve"> ska bl.a. visa grunddragen i fråga om kommunens avsedda användningen av mark- och vattenområden. Hänsyn ska dessutom tas till förhållanden i angränsande kommuner.</w:t>
      </w:r>
      <w:r w:rsidRPr="000925A8">
        <w:rPr>
          <w:rStyle w:val="Fotnotsreferens"/>
        </w:rPr>
        <w:footnoteReference w:id="20"/>
      </w:r>
      <w:r w:rsidRPr="000925A8">
        <w:t xml:space="preserve"> Härigenom ställs krav på ändamålsenlig samordning av kommunernas planläggning i syfte att åstadkomma ett samarbete mellan kommunerna. </w:t>
      </w:r>
    </w:p>
    <w:p w14:paraId="593CB18A" w14:textId="77777777" w:rsidR="00241093" w:rsidRPr="000925A8" w:rsidRDefault="00241093">
      <w:pPr>
        <w:pStyle w:val="Normaltindrag"/>
      </w:pPr>
      <w:r w:rsidRPr="000925A8">
        <w:t xml:space="preserve">Vidare anges att länsstyrelsen ska </w:t>
      </w:r>
      <w:r w:rsidRPr="000925A8">
        <w:rPr>
          <w:i/>
        </w:rPr>
        <w:t>samverka</w:t>
      </w:r>
      <w:r w:rsidRPr="000925A8">
        <w:t xml:space="preserve"> med kommunerna i deras planläggning.</w:t>
      </w:r>
      <w:r w:rsidRPr="000925A8">
        <w:rPr>
          <w:rStyle w:val="Fotnotsreferens"/>
        </w:rPr>
        <w:footnoteReference w:id="21"/>
      </w:r>
      <w:r w:rsidRPr="000925A8">
        <w:t xml:space="preserve"> Detta preciseras i paragrafens specialmotivering som ”en mer allmän serviceskyldighet” och anses inte direkt motsvara det formella samr</w:t>
      </w:r>
      <w:r w:rsidRPr="000925A8">
        <w:t>å</w:t>
      </w:r>
      <w:r w:rsidRPr="000925A8">
        <w:t>det (se nedan). Enligt PBL-propositionen ska denna serviceskyldighet ses som något fristående från handläggningen av enskilda planärenden. Det handlar mer om att länsstyrelsen ska ”fungera som rådgivare i planfrågor”.</w:t>
      </w:r>
      <w:r w:rsidRPr="000925A8">
        <w:rPr>
          <w:rStyle w:val="Fotnotsreferens"/>
        </w:rPr>
        <w:footnoteReference w:id="22"/>
      </w:r>
      <w:r w:rsidRPr="000925A8">
        <w:t xml:space="preserve"> </w:t>
      </w:r>
    </w:p>
    <w:p w14:paraId="0873EDB4" w14:textId="77777777" w:rsidR="00241093" w:rsidRPr="000925A8" w:rsidRDefault="00241093">
      <w:pPr>
        <w:pStyle w:val="Normaltindrag"/>
      </w:pPr>
      <w:r w:rsidRPr="000925A8">
        <w:t>I ett tidigt skede av kommunens översiktsplanering spelar länsstyrelsen således främst rollen som förmedlare av kunskap om vilka planfrågor som kan ha en sådan mellankommunal dimension att de kräver särskild uppmär</w:t>
      </w:r>
      <w:r w:rsidRPr="000925A8">
        <w:t>k</w:t>
      </w:r>
      <w:r w:rsidRPr="000925A8">
        <w:t>samhet. Denna kunskap innefattar specifika sakkunskaper, inom områden där kommunerna inte förfogar över egna specialister, men även betydande ku</w:t>
      </w:r>
      <w:r w:rsidRPr="000925A8">
        <w:t>n</w:t>
      </w:r>
      <w:r w:rsidRPr="000925A8">
        <w:t>skaper om förhållanden inom länets kommuner som kan vara av intresse för planläggningen.</w:t>
      </w:r>
      <w:r w:rsidRPr="000925A8">
        <w:rPr>
          <w:rStyle w:val="Fotnotsreferens"/>
        </w:rPr>
        <w:footnoteReference w:id="23"/>
      </w:r>
      <w:r w:rsidRPr="000925A8">
        <w:t xml:space="preserve"> I detta läge kan länsstyrelsen även verka för att berörda kommuner inleder informella samråd om dessa frågor. </w:t>
      </w:r>
    </w:p>
    <w:p w14:paraId="6272BB73" w14:textId="77777777" w:rsidR="00241093" w:rsidRPr="000925A8" w:rsidRDefault="00241093">
      <w:pPr>
        <w:pStyle w:val="Normaltindrag"/>
      </w:pPr>
      <w:r w:rsidRPr="000925A8">
        <w:t>Länsstyrelsens mer formella roll inträder i samband med samrådet. Detta innebär att när ett förslag till översiktsplan eller till ändring av planen upprä</w:t>
      </w:r>
      <w:r w:rsidRPr="000925A8">
        <w:t>t</w:t>
      </w:r>
      <w:r w:rsidRPr="000925A8">
        <w:t>tas ska den planläggande kommunen samråda med länsstyrelsen samt regio</w:t>
      </w:r>
      <w:r w:rsidRPr="000925A8">
        <w:t>n</w:t>
      </w:r>
      <w:r w:rsidRPr="000925A8">
        <w:t>planeorganen och kommuner som berörs av förslaget. Syftet med samrådet är att förbättra beslutsunderlaget och ge möjlighet till insyn och påverkan.</w:t>
      </w:r>
      <w:r w:rsidRPr="000925A8">
        <w:rPr>
          <w:rStyle w:val="Fotnotsreferens"/>
        </w:rPr>
        <w:footnoteReference w:id="24"/>
      </w:r>
      <w:r w:rsidRPr="000925A8">
        <w:t xml:space="preserve"> </w:t>
      </w:r>
    </w:p>
    <w:p w14:paraId="668E194B" w14:textId="77777777" w:rsidR="00241093" w:rsidRPr="000925A8" w:rsidRDefault="00241093">
      <w:pPr>
        <w:pStyle w:val="Normaltindrag"/>
      </w:pPr>
      <w:r w:rsidRPr="000925A8">
        <w:t>Under samrådet ska länsstyrelsen särskilt ta till vara och samordna statens intressen och bl.a. verka för att sådana frågor om användningen av mark- och vattenområden som angår två eller flera kommuner samordnas på ett lämpligt sätt.</w:t>
      </w:r>
      <w:r w:rsidRPr="000925A8">
        <w:rPr>
          <w:rStyle w:val="Fotnotsreferens"/>
        </w:rPr>
        <w:footnoteReference w:id="25"/>
      </w:r>
      <w:r w:rsidRPr="000925A8">
        <w:t xml:space="preserve"> I förarbetena framhölls att det var ”av särskild vikt ... att kommunerna tidigt får besked om länsstyrelsens ställning ... till mellankommunala samor</w:t>
      </w:r>
      <w:r w:rsidRPr="000925A8">
        <w:t>d</w:t>
      </w:r>
      <w:r w:rsidRPr="000925A8">
        <w:t>ningsbehov”.</w:t>
      </w:r>
      <w:r w:rsidRPr="000925A8">
        <w:rPr>
          <w:rStyle w:val="Fotnotsreferens"/>
        </w:rPr>
        <w:footnoteReference w:id="26"/>
      </w:r>
      <w:r w:rsidRPr="000925A8">
        <w:t xml:space="preserve"> Genom en lagändring 1995 förstärktes länsstyrelsernas roll under samrådet. Krav ställs på att länsstyrelserna även ska tillhandahålla underlag för kommunernas bedömningar av hur man ska hantera allmänna intressen i planeringen, däribland mellankommunala frågor.</w:t>
      </w:r>
      <w:r w:rsidRPr="000925A8">
        <w:rPr>
          <w:rStyle w:val="Fotnotsreferens"/>
        </w:rPr>
        <w:footnoteReference w:id="27"/>
      </w:r>
      <w:r w:rsidRPr="000925A8">
        <w:t xml:space="preserve"> </w:t>
      </w:r>
    </w:p>
    <w:p w14:paraId="746D4F60" w14:textId="77777777" w:rsidR="00241093" w:rsidRPr="000925A8" w:rsidRDefault="00241093">
      <w:pPr>
        <w:pStyle w:val="Normaltindrag"/>
      </w:pPr>
      <w:r w:rsidRPr="000925A8">
        <w:t>I PBL-propositionen betonades också vikten av att länsstyrelserna klart skiljer på sådana synpunkter som var att betrakta som råd och sådana som exempelvis innebär att påpekanden om att mellankommunala intressen inte har tillgodosetts.</w:t>
      </w:r>
      <w:r w:rsidRPr="000925A8">
        <w:rPr>
          <w:rStyle w:val="Fotnotsreferens"/>
        </w:rPr>
        <w:footnoteReference w:id="28"/>
      </w:r>
      <w:r w:rsidRPr="000925A8">
        <w:t xml:space="preserve"> </w:t>
      </w:r>
    </w:p>
    <w:p w14:paraId="208AFCC1" w14:textId="77777777" w:rsidR="00241093" w:rsidRPr="000925A8" w:rsidRDefault="00241093">
      <w:pPr>
        <w:pStyle w:val="Normaltindrag"/>
      </w:pPr>
      <w:r w:rsidRPr="000925A8">
        <w:t xml:space="preserve">Vanligen framför länsstyrelserna sina synpunkter i ett </w:t>
      </w:r>
      <w:r w:rsidRPr="000925A8">
        <w:rPr>
          <w:i/>
        </w:rPr>
        <w:t>samrådsyttrande</w:t>
      </w:r>
      <w:r w:rsidRPr="000925A8">
        <w:t>. Inte sällan samlas synpunkterna under rubriker som bl.a. anknyter till de prövningsgrunder som finns i 12 kap. 1 § PBL. Uttrycksformerna varierar. I ett samrådsyttrande över Karlskrona kommuns översiktsplan skriver Länsst</w:t>
      </w:r>
      <w:r w:rsidRPr="000925A8">
        <w:t>y</w:t>
      </w:r>
      <w:r w:rsidRPr="000925A8">
        <w:t>relsen i Blekinge län under rubriken mellankommunala intressen: ”Förutom ... vill länsstyrelsen peka på att vindkraftsutbyggnad ofta är en mellankommunal fråga ... Även bostadsförsörjningen är ofta ... en fråga av intresse för gran</w:t>
      </w:r>
      <w:r w:rsidRPr="000925A8">
        <w:t>n</w:t>
      </w:r>
      <w:r w:rsidRPr="000925A8">
        <w:t>kommunerna.”</w:t>
      </w:r>
      <w:r w:rsidRPr="000925A8">
        <w:rPr>
          <w:rStyle w:val="Fotnotsreferens"/>
        </w:rPr>
        <w:footnoteReference w:id="29"/>
      </w:r>
      <w:r w:rsidRPr="000925A8">
        <w:t xml:space="preserve"> </w:t>
      </w:r>
    </w:p>
    <w:p w14:paraId="0F0F3ABA" w14:textId="77777777" w:rsidR="00241093" w:rsidRPr="000925A8" w:rsidRDefault="00241093">
      <w:pPr>
        <w:pStyle w:val="Normaltindrag"/>
      </w:pPr>
      <w:r w:rsidRPr="000925A8">
        <w:t>En mer tydlig koppling till prövningsmöjligheterna enligt 12 kap. 1 § PBL gör Länsstyrelsen i Västra Götalands län i ett samrådsyttrande över ett pr</w:t>
      </w:r>
      <w:r w:rsidRPr="000925A8">
        <w:t>o</w:t>
      </w:r>
      <w:r w:rsidRPr="000925A8">
        <w:t>gram för ett kollektivtrafikprojekt i Göteborgs kommun: ”Detta är frågor som länsstyrelsen vid detaljplanering kan komma att pröva enligt 12 kap. Plan- och bygglagen, om det finns anledning att befara att inte Partille kommuns intresse tillgodoses i rimlig utsträckning ...”</w:t>
      </w:r>
      <w:r w:rsidRPr="000925A8">
        <w:rPr>
          <w:rStyle w:val="Fotnotsreferens"/>
        </w:rPr>
        <w:footnoteReference w:id="30"/>
      </w:r>
    </w:p>
    <w:p w14:paraId="564CB767" w14:textId="77777777" w:rsidR="00241093" w:rsidRPr="000925A8" w:rsidRDefault="00241093">
      <w:pPr>
        <w:pStyle w:val="Normaltindrag"/>
      </w:pPr>
      <w:r w:rsidRPr="000925A8">
        <w:t xml:space="preserve"> Länsstyrelsen ska vidare under den tid då planen ställs ut avge ett </w:t>
      </w:r>
      <w:r w:rsidRPr="000925A8">
        <w:rPr>
          <w:i/>
        </w:rPr>
        <w:t>grans</w:t>
      </w:r>
      <w:r w:rsidRPr="000925A8">
        <w:rPr>
          <w:i/>
        </w:rPr>
        <w:t>k</w:t>
      </w:r>
      <w:r w:rsidRPr="000925A8">
        <w:rPr>
          <w:i/>
        </w:rPr>
        <w:t>ningsyttrande</w:t>
      </w:r>
      <w:r w:rsidRPr="000925A8">
        <w:t xml:space="preserve"> över planförslaget. Av yttrandet ska bl.a. framgå om frågor om användningen av mark- och vattenområden som angår två eller flera komm</w:t>
      </w:r>
      <w:r w:rsidRPr="000925A8">
        <w:t>u</w:t>
      </w:r>
      <w:r w:rsidRPr="000925A8">
        <w:t>ner inte har samordnats på ett lämpligt sätt. Länsstyrelsen har dock ingen möjlighet att upphäva översikt</w:t>
      </w:r>
      <w:r w:rsidRPr="000925A8">
        <w:t>s</w:t>
      </w:r>
      <w:r w:rsidRPr="000925A8">
        <w:t>planer.</w:t>
      </w:r>
      <w:r w:rsidRPr="000925A8">
        <w:rPr>
          <w:rStyle w:val="Fotnotsreferens"/>
        </w:rPr>
        <w:footnoteReference w:id="31"/>
      </w:r>
    </w:p>
    <w:p w14:paraId="5824CF58" w14:textId="77777777" w:rsidR="00241093" w:rsidRPr="000925A8" w:rsidRDefault="00241093">
      <w:pPr>
        <w:pStyle w:val="R4"/>
      </w:pPr>
      <w:r w:rsidRPr="000925A8">
        <w:t>Mellankommunal samordning i kommunala översiktsplaner – erfarenheter hittills</w:t>
      </w:r>
    </w:p>
    <w:p w14:paraId="17335683" w14:textId="77777777" w:rsidR="00241093" w:rsidRPr="000925A8" w:rsidRDefault="00241093">
      <w:pPr>
        <w:spacing w:before="0"/>
      </w:pPr>
      <w:r w:rsidRPr="000925A8">
        <w:t>I den utvärdering som Boverket gjorde av den första generationens översikt</w:t>
      </w:r>
      <w:r w:rsidRPr="000925A8">
        <w:t>s</w:t>
      </w:r>
      <w:r w:rsidRPr="000925A8">
        <w:t>planer konstaterades att den mellankommunala samordningen vanligen sta</w:t>
      </w:r>
      <w:r w:rsidRPr="000925A8">
        <w:t>n</w:t>
      </w:r>
      <w:r w:rsidRPr="000925A8">
        <w:t>nade vid att berörda grannkommuner får planförslaget för samråd. Boverket konstaterade vidare att länsstyrelsen hade fungerat bra som kunskapsförme</w:t>
      </w:r>
      <w:r w:rsidRPr="000925A8">
        <w:t>d</w:t>
      </w:r>
      <w:r w:rsidRPr="000925A8">
        <w:t>lare. Kommunala tjänstemän upplevde dialogen med länsstyrelsens tjänst</w:t>
      </w:r>
      <w:r w:rsidRPr="000925A8">
        <w:t>e</w:t>
      </w:r>
      <w:r w:rsidRPr="000925A8">
        <w:t>män – som har överblick och erfarenhet från andra kommuner i regionen – som mycket värdefull.</w:t>
      </w:r>
      <w:r w:rsidRPr="000925A8">
        <w:rPr>
          <w:rStyle w:val="Fotnotsreferens"/>
        </w:rPr>
        <w:footnoteReference w:id="32"/>
      </w:r>
      <w:r w:rsidRPr="000925A8">
        <w:t xml:space="preserve">  </w:t>
      </w:r>
    </w:p>
    <w:p w14:paraId="278A9684" w14:textId="77777777" w:rsidR="00241093" w:rsidRPr="000925A8" w:rsidRDefault="00241093">
      <w:pPr>
        <w:pStyle w:val="Normaltindrag"/>
      </w:pPr>
      <w:r w:rsidRPr="000925A8">
        <w:t>Boverket fann också att ett stort antal mellankommunala frågor diskuter</w:t>
      </w:r>
      <w:r w:rsidRPr="000925A8">
        <w:t>a</w:t>
      </w:r>
      <w:r w:rsidRPr="000925A8">
        <w:t>des i de kommunala översiktsplanerna, på grund av olika uppfattningar me</w:t>
      </w:r>
      <w:r w:rsidRPr="000925A8">
        <w:t>l</w:t>
      </w:r>
      <w:r w:rsidRPr="000925A8">
        <w:t>lan kommun och länsstyrelse. Boverket menade dock att många av dessa oenigheter lösts under samrådsprocessen eller skjutits till senare fördjupnin</w:t>
      </w:r>
      <w:r w:rsidRPr="000925A8">
        <w:t>g</w:t>
      </w:r>
      <w:r w:rsidRPr="000925A8">
        <w:t>ar av översiktsplanerna. Boverket ansåg att dialogen mellan stat och kommun i detta avseende hade fungerat i den riktning som lagstiftaren hade tänkt sig. Samtidigt konstaterade Boverket att riksintressen hade ägnats betydligt mer diskussion i översiktsplaneprocesserna än de mellankommunala</w:t>
      </w:r>
      <w:r w:rsidRPr="000925A8">
        <w:t xml:space="preserve"> frågorna.</w:t>
      </w:r>
      <w:r w:rsidRPr="000925A8">
        <w:rPr>
          <w:rStyle w:val="Fotnotsreferens"/>
        </w:rPr>
        <w:footnoteReference w:id="33"/>
      </w:r>
    </w:p>
    <w:p w14:paraId="0ABCFEE7" w14:textId="77777777" w:rsidR="00241093" w:rsidRPr="000925A8" w:rsidRDefault="00241093">
      <w:pPr>
        <w:pStyle w:val="Normaltindrag"/>
      </w:pPr>
      <w:r w:rsidRPr="000925A8">
        <w:t xml:space="preserve"> I en särskild rapport behandlade Boverket de mellankommunala frågorna i översiktsplanerna. Man konstaterade att det i den första generationen öve</w:t>
      </w:r>
      <w:r w:rsidRPr="000925A8">
        <w:t>r</w:t>
      </w:r>
      <w:r w:rsidRPr="000925A8">
        <w:t>siktsplaner i alltför många fall var uppenbart att planförfattarna inte hade ansträngt sig särskilt mycket för att belysa mellankommunala frågor. Det var enbart i enklare, okontroversiella frågor längs kommungränserna som samråd hade skett genom översiktsplanen. Främst handlade det om omr</w:t>
      </w:r>
      <w:r w:rsidRPr="000925A8">
        <w:t>å</w:t>
      </w:r>
      <w:r w:rsidRPr="000925A8">
        <w:t>den/företeelser som fysiskt korsar kommungränsen. Någon samverkan hade inte skett beträffande exempelvis regionala bostads- eller arbetsmarknadsfr</w:t>
      </w:r>
      <w:r w:rsidRPr="000925A8">
        <w:t>å</w:t>
      </w:r>
      <w:r w:rsidRPr="000925A8">
        <w:t>gor. Dessa uppfattades mer som konkurrensfrågor kommunerna emellan.</w:t>
      </w:r>
      <w:r w:rsidRPr="000925A8">
        <w:rPr>
          <w:rStyle w:val="Fotnotsreferens"/>
        </w:rPr>
        <w:footnoteReference w:id="34"/>
      </w:r>
      <w:r w:rsidRPr="000925A8">
        <w:t xml:space="preserve"> </w:t>
      </w:r>
    </w:p>
    <w:p w14:paraId="0F8B9932" w14:textId="77777777" w:rsidR="00241093" w:rsidRPr="000925A8" w:rsidRDefault="00241093">
      <w:pPr>
        <w:pStyle w:val="Normaltindrag"/>
      </w:pPr>
      <w:r w:rsidRPr="000925A8">
        <w:t xml:space="preserve"> Även Länsstyrelsen i Skåne län fann att den första generationens öve</w:t>
      </w:r>
      <w:r w:rsidRPr="000925A8">
        <w:t>r</w:t>
      </w:r>
      <w:r w:rsidRPr="000925A8">
        <w:t>siktsplaner saknade det regionala och det mellankommunala perspektivet. I den andra generationens översiktsplaner har detta förbättrats, men länsstyre</w:t>
      </w:r>
      <w:r w:rsidRPr="000925A8">
        <w:t>l</w:t>
      </w:r>
      <w:r w:rsidRPr="000925A8">
        <w:t>sen konstaterade att det är stor skillnad på vilka frågor som respektive ko</w:t>
      </w:r>
      <w:r w:rsidRPr="000925A8">
        <w:t>m</w:t>
      </w:r>
      <w:r w:rsidRPr="000925A8">
        <w:t>mun anser vara frågor som behöver samordnas med intilliggande kommuner. Länsstyrelsens slutsats blev att det krävs en utveckling av metoder för att arbeta med de mellankommunala och regionala perspektiven i översiktsplan</w:t>
      </w:r>
      <w:r w:rsidRPr="000925A8">
        <w:t>e</w:t>
      </w:r>
      <w:r w:rsidRPr="000925A8">
        <w:t>ringen.</w:t>
      </w:r>
      <w:r w:rsidRPr="000925A8">
        <w:rPr>
          <w:rStyle w:val="Fotnotsreferens"/>
        </w:rPr>
        <w:footnoteReference w:id="35"/>
      </w:r>
      <w:r w:rsidRPr="000925A8">
        <w:t xml:space="preserve"> </w:t>
      </w:r>
    </w:p>
    <w:p w14:paraId="7980CC42" w14:textId="77777777" w:rsidR="00241093" w:rsidRPr="000925A8" w:rsidRDefault="00241093">
      <w:pPr>
        <w:pStyle w:val="Normaltindrag"/>
      </w:pPr>
      <w:r w:rsidRPr="000925A8">
        <w:t>I Boverkets utvärdering av den första generationen översiktsplaner har man även studerat hur länsstyrelserna har hanterat mellankommunala frågor i sina yttranden. Man konstaterade att det även i länsstyrelsernas yttranden finns en klar övervikt för frågor vid kommungräns. Boverket skriver: ”Samordningsbehovet vid gräns är i allmänhet så påtagligt att länsstyrelsen aldrig behövt tveka att ta med det i ett yttrande.” Vidare konstaterar man att när det gäller kommunövergripande och strategiska frågor blir lä</w:t>
      </w:r>
      <w:r w:rsidRPr="000925A8">
        <w:t>nsstyrelserna mer försiktiga i tonfallet om de över huvud taget berör frågorna. Boverket menade att en bidragande orsak till detta kan ha varit att länsstyrelsernas planenhet har haft svagt stöd från andra enheter. De frågor som berörs i yt</w:t>
      </w:r>
      <w:r w:rsidRPr="000925A8">
        <w:t>t</w:t>
      </w:r>
      <w:r w:rsidRPr="000925A8">
        <w:t>randena är frågor som andra enheter än planenheten i första hand har beva</w:t>
      </w:r>
      <w:r w:rsidRPr="000925A8">
        <w:t>k</w:t>
      </w:r>
      <w:r w:rsidRPr="000925A8">
        <w:t>ningsansvaret för.</w:t>
      </w:r>
      <w:r w:rsidRPr="000925A8">
        <w:rPr>
          <w:rStyle w:val="Fotnotsreferens"/>
        </w:rPr>
        <w:footnoteReference w:id="36"/>
      </w:r>
      <w:r w:rsidRPr="000925A8">
        <w:t xml:space="preserve"> </w:t>
      </w:r>
    </w:p>
    <w:p w14:paraId="5D28E98D" w14:textId="77777777" w:rsidR="00241093" w:rsidRPr="000925A8" w:rsidRDefault="00241093">
      <w:pPr>
        <w:pStyle w:val="Normaltindrag"/>
      </w:pPr>
      <w:r w:rsidRPr="000925A8">
        <w:t>Från och med 1996 gäller också att kommunfullmäktige minst en gång u</w:t>
      </w:r>
      <w:r w:rsidRPr="000925A8">
        <w:t>n</w:t>
      </w:r>
      <w:r w:rsidRPr="000925A8">
        <w:t>der mandattiden ska ta ställning till översiktsplanens aktualitet. Före ett s</w:t>
      </w:r>
      <w:r w:rsidRPr="000925A8">
        <w:t>å</w:t>
      </w:r>
      <w:r w:rsidRPr="000925A8">
        <w:t xml:space="preserve">dant beslut ska länsstyrelsen i en </w:t>
      </w:r>
      <w:r w:rsidRPr="000925A8">
        <w:rPr>
          <w:i/>
        </w:rPr>
        <w:t>sammanfattande redogörelse</w:t>
      </w:r>
      <w:r w:rsidRPr="000925A8">
        <w:t xml:space="preserve"> redovisa sy</w:t>
      </w:r>
      <w:r w:rsidRPr="000925A8">
        <w:t>n</w:t>
      </w:r>
      <w:r w:rsidRPr="000925A8">
        <w:t>punkter i fråga om sådana statliga intressen som kan vara av betydelse för kommunens beslut samt ange hur synpunkterna enligt länsstyrelsens mening förhåller sig till översiktsplanen.</w:t>
      </w:r>
      <w:r w:rsidRPr="000925A8">
        <w:rPr>
          <w:rStyle w:val="Fotnotsreferens"/>
        </w:rPr>
        <w:footnoteReference w:id="37"/>
      </w:r>
    </w:p>
    <w:p w14:paraId="05949D85" w14:textId="77777777" w:rsidR="00241093" w:rsidRPr="000925A8" w:rsidRDefault="00241093">
      <w:pPr>
        <w:pStyle w:val="R3"/>
      </w:pPr>
      <w:r w:rsidRPr="000925A8">
        <w:t>Detaljplaneringen</w:t>
      </w:r>
    </w:p>
    <w:p w14:paraId="316B9BE2" w14:textId="77777777" w:rsidR="00241093" w:rsidRPr="000925A8" w:rsidRDefault="00241093">
      <w:pPr>
        <w:pStyle w:val="R4"/>
      </w:pPr>
      <w:r w:rsidRPr="000925A8">
        <w:t>Länsstyrelsernas roll som samrådspartner och kunskapsförmedlare</w:t>
      </w:r>
    </w:p>
    <w:p w14:paraId="0847F928" w14:textId="77777777" w:rsidR="00241093" w:rsidRPr="000925A8" w:rsidRDefault="00241093">
      <w:pPr>
        <w:spacing w:before="0"/>
      </w:pPr>
      <w:r w:rsidRPr="000925A8">
        <w:t>Prövning av markens lämplighet för bebyggelse och reglering av bebygge</w:t>
      </w:r>
      <w:r w:rsidRPr="000925A8">
        <w:t>l</w:t>
      </w:r>
      <w:r w:rsidRPr="000925A8">
        <w:t xml:space="preserve">semiljöns utformning sker som regel genom </w:t>
      </w:r>
      <w:r w:rsidRPr="000925A8">
        <w:rPr>
          <w:i/>
        </w:rPr>
        <w:t>detaljplaner</w:t>
      </w:r>
      <w:r w:rsidRPr="000925A8">
        <w:t>. Liksom för öve</w:t>
      </w:r>
      <w:r w:rsidRPr="000925A8">
        <w:t>r</w:t>
      </w:r>
      <w:r w:rsidRPr="000925A8">
        <w:t>siktsplaneringen gäller att hänsyn ska tas till förhållandena i angränsande kommuner.</w:t>
      </w:r>
      <w:r w:rsidRPr="000925A8">
        <w:rPr>
          <w:rStyle w:val="Fotnotsreferens"/>
        </w:rPr>
        <w:footnoteReference w:id="38"/>
      </w:r>
      <w:r w:rsidRPr="000925A8">
        <w:t xml:space="preserve"> För begränsade områden som inte omfattas av detaljplan kan </w:t>
      </w:r>
      <w:r w:rsidRPr="000925A8">
        <w:rPr>
          <w:i/>
        </w:rPr>
        <w:t>områdesbestämmelser</w:t>
      </w:r>
      <w:r w:rsidRPr="000925A8">
        <w:t xml:space="preserve"> antas för att säkerställa att syftet med översiktsplanen uppnås eller att ett riksintresse enligt miljöbalken tillgodoses.</w:t>
      </w:r>
      <w:r w:rsidRPr="000925A8">
        <w:rPr>
          <w:rStyle w:val="Fotnotsreferens"/>
        </w:rPr>
        <w:footnoteReference w:id="39"/>
      </w:r>
      <w:r w:rsidRPr="000925A8">
        <w:t xml:space="preserve"> </w:t>
      </w:r>
    </w:p>
    <w:p w14:paraId="4C2E3505" w14:textId="77777777" w:rsidR="00241093" w:rsidRPr="000925A8" w:rsidRDefault="00241093">
      <w:pPr>
        <w:pStyle w:val="Normaltindrag"/>
      </w:pPr>
      <w:r w:rsidRPr="000925A8">
        <w:t>Genom en ändring av PBL 1995 vidgades kravet på program och därtill hörande samråd vid detaljplanering. Sedan 1996 gäller därför att när en ko</w:t>
      </w:r>
      <w:r w:rsidRPr="000925A8">
        <w:t>m</w:t>
      </w:r>
      <w:r w:rsidRPr="000925A8">
        <w:t>mun utarbetar program eller upprättar förslag till detaljplan ska kommunen samråda med bl.a. länsstyrelsen och kommuner som berörs. Syftet med sa</w:t>
      </w:r>
      <w:r w:rsidRPr="000925A8">
        <w:t>m</w:t>
      </w:r>
      <w:r w:rsidRPr="000925A8">
        <w:t>rådet är att förbättra beslutsunderlaget och ge möjlighet till insyn och påve</w:t>
      </w:r>
      <w:r w:rsidRPr="000925A8">
        <w:t>r</w:t>
      </w:r>
      <w:r w:rsidRPr="000925A8">
        <w:t>kan.</w:t>
      </w:r>
      <w:r w:rsidRPr="000925A8">
        <w:rPr>
          <w:rStyle w:val="Fotnotsreferens"/>
        </w:rPr>
        <w:footnoteReference w:id="40"/>
      </w:r>
      <w:r w:rsidRPr="000925A8">
        <w:t xml:space="preserve"> Under samrådet ska länsstyrelsen bl.a. verka för att frågor om använ</w:t>
      </w:r>
      <w:r w:rsidRPr="000925A8">
        <w:t>d</w:t>
      </w:r>
      <w:r w:rsidRPr="000925A8">
        <w:t>ningen av mark- och vattenområden som angår två eller flera kommuner samordnas på ett lämpligt sätt. Motsvarande gäller för områdesbestämme</w:t>
      </w:r>
      <w:r w:rsidRPr="000925A8">
        <w:t>l</w:t>
      </w:r>
      <w:r w:rsidRPr="000925A8">
        <w:t>ser.</w:t>
      </w:r>
      <w:r w:rsidRPr="000925A8">
        <w:rPr>
          <w:rStyle w:val="Fotnotsreferens"/>
        </w:rPr>
        <w:footnoteReference w:id="41"/>
      </w:r>
      <w:r w:rsidRPr="000925A8">
        <w:t xml:space="preserve"> </w:t>
      </w:r>
    </w:p>
    <w:p w14:paraId="23B4D137" w14:textId="77777777" w:rsidR="00241093" w:rsidRPr="000925A8" w:rsidRDefault="00241093">
      <w:pPr>
        <w:pStyle w:val="Normaltindrag"/>
      </w:pPr>
      <w:r w:rsidRPr="000925A8">
        <w:t>Liksom för översiktsplanen var tanken att ju tidigare länsstyrelsen kommer med i planeringsprocessen, desto större är chansen att det fortsatta plan</w:t>
      </w:r>
      <w:r w:rsidRPr="000925A8">
        <w:t>e</w:t>
      </w:r>
      <w:r w:rsidRPr="000925A8">
        <w:t>ringsarbetet flyter smidigt. I detaljplanesammanhang har länsstyrelsen dock även möjlighet att upphäva planer (se vidare nedan). I PBL-propositionen framgår denna koppling genom formuleringen ”att risken för statliga ingr</w:t>
      </w:r>
      <w:r w:rsidRPr="000925A8">
        <w:t>i</w:t>
      </w:r>
      <w:r w:rsidRPr="000925A8">
        <w:t>panden ... kommer att ha en stark inverkan på kommunernas benägenhet att följa länsstyrelsens granskningsyttrande över förslaget till översiktsplan. Risken för konfrontationer i ett sent stadium kommer därför att vara liten. Systemet verkar för uppgörelser så tidigt som det överhuvudtaget</w:t>
      </w:r>
      <w:r w:rsidRPr="000925A8">
        <w:t xml:space="preserve"> är möjligt och lämpligt”.</w:t>
      </w:r>
      <w:r w:rsidRPr="000925A8">
        <w:rPr>
          <w:rStyle w:val="Fotnotsreferens"/>
        </w:rPr>
        <w:footnoteReference w:id="42"/>
      </w:r>
    </w:p>
    <w:p w14:paraId="6ACB00FF" w14:textId="77777777" w:rsidR="00241093" w:rsidRPr="000925A8" w:rsidRDefault="00241093">
      <w:pPr>
        <w:pStyle w:val="R4"/>
      </w:pPr>
      <w:r w:rsidRPr="000925A8">
        <w:t>Länsstyrelsernas roll som överprövnings- och överklagandeinstans</w:t>
      </w:r>
    </w:p>
    <w:p w14:paraId="08F2248F" w14:textId="77777777" w:rsidR="00241093" w:rsidRPr="000925A8" w:rsidRDefault="00241093">
      <w:pPr>
        <w:spacing w:before="0"/>
      </w:pPr>
      <w:r w:rsidRPr="000925A8">
        <w:t xml:space="preserve">Om länsstyrelsen under planeringens program- och samrådsskede inte har lyckats främja en lämplig samordning av mellankommunala frågor </w:t>
      </w:r>
      <w:r w:rsidRPr="000925A8">
        <w:rPr>
          <w:i/>
        </w:rPr>
        <w:t>ska</w:t>
      </w:r>
      <w:r w:rsidRPr="000925A8">
        <w:t xml:space="preserve"> län</w:t>
      </w:r>
      <w:r w:rsidRPr="000925A8">
        <w:t>s</w:t>
      </w:r>
      <w:r w:rsidRPr="000925A8">
        <w:t xml:space="preserve">styrelsen förordna att planbeslutet </w:t>
      </w:r>
      <w:r w:rsidRPr="000925A8">
        <w:rPr>
          <w:i/>
        </w:rPr>
        <w:t>ska</w:t>
      </w:r>
      <w:r w:rsidRPr="000925A8">
        <w:t xml:space="preserve"> prövas enligt 12 kap. 1 § PBL. Prö</w:t>
      </w:r>
      <w:r w:rsidRPr="000925A8">
        <w:t>v</w:t>
      </w:r>
      <w:r w:rsidRPr="000925A8">
        <w:t>ningsgrunden lyder:</w:t>
      </w:r>
    </w:p>
    <w:p w14:paraId="4C714768" w14:textId="77777777" w:rsidR="00241093" w:rsidRPr="000925A8" w:rsidRDefault="00241093">
      <w:pPr>
        <w:ind w:left="425" w:right="709"/>
        <w:rPr>
          <w:sz w:val="20"/>
        </w:rPr>
      </w:pPr>
      <w:r w:rsidRPr="000925A8">
        <w:rPr>
          <w:sz w:val="20"/>
        </w:rPr>
        <w:t xml:space="preserve">1 § </w:t>
      </w:r>
    </w:p>
    <w:p w14:paraId="30CD493C" w14:textId="77777777" w:rsidR="00241093" w:rsidRPr="000925A8" w:rsidRDefault="00241093">
      <w:pPr>
        <w:ind w:left="425" w:right="709"/>
        <w:rPr>
          <w:sz w:val="20"/>
        </w:rPr>
      </w:pPr>
      <w:r w:rsidRPr="000925A8">
        <w:rPr>
          <w:sz w:val="20"/>
        </w:rPr>
        <w:t xml:space="preserve">Länsstyrelsen ska pröva kommunens beslut att anta, ändra eller upphäva en detaljplan eller områdesbestämmelser, om det kan befaras att beslutet innebär att </w:t>
      </w:r>
    </w:p>
    <w:p w14:paraId="4E7F3E37" w14:textId="77777777" w:rsidR="00241093" w:rsidRPr="000925A8" w:rsidRDefault="00241093">
      <w:pPr>
        <w:ind w:left="425" w:right="709"/>
        <w:rPr>
          <w:sz w:val="20"/>
        </w:rPr>
      </w:pPr>
      <w:r w:rsidRPr="000925A8">
        <w:rPr>
          <w:sz w:val="20"/>
        </w:rPr>
        <w:t>...</w:t>
      </w:r>
    </w:p>
    <w:p w14:paraId="02829F66" w14:textId="77777777" w:rsidR="00241093" w:rsidRPr="000925A8" w:rsidRDefault="00241093">
      <w:pPr>
        <w:pStyle w:val="Indragetstycke"/>
        <w:spacing w:after="0"/>
        <w:ind w:left="425" w:right="709"/>
      </w:pPr>
      <w:r w:rsidRPr="000925A8">
        <w:t>2. regleringen av sådana frågor om användningen av mark- och vattenområden som angår flera kommuner inte har samordnats på ett lämpligt sätt</w:t>
      </w:r>
    </w:p>
    <w:p w14:paraId="6829B03E" w14:textId="77777777" w:rsidR="00241093" w:rsidRPr="000925A8" w:rsidRDefault="00241093">
      <w:pPr>
        <w:ind w:left="425" w:right="709"/>
      </w:pPr>
      <w:r w:rsidRPr="000925A8">
        <w:rPr>
          <w:sz w:val="20"/>
        </w:rPr>
        <w:t>...</w:t>
      </w:r>
    </w:p>
    <w:p w14:paraId="225B3077" w14:textId="77777777" w:rsidR="00241093" w:rsidRPr="000925A8" w:rsidRDefault="00241093">
      <w:r w:rsidRPr="000925A8">
        <w:t>Om länsstyrelsen vid prövningen finner att samordningen inte har varit läm</w:t>
      </w:r>
      <w:r w:rsidRPr="000925A8">
        <w:t>p</w:t>
      </w:r>
      <w:r w:rsidRPr="000925A8">
        <w:t>lig ska länsstyrelsen upphäva hela planen. Om kommunen medger det, får beslutet upphävas i en viss del. Länsstyrelsens beslut om upphävande öve</w:t>
      </w:r>
      <w:r w:rsidRPr="000925A8">
        <w:t>r</w:t>
      </w:r>
      <w:r w:rsidRPr="000925A8">
        <w:t>klagas till regeringen.</w:t>
      </w:r>
      <w:r w:rsidRPr="000925A8">
        <w:rPr>
          <w:rStyle w:val="Fotnotsreferens"/>
        </w:rPr>
        <w:footnoteReference w:id="43"/>
      </w:r>
      <w:r w:rsidRPr="000925A8">
        <w:t xml:space="preserve"> </w:t>
      </w:r>
    </w:p>
    <w:p w14:paraId="1F5F0BF7" w14:textId="77777777" w:rsidR="00241093" w:rsidRPr="000925A8" w:rsidRDefault="00241093">
      <w:pPr>
        <w:pStyle w:val="Normaltindrag"/>
      </w:pPr>
      <w:r w:rsidRPr="000925A8">
        <w:t>Som framgår ovan var en utgångspunkt för utformningen av denna öve</w:t>
      </w:r>
      <w:r w:rsidRPr="000925A8">
        <w:t>r</w:t>
      </w:r>
      <w:r w:rsidRPr="000925A8">
        <w:t>prövningsmöjlighet att det efter kommunens antagandebeslut i normalfallet sannolikt inte skulle kvarstå några konflikter mellan staten eller flera berörda kommuner. Departementschefen utgick ifrån att de flesta problemen blir lösta genom ett fördjupat samråd. Sannolikheten för detta förväntades även vara större i de fall där länsstyrelsen hade tillgång till maktmedel i form av exe</w:t>
      </w:r>
      <w:r w:rsidRPr="000925A8">
        <w:t>m</w:t>
      </w:r>
      <w:r w:rsidRPr="000925A8">
        <w:t>pelvis upphävandemöjligheter.</w:t>
      </w:r>
      <w:r w:rsidRPr="000925A8">
        <w:rPr>
          <w:rStyle w:val="Fotnotsreferens"/>
        </w:rPr>
        <w:footnoteReference w:id="44"/>
      </w:r>
      <w:r w:rsidRPr="000925A8">
        <w:t xml:space="preserve"> </w:t>
      </w:r>
    </w:p>
    <w:p w14:paraId="1C5AC831" w14:textId="77777777" w:rsidR="00241093" w:rsidRPr="000925A8" w:rsidRDefault="00241093">
      <w:pPr>
        <w:pStyle w:val="Normaltindrag"/>
      </w:pPr>
      <w:r w:rsidRPr="000925A8">
        <w:t>I PBL-propositionen nämndes även exempel på vilka mellankommunala frågor som kan vara aktuella vid länsstyrelsernas bedömning av den mella</w:t>
      </w:r>
      <w:r w:rsidRPr="000925A8">
        <w:t>n</w:t>
      </w:r>
      <w:r w:rsidRPr="000925A8">
        <w:t>kommunala samordningens lämplighet. Det var lokalisering av flygplatser, sträckning av vägar, banor och ledningar, läget för större täkter, anläggningar för sophantering, större serviceanläggningar, småbåtshamnar och andra fr</w:t>
      </w:r>
      <w:r w:rsidRPr="000925A8">
        <w:t>i</w:t>
      </w:r>
      <w:r w:rsidRPr="000925A8">
        <w:t>tidsanläggningar. Dessutom nämndes större detaljhandelsanläggningar med ett upptagningsområde som omfattar mer än en kommun samt betydelsefulla frilufts-, kulturmiljö- och grönområden. Regionala miljöintressen angavs som ett intresse som borde få ett starkt stöd genom länsstyrelsens p</w:t>
      </w:r>
      <w:r w:rsidRPr="000925A8">
        <w:t>rövning. D</w:t>
      </w:r>
      <w:r w:rsidRPr="000925A8">
        <w:t>e</w:t>
      </w:r>
      <w:r w:rsidRPr="000925A8">
        <w:t>partementschefen menade också att den aktuella överprövningsgrunden skulle kunna täcka frågor om boende, arbete och service, bl.a. för att ge länsstyre</w:t>
      </w:r>
      <w:r w:rsidRPr="000925A8">
        <w:t>l</w:t>
      </w:r>
      <w:r w:rsidRPr="000925A8">
        <w:t>sen möjlighet att påverka var arbete och bostäder förläggs och se till att en rimlig kollektivtrafikförsörjning kan upprätthållas.</w:t>
      </w:r>
      <w:r w:rsidRPr="000925A8">
        <w:rPr>
          <w:rStyle w:val="Fotnotsreferens"/>
        </w:rPr>
        <w:footnoteReference w:id="45"/>
      </w:r>
      <w:r w:rsidRPr="000925A8">
        <w:t xml:space="preserve"> I bestämmelsens spec</w:t>
      </w:r>
      <w:r w:rsidRPr="000925A8">
        <w:t>i</w:t>
      </w:r>
      <w:r w:rsidRPr="000925A8">
        <w:t xml:space="preserve">almotivering angavs vidare att en prövning på denna grund normalt endast blir aktuell </w:t>
      </w:r>
      <w:r w:rsidRPr="000925A8">
        <w:rPr>
          <w:i/>
        </w:rPr>
        <w:t>då de inblandade kommunerna på något sätt är oe</w:t>
      </w:r>
      <w:r w:rsidRPr="000925A8">
        <w:rPr>
          <w:i/>
        </w:rPr>
        <w:t>n</w:t>
      </w:r>
      <w:r w:rsidRPr="000925A8">
        <w:rPr>
          <w:i/>
        </w:rPr>
        <w:t>se</w:t>
      </w:r>
      <w:r w:rsidRPr="000925A8">
        <w:t>.</w:t>
      </w:r>
      <w:r w:rsidRPr="000925A8">
        <w:rPr>
          <w:rStyle w:val="Fotnotsreferens"/>
        </w:rPr>
        <w:footnoteReference w:id="46"/>
      </w:r>
    </w:p>
    <w:p w14:paraId="61BEC1E3" w14:textId="77777777" w:rsidR="00241093" w:rsidRPr="000925A8" w:rsidRDefault="00241093">
      <w:pPr>
        <w:pStyle w:val="R4"/>
      </w:pPr>
      <w:r w:rsidRPr="000925A8">
        <w:t>Förordnanden enligt 12 kap. 4 § samt planföreläggande</w:t>
      </w:r>
    </w:p>
    <w:p w14:paraId="6E21033E" w14:textId="77777777" w:rsidR="00241093" w:rsidRPr="000925A8" w:rsidRDefault="00241093">
      <w:pPr>
        <w:spacing w:before="0"/>
      </w:pPr>
      <w:r w:rsidRPr="000925A8">
        <w:t>Då särskilda skäl föreligger kan länsstyrelsen förordna om att de prövning</w:t>
      </w:r>
      <w:r w:rsidRPr="000925A8">
        <w:t>s</w:t>
      </w:r>
      <w:r w:rsidRPr="000925A8">
        <w:t>regler som finns i 12 kap. 1–3 §§ PBL även ska tillämpas på lov eller fö</w:t>
      </w:r>
      <w:r w:rsidRPr="000925A8">
        <w:t>r</w:t>
      </w:r>
      <w:r w:rsidRPr="000925A8">
        <w:t>handsbesked inom ett visst område.</w:t>
      </w:r>
      <w:r w:rsidRPr="000925A8">
        <w:rPr>
          <w:rStyle w:val="Fotnotsreferens"/>
        </w:rPr>
        <w:footnoteReference w:id="47"/>
      </w:r>
      <w:r w:rsidRPr="000925A8">
        <w:t xml:space="preserve"> </w:t>
      </w:r>
    </w:p>
    <w:p w14:paraId="0386634E" w14:textId="77777777" w:rsidR="00241093" w:rsidRPr="000925A8" w:rsidRDefault="00241093">
      <w:pPr>
        <w:pStyle w:val="Normaltindrag"/>
      </w:pPr>
      <w:r w:rsidRPr="000925A8">
        <w:t>Regeringen får förelägga kommunen att inom en viss tid anta, ändra eller upphäva detaljplan eller områdesbestämmelser om det behövs för att bl.a. se till att den mellankommunala samordningen tillgodoses.</w:t>
      </w:r>
      <w:r w:rsidRPr="000925A8">
        <w:rPr>
          <w:rStyle w:val="Fotnotsreferens"/>
        </w:rPr>
        <w:footnoteReference w:id="48"/>
      </w:r>
    </w:p>
    <w:p w14:paraId="559C4B86" w14:textId="77777777" w:rsidR="00241093" w:rsidRPr="000925A8" w:rsidRDefault="00241093">
      <w:pPr>
        <w:pStyle w:val="R3"/>
      </w:pPr>
      <w:r w:rsidRPr="000925A8">
        <w:t>Regionplanering</w:t>
      </w:r>
    </w:p>
    <w:p w14:paraId="680A499D" w14:textId="77777777" w:rsidR="00241093" w:rsidRPr="000925A8" w:rsidRDefault="00241093">
      <w:pPr>
        <w:spacing w:before="0"/>
      </w:pPr>
      <w:r w:rsidRPr="000925A8">
        <w:t>Om frågor angående användningen av mark- och vattenområden som angår flera kommuner behöver utredas gemensamt eller om flera kommuners öve</w:t>
      </w:r>
      <w:r w:rsidRPr="000925A8">
        <w:t>r</w:t>
      </w:r>
      <w:r w:rsidRPr="000925A8">
        <w:t xml:space="preserve">siktliga planering behöver samordnas får regeringen utse ett </w:t>
      </w:r>
      <w:r w:rsidRPr="000925A8">
        <w:rPr>
          <w:i/>
        </w:rPr>
        <w:t>regionplaneo</w:t>
      </w:r>
      <w:r w:rsidRPr="000925A8">
        <w:rPr>
          <w:i/>
        </w:rPr>
        <w:t>r</w:t>
      </w:r>
      <w:r w:rsidRPr="000925A8">
        <w:rPr>
          <w:i/>
        </w:rPr>
        <w:t>gan</w:t>
      </w:r>
      <w:r w:rsidRPr="000925A8">
        <w:t>, som ska ha hand om denna verksamhet. Ett regionplaneorgan får dock inte bildas om de kommuner som berörs ”mera allmänt motsätter sig detta”.</w:t>
      </w:r>
      <w:r w:rsidRPr="000925A8">
        <w:rPr>
          <w:rStyle w:val="Fotnotsreferens"/>
        </w:rPr>
        <w:footnoteReference w:id="49"/>
      </w:r>
      <w:r w:rsidRPr="000925A8">
        <w:t xml:space="preserve"> Göteborgs kommunalförbund är det enda regionplaneorgan som hittills har tillkommit enligt PBL:s bestämmelser. I Stockholms län utgör landstinget regionplaneorgan. För dess verksamhet finns särskilda bestämmelser.</w:t>
      </w:r>
      <w:r w:rsidRPr="000925A8">
        <w:rPr>
          <w:rStyle w:val="Fotnotsreferens"/>
        </w:rPr>
        <w:footnoteReference w:id="50"/>
      </w:r>
      <w:r w:rsidRPr="000925A8">
        <w:t xml:space="preserve"> Den regionala planering som i övrigt förekommer har främst skett inom andra former än de som PBL erbjuder. Bland dessa former märks kommunalfö</w:t>
      </w:r>
      <w:r w:rsidRPr="000925A8">
        <w:t>r</w:t>
      </w:r>
      <w:r w:rsidRPr="000925A8">
        <w:t>bund, vatten- eller luftvårdsförbund, bolag eller olika typer av överensko</w:t>
      </w:r>
      <w:r w:rsidRPr="000925A8">
        <w:t>m</w:t>
      </w:r>
      <w:r w:rsidRPr="000925A8">
        <w:t>melser.</w:t>
      </w:r>
      <w:r w:rsidRPr="000925A8">
        <w:rPr>
          <w:rStyle w:val="Fotnotsreferens"/>
        </w:rPr>
        <w:footnoteReference w:id="51"/>
      </w:r>
      <w:r w:rsidRPr="000925A8">
        <w:t xml:space="preserve"> </w:t>
      </w:r>
    </w:p>
    <w:p w14:paraId="6DB7087D" w14:textId="77777777" w:rsidR="00241093" w:rsidRPr="000925A8" w:rsidRDefault="00241093">
      <w:pPr>
        <w:pStyle w:val="Normaltindrag"/>
      </w:pPr>
      <w:r w:rsidRPr="000925A8">
        <w:t>En</w:t>
      </w:r>
      <w:r w:rsidRPr="000925A8">
        <w:rPr>
          <w:b/>
        </w:rPr>
        <w:t xml:space="preserve"> </w:t>
      </w:r>
      <w:r w:rsidRPr="000925A8">
        <w:rPr>
          <w:i/>
        </w:rPr>
        <w:t>regionplan</w:t>
      </w:r>
      <w:r w:rsidRPr="000925A8">
        <w:t xml:space="preserve"> ska tjäna till ledning för beslut om översiktsplaner, detal</w:t>
      </w:r>
      <w:r w:rsidRPr="000925A8">
        <w:t>j</w:t>
      </w:r>
      <w:r w:rsidRPr="000925A8">
        <w:t>planer och områdesbestämmelser. Planen kan, i den mån det har betydelse för regionen, ange grunddragen för användningen av mark- och vattenområden samt riktlinjer för lokalisering av bebyggelse och anläggningar.</w:t>
      </w:r>
      <w:r w:rsidRPr="000925A8">
        <w:rPr>
          <w:rStyle w:val="Fotnotsreferens"/>
        </w:rPr>
        <w:footnoteReference w:id="52"/>
      </w:r>
      <w:r w:rsidRPr="000925A8">
        <w:t xml:space="preserve"> </w:t>
      </w:r>
    </w:p>
    <w:p w14:paraId="21CD984D" w14:textId="77777777" w:rsidR="00241093" w:rsidRPr="000925A8" w:rsidRDefault="00241093">
      <w:pPr>
        <w:pStyle w:val="Normaltindrag"/>
      </w:pPr>
      <w:r w:rsidRPr="000925A8">
        <w:t xml:space="preserve">När förslag till regionplan upprättas, ska kommunen </w:t>
      </w:r>
      <w:r w:rsidRPr="000925A8">
        <w:rPr>
          <w:i/>
        </w:rPr>
        <w:t>samråda</w:t>
      </w:r>
      <w:r w:rsidRPr="000925A8">
        <w:t xml:space="preserve"> med länsst</w:t>
      </w:r>
      <w:r w:rsidRPr="000925A8">
        <w:t>y</w:t>
      </w:r>
      <w:r w:rsidRPr="000925A8">
        <w:t>relsen samt med kommuner som berörs av förslaget. Syftet med samrådet är, liksom för översiktsplaner och detaljplaner, att förbättra beslutsunderlaget och ge möjlighet till insyn och påverkan. Under samrådet ska länsstyrelsen bl.a. verka för att sådana frågor om användningen av mark- och vattenområden som angår två eller flera kommuner samordnas på ett lämpligt sätt. Länsst</w:t>
      </w:r>
      <w:r w:rsidRPr="000925A8">
        <w:t>y</w:t>
      </w:r>
      <w:r w:rsidRPr="000925A8">
        <w:t xml:space="preserve">relsen ska vidare under utställningstiden avge ett </w:t>
      </w:r>
      <w:r w:rsidRPr="000925A8">
        <w:rPr>
          <w:i/>
        </w:rPr>
        <w:t>granskningsyttrande</w:t>
      </w:r>
      <w:r w:rsidRPr="000925A8">
        <w:t xml:space="preserve"> över planförslaget.</w:t>
      </w:r>
      <w:r w:rsidRPr="000925A8">
        <w:rPr>
          <w:rStyle w:val="Fotnotsreferens"/>
        </w:rPr>
        <w:footnoteReference w:id="53"/>
      </w:r>
      <w:r w:rsidRPr="000925A8">
        <w:t xml:space="preserve"> Länsstyrelsen har dock ingen möjlighet att överpröva en regionplan. </w:t>
      </w:r>
    </w:p>
    <w:p w14:paraId="6758833C" w14:textId="77777777" w:rsidR="00241093" w:rsidRPr="000925A8" w:rsidRDefault="00241093">
      <w:pPr>
        <w:pStyle w:val="Normaltindrag"/>
      </w:pPr>
      <w:r w:rsidRPr="000925A8">
        <w:t>När det gäller länsstyrelsernas och regionplaneorganens samverkan i öve</w:t>
      </w:r>
      <w:r w:rsidRPr="000925A8">
        <w:t>r</w:t>
      </w:r>
      <w:r w:rsidRPr="000925A8">
        <w:t>siktsplanefrågor anges i PBL-propositionens specialmotivering att länsstyre</w:t>
      </w:r>
      <w:r w:rsidRPr="000925A8">
        <w:t>l</w:t>
      </w:r>
      <w:r w:rsidRPr="000925A8">
        <w:t>sen och regionplaneorganet bör komma överens om en lämplig uppgiftsfö</w:t>
      </w:r>
      <w:r w:rsidRPr="000925A8">
        <w:t>r</w:t>
      </w:r>
      <w:r w:rsidRPr="000925A8">
        <w:t>delning vid samrådet med kommunerna. Utgångspunkten bör enligt PBL-propositionen vara att länsstyrelsen svarar för de löpande kontakterna i min</w:t>
      </w:r>
      <w:r w:rsidRPr="000925A8">
        <w:t>d</w:t>
      </w:r>
      <w:r w:rsidRPr="000925A8">
        <w:t>re betydelsefulla ärenden och då en regionplan finns. I mer betydelsefulla ärenden och då regionplan saknas bör samråd ske med regionplaneorganet, som bör underrätta länsstyrelsen om sina synpunkter på planförslagen. Sä</w:t>
      </w:r>
      <w:r w:rsidRPr="000925A8">
        <w:t>r</w:t>
      </w:r>
      <w:r w:rsidRPr="000925A8">
        <w:t>s</w:t>
      </w:r>
      <w:r w:rsidRPr="000925A8">
        <w:t>kilt betonades att synpunkter från regionplaneorganet bör vara av stor bet</w:t>
      </w:r>
      <w:r w:rsidRPr="000925A8">
        <w:t>y</w:t>
      </w:r>
      <w:r w:rsidRPr="000925A8">
        <w:t>delse i frågor som rör mellankommunal samordning.</w:t>
      </w:r>
      <w:r w:rsidRPr="000925A8">
        <w:rPr>
          <w:rStyle w:val="Fotnotsreferens"/>
        </w:rPr>
        <w:footnoteReference w:id="54"/>
      </w:r>
    </w:p>
    <w:p w14:paraId="49AF76A7" w14:textId="77777777" w:rsidR="00241093" w:rsidRPr="000925A8" w:rsidRDefault="00241093">
      <w:pPr>
        <w:pStyle w:val="Normaltindrag"/>
      </w:pPr>
      <w:r w:rsidRPr="000925A8">
        <w:t xml:space="preserve"> Fysisk regionplanering har en mycket starkare ställning internationellt än i Sverige.</w:t>
      </w:r>
      <w:r w:rsidRPr="000925A8">
        <w:rPr>
          <w:rStyle w:val="Fotnotsreferens"/>
        </w:rPr>
        <w:footnoteReference w:id="55"/>
      </w:r>
      <w:r w:rsidRPr="000925A8">
        <w:t xml:space="preserve"> Boverkets förre generaldirektör konstaterade att ”många anser att den regionala planeringen bara är ett diskussionsforum utan makt att geno</w:t>
      </w:r>
      <w:r w:rsidRPr="000925A8">
        <w:t>m</w:t>
      </w:r>
      <w:r w:rsidRPr="000925A8">
        <w:t>föra det som planeras. En orsak till att vi har en så svag regional planering är utformningen av PBL”.</w:t>
      </w:r>
      <w:r w:rsidRPr="000925A8">
        <w:rPr>
          <w:rStyle w:val="Fotnotsreferens"/>
        </w:rPr>
        <w:footnoteReference w:id="56"/>
      </w:r>
      <w:r w:rsidRPr="000925A8">
        <w:t xml:space="preserve"> Stockholms regionplane- och trafikkontor har u</w:t>
      </w:r>
      <w:r w:rsidRPr="000925A8">
        <w:t>t</w:t>
      </w:r>
      <w:r w:rsidRPr="000925A8">
        <w:t>tryckt sig på detta sätt: ”Stockholmsregionen lever i ett samspel med en o</w:t>
      </w:r>
      <w:r w:rsidRPr="000925A8">
        <w:t>m</w:t>
      </w:r>
      <w:r w:rsidRPr="000925A8">
        <w:t>värld som i många avseenden dikterar villkoren för dess utveckling. Frihet</w:t>
      </w:r>
      <w:r w:rsidRPr="000925A8">
        <w:t>s</w:t>
      </w:r>
      <w:r w:rsidRPr="000925A8">
        <w:t>graderna i den regionala planeringen är därför i hög grad begrä</w:t>
      </w:r>
      <w:r w:rsidRPr="000925A8">
        <w:t>n</w:t>
      </w:r>
      <w:r w:rsidRPr="000925A8">
        <w:t>sade”.</w:t>
      </w:r>
      <w:r w:rsidRPr="000925A8">
        <w:rPr>
          <w:rStyle w:val="Fotnotsreferens"/>
        </w:rPr>
        <w:footnoteReference w:id="57"/>
      </w:r>
    </w:p>
    <w:p w14:paraId="6B67C70C" w14:textId="77777777" w:rsidR="00241093" w:rsidRPr="000925A8" w:rsidRDefault="00241093">
      <w:pPr>
        <w:pStyle w:val="R4"/>
      </w:pPr>
      <w:r w:rsidRPr="000925A8">
        <w:t>Förslag till reformerad regionplanering</w:t>
      </w:r>
    </w:p>
    <w:p w14:paraId="074C0429" w14:textId="77777777" w:rsidR="00241093" w:rsidRPr="000925A8" w:rsidRDefault="00241093">
      <w:pPr>
        <w:spacing w:before="0"/>
      </w:pPr>
      <w:r w:rsidRPr="000925A8">
        <w:t>I Plan- och byggutredningens betänkande Miljö och fysisk planering framfö</w:t>
      </w:r>
      <w:r w:rsidRPr="000925A8">
        <w:t>r</w:t>
      </w:r>
      <w:r w:rsidRPr="000925A8">
        <w:t>des bl.a. synpunkter på den regionala samordningen.</w:t>
      </w:r>
      <w:r w:rsidRPr="000925A8">
        <w:rPr>
          <w:rStyle w:val="Fotnotsreferens"/>
        </w:rPr>
        <w:footnoteReference w:id="58"/>
      </w:r>
      <w:r w:rsidRPr="000925A8">
        <w:t xml:space="preserve"> Enligt utredningen hade de första årens översiktsplanearbete visat att det i områden med stora samordningsbehov (bl.a. de tre storstadsområdena) inte hade tillkommit n</w:t>
      </w:r>
      <w:r w:rsidRPr="000925A8">
        <w:t>å</w:t>
      </w:r>
      <w:r w:rsidRPr="000925A8">
        <w:t>gon tillfredsställande samordning. En slutsats var att en utveckling av den mellankommunala och regionala samordningen var nödvändig för att den fysiska planeringen skulle ha möjlighet att medverka till en ändamålsenlig samhällsstruktur från hushållningssynpunkt. I sammanhanget refererades bl.a. Boverkets iakttagelser att det regionala och m</w:t>
      </w:r>
      <w:r w:rsidRPr="000925A8">
        <w:t>ellankommunala perspektivet var allmänt sett svagt utvecklat i den första generationen översiktsplaner. Även en förväntat kraftig utbyggnad av teknisk infrastruktur anfördes som motiv för en förstärkt regional samordning.</w:t>
      </w:r>
      <w:r w:rsidRPr="000925A8">
        <w:rPr>
          <w:rStyle w:val="Fotnotsreferens"/>
        </w:rPr>
        <w:footnoteReference w:id="59"/>
      </w:r>
      <w:r w:rsidRPr="000925A8">
        <w:t xml:space="preserve"> </w:t>
      </w:r>
    </w:p>
    <w:p w14:paraId="0A48427C" w14:textId="77777777" w:rsidR="00241093" w:rsidRPr="000925A8" w:rsidRDefault="00241093">
      <w:pPr>
        <w:pStyle w:val="Normaltindrag"/>
      </w:pPr>
      <w:r w:rsidRPr="000925A8">
        <w:t>PBL-utredningens iakttagelser mynnade ut i ett förslag som innebar att r</w:t>
      </w:r>
      <w:r w:rsidRPr="000925A8">
        <w:t>e</w:t>
      </w:r>
      <w:r w:rsidRPr="000925A8">
        <w:t>gionplaneorgan skulle kunna utses av regeringen om synnerliga skäl förelåg och om en frivillig mellankommunal samordning inte tillkom. De frågor som avsågs var viktiga regionala intressen där en mellankommunal samordning ansågs vara en förutsättning för en ändamålsenlig samhällsstruktur, exempe</w:t>
      </w:r>
      <w:r w:rsidRPr="000925A8">
        <w:t>l</w:t>
      </w:r>
      <w:r w:rsidRPr="000925A8">
        <w:t>vis infrastruktursatsningar eller allvarliga miljöproblem.</w:t>
      </w:r>
      <w:r w:rsidRPr="000925A8">
        <w:rPr>
          <w:rStyle w:val="Fotnotsreferens"/>
        </w:rPr>
        <w:footnoteReference w:id="60"/>
      </w:r>
      <w:r w:rsidRPr="000925A8">
        <w:t xml:space="preserve"> </w:t>
      </w:r>
    </w:p>
    <w:p w14:paraId="112B3B42" w14:textId="77777777" w:rsidR="00241093" w:rsidRPr="000925A8" w:rsidRDefault="00241093">
      <w:pPr>
        <w:pStyle w:val="Normaltindrag"/>
      </w:pPr>
      <w:r w:rsidRPr="000925A8">
        <w:t>Regeringen avvisade dock utredningens förslag. Bakgrunden var bl.a. ett splittrat remissutfall där majoriteten av de statliga myndigheterna var för utredningens förslag medan de kommunala var emot. En kommun menade att ”besvärliga konflikter inte hanteras bättre genom att kommunerna tvingas in i en särskild organisationsform. Mellankommunal samordning skall bygga på frivillig samverkan utan statlig inblandning”. Svenska Kommunförbundet ansåg att PBL redan innehöll ett fungerande system för att hantera frå</w:t>
      </w:r>
      <w:r w:rsidRPr="000925A8">
        <w:t>gor som berör flera kommuner eller frågor som är av nationellt intresse. Regeringen menade att det krävdes en förstärkning av det regionala perspektivet i den fysiska planeringen men att denna kunde ske inom ramen för PBL:s system för regionplanering och annan samverkan mellan kommuner.</w:t>
      </w:r>
      <w:r w:rsidRPr="000925A8">
        <w:rPr>
          <w:rStyle w:val="Fotnotsreferens"/>
        </w:rPr>
        <w:footnoteReference w:id="61"/>
      </w:r>
      <w:r w:rsidRPr="000925A8">
        <w:t xml:space="preserve"> </w:t>
      </w:r>
    </w:p>
    <w:p w14:paraId="428D0CE5" w14:textId="77777777" w:rsidR="00241093" w:rsidRPr="000925A8" w:rsidRDefault="00241093">
      <w:pPr>
        <w:pStyle w:val="Normaltindrag"/>
      </w:pPr>
      <w:r w:rsidRPr="000925A8">
        <w:t>Även den s.k. Regionberedningen konstaterade att länsstyrelsen tycks ha haft svårt att hävda riksintressen och mellankommunala intressen i förhålla</w:t>
      </w:r>
      <w:r w:rsidRPr="000925A8">
        <w:t>n</w:t>
      </w:r>
      <w:r w:rsidRPr="000925A8">
        <w:t>de till starka kommuner och centrala sektorsmyndigheter.</w:t>
      </w:r>
      <w:r w:rsidRPr="000925A8">
        <w:rPr>
          <w:rStyle w:val="Fotnotsreferens"/>
        </w:rPr>
        <w:footnoteReference w:id="62"/>
      </w:r>
      <w:r w:rsidRPr="000925A8">
        <w:t xml:space="preserve"> Regionberednin</w:t>
      </w:r>
      <w:r w:rsidRPr="000925A8">
        <w:t>g</w:t>
      </w:r>
      <w:r w:rsidRPr="000925A8">
        <w:t>en föreslog därför att det regionala perspektivet skulle tas bättre till vara genom en intensifierad frivillig samverkan mellan kommuner och landsting. Någon förändring av PBL i detta avseende föreslogs emellertid inte. Däremot framhöll Regionberedningen behovet av regionplanering i de tre storstadso</w:t>
      </w:r>
      <w:r w:rsidRPr="000925A8">
        <w:t>m</w:t>
      </w:r>
      <w:r w:rsidRPr="000925A8">
        <w:t>rådena. Man föreslog att landstingen/självstyrelseorganen i Skåne och Västra Götaland skulle få samma regionplaneringsuppgifter som Landstinget i Stockholms län.</w:t>
      </w:r>
      <w:r w:rsidRPr="000925A8">
        <w:rPr>
          <w:rStyle w:val="Fotnotsreferens"/>
        </w:rPr>
        <w:footnoteReference w:id="63"/>
      </w:r>
      <w:r w:rsidRPr="000925A8">
        <w:t xml:space="preserve"> Regeringen motsatte sig dock detta förslag och menade att det i praktiken skulle innebära att det kommunala planmonopolet till viss del upphävdes</w:t>
      </w:r>
      <w:r w:rsidRPr="000925A8">
        <w:rPr>
          <w:rStyle w:val="Kommentarsreferens"/>
          <w:vanish/>
        </w:rPr>
        <w:t xml:space="preserve"> </w:t>
      </w:r>
      <w:commentRangeStart w:id="90"/>
      <w:commentRangeEnd w:id="90"/>
      <w:r w:rsidRPr="000925A8">
        <w:rPr>
          <w:rStyle w:val="Kommentarsreferens"/>
          <w:sz w:val="19"/>
        </w:rPr>
        <w:commentReference w:id="90"/>
      </w:r>
      <w:r w:rsidRPr="000925A8">
        <w:t>.</w:t>
      </w:r>
      <w:r w:rsidRPr="000925A8">
        <w:rPr>
          <w:rStyle w:val="Fotnotsreferens"/>
        </w:rPr>
        <w:footnoteReference w:id="64"/>
      </w:r>
    </w:p>
    <w:p w14:paraId="383496B1" w14:textId="77777777" w:rsidR="00241093" w:rsidRPr="000925A8" w:rsidRDefault="00241093">
      <w:pPr>
        <w:pStyle w:val="R3"/>
      </w:pPr>
      <w:r w:rsidRPr="000925A8">
        <w:t>Infrastrukturplaneringen</w:t>
      </w:r>
    </w:p>
    <w:p w14:paraId="5485D48C" w14:textId="77777777" w:rsidR="00241093" w:rsidRPr="000925A8" w:rsidRDefault="00241093">
      <w:r w:rsidRPr="000925A8">
        <w:t xml:space="preserve">Planeringen av vägar och järnvägar skiljer sig i vissa avseenden från annan fysisk planering. Länsstyrelsens roll är också något annorlunda. </w:t>
      </w:r>
    </w:p>
    <w:p w14:paraId="2D37ED4E" w14:textId="77777777" w:rsidR="00241093" w:rsidRPr="000925A8" w:rsidRDefault="00241093">
      <w:pPr>
        <w:pStyle w:val="Normaltindrag"/>
      </w:pPr>
      <w:r w:rsidRPr="000925A8">
        <w:t>Infrastrukturplaneringen innebär en långsiktig process där riksdagen tar ställ</w:t>
      </w:r>
      <w:r w:rsidRPr="000925A8">
        <w:softHyphen/>
        <w:t>ning till övergripande prioriteringar och hur mycket medel som beräknas kunna användas för infrastrukturåtgärder under en kommande plane</w:t>
      </w:r>
      <w:r w:rsidRPr="000925A8">
        <w:softHyphen/>
        <w:t>ringsperiod (inriktningsplaneringen). Banverket, Vägverket och länsstyrelser eller regionala självstyrelseorgan upprättar sedan förslag till långtidsplaner, som skickas på remiss till berörda organisationer och myndigheter, däribland kommuner (åtgärdsplaneringen). Medel för genomförande av dessa planer förmed</w:t>
      </w:r>
      <w:r w:rsidRPr="000925A8">
        <w:softHyphen/>
        <w:t>las via anslagen till Banverket och Vägverket. Nu gällande plan</w:t>
      </w:r>
      <w:r w:rsidRPr="000925A8">
        <w:t>er avser åren 1998–2007 och fastställdes 1998 av regeringen (Banverkets och Vägverkets planer) och av länsstyrelser, eller i några försökslän av regionala självsty</w:t>
      </w:r>
      <w:r w:rsidRPr="000925A8">
        <w:softHyphen/>
        <w:t>relseorgan (länsplaner för regional transportinfrastruktur). De fas</w:t>
      </w:r>
      <w:r w:rsidRPr="000925A8">
        <w:t>t</w:t>
      </w:r>
      <w:r w:rsidRPr="000925A8">
        <w:t>ställda tioårsplanerna utgör sedan grund för en kortsiktigare och mer detalj</w:t>
      </w:r>
      <w:r w:rsidRPr="000925A8">
        <w:t>e</w:t>
      </w:r>
      <w:r w:rsidRPr="000925A8">
        <w:t>rad planering av de investeringar som ska genomföras.</w:t>
      </w:r>
      <w:r w:rsidRPr="000925A8">
        <w:rPr>
          <w:rStyle w:val="Fotnotsreferens"/>
        </w:rPr>
        <w:footnoteReference w:id="65"/>
      </w:r>
      <w:r w:rsidRPr="000925A8">
        <w:t xml:space="preserve"> </w:t>
      </w:r>
    </w:p>
    <w:p w14:paraId="55979922" w14:textId="77777777" w:rsidR="00241093" w:rsidRPr="000925A8" w:rsidRDefault="00241093">
      <w:pPr>
        <w:pStyle w:val="Normaltindrag"/>
      </w:pPr>
      <w:r w:rsidRPr="000925A8">
        <w:t>Länsstyrelserna medverkar i den strategiska analysen i inriktningsplan</w:t>
      </w:r>
      <w:r w:rsidRPr="000925A8">
        <w:t>e</w:t>
      </w:r>
      <w:r w:rsidRPr="000925A8">
        <w:t>ringen och genom att samordna och för</w:t>
      </w:r>
      <w:r w:rsidRPr="000925A8">
        <w:softHyphen/>
        <w:t>ankra länsplanen för regional tran</w:t>
      </w:r>
      <w:r w:rsidRPr="000925A8">
        <w:t>s</w:t>
      </w:r>
      <w:r w:rsidRPr="000925A8">
        <w:t>portinfrastruktur. Regeringen betonade vikten av att Banverkets och Vägve</w:t>
      </w:r>
      <w:r w:rsidRPr="000925A8">
        <w:t>r</w:t>
      </w:r>
      <w:r w:rsidRPr="000925A8">
        <w:t>kets planeringsresurser inriktas mot att ge länsstyrelserna ett kvalificerat stöd. I 1998 års transportpolitiska proposition betonade regeringen vikten av att samspelet mellan olika regionala och lokala aktörer utvecklas för att öka samordningen vid planeringen av bebyggelse, infrastruktur och trafik. R</w:t>
      </w:r>
      <w:r w:rsidRPr="000925A8">
        <w:t>e</w:t>
      </w:r>
      <w:r w:rsidRPr="000925A8">
        <w:t>geringen menade att länsstyrelserna och de regionala självs</w:t>
      </w:r>
      <w:r w:rsidRPr="000925A8">
        <w:t>tyrelseorganen har en central roll för denna samordning. I remissyttranden efterlyste dock bl.a. Boverket en genomtänkt strategi för att förbättra samordningen av planering av be</w:t>
      </w:r>
      <w:r w:rsidRPr="000925A8">
        <w:softHyphen/>
        <w:t>byggelse, infrastruktur och trafik.</w:t>
      </w:r>
      <w:r w:rsidRPr="000925A8">
        <w:rPr>
          <w:rStyle w:val="Fotnotsreferens"/>
        </w:rPr>
        <w:footnoteReference w:id="66"/>
      </w:r>
      <w:r w:rsidRPr="000925A8">
        <w:t xml:space="preserve"> </w:t>
      </w:r>
    </w:p>
    <w:p w14:paraId="33DA985A" w14:textId="77777777" w:rsidR="00241093" w:rsidRPr="000925A8" w:rsidRDefault="00241093">
      <w:pPr>
        <w:pStyle w:val="Normaltindrag"/>
      </w:pPr>
      <w:r w:rsidRPr="000925A8">
        <w:t>I infrastrukturpropositionen hösten 2001 konstaterade regeringen att plan</w:t>
      </w:r>
      <w:r w:rsidRPr="000925A8">
        <w:t>e</w:t>
      </w:r>
      <w:r w:rsidRPr="000925A8">
        <w:t>ringen för infrastrukturinvesteringar förutsätter omfattande samråd i de olika planeringsskedena.</w:t>
      </w:r>
      <w:r w:rsidRPr="000925A8">
        <w:rPr>
          <w:rStyle w:val="Fotnotsreferens"/>
        </w:rPr>
        <w:footnoteReference w:id="67"/>
      </w:r>
      <w:r w:rsidRPr="000925A8">
        <w:t xml:space="preserve"> Samrådsparter är bl.a. berörda markägare, kommuner, länsstyrelse och andra myndigheter samt allmänheten. Samtidigt noterade regeringen att kommunerna genom planmonopolet har ett högst be</w:t>
      </w:r>
      <w:r w:rsidRPr="000925A8">
        <w:softHyphen/>
        <w:t xml:space="preserve">tydande inflytande på infrastrukturplaneringen. </w:t>
      </w:r>
    </w:p>
    <w:p w14:paraId="641376DB" w14:textId="77777777" w:rsidR="00241093" w:rsidRPr="000925A8" w:rsidRDefault="00241093">
      <w:pPr>
        <w:pStyle w:val="Normaltindrag"/>
      </w:pPr>
      <w:r w:rsidRPr="000925A8">
        <w:t>Regeringen hänvisade också till att PBL ska ses över i syfte att bättre främja en långsiktigt hållbar utveckling (se nedan). Regeringen betonade också att då infrastrukturplaneringen och den kommunala planeringen är kopplade till varandra finns ett grundläggande behov av sam</w:t>
      </w:r>
      <w:r w:rsidRPr="000925A8">
        <w:t>ordning och samsyn. För att åstadkomma en ändamålsenlig struktur för hållbar utveckling krävs det, enligt regeringen, en växelverkan mellan de olika parternas plan</w:t>
      </w:r>
      <w:r w:rsidRPr="000925A8">
        <w:t>e</w:t>
      </w:r>
      <w:r w:rsidRPr="000925A8">
        <w:t>ring och mellan olika plane</w:t>
      </w:r>
      <w:r w:rsidRPr="000925A8">
        <w:softHyphen/>
        <w:t>ringsnivåer. Regeringen konstaterade att ”formerna för detta inte kan sägas ha funnit sin slutliga form”.</w:t>
      </w:r>
      <w:r w:rsidRPr="000925A8">
        <w:rPr>
          <w:rStyle w:val="Fotnotsreferens"/>
        </w:rPr>
        <w:footnoteReference w:id="68"/>
      </w:r>
      <w:r w:rsidRPr="000925A8">
        <w:t xml:space="preserve"> Denna fråga blir sannolikt föremål för fortsatta överväganden inom ramen för den aviser</w:t>
      </w:r>
      <w:r w:rsidRPr="000925A8">
        <w:t>a</w:t>
      </w:r>
      <w:r w:rsidRPr="000925A8">
        <w:t xml:space="preserve">de PBL-utredningen. </w:t>
      </w:r>
    </w:p>
    <w:p w14:paraId="59C3984F" w14:textId="77777777" w:rsidR="00241093" w:rsidRPr="000925A8" w:rsidRDefault="00241093">
      <w:pPr>
        <w:pStyle w:val="Normaltindrag"/>
      </w:pPr>
      <w:r w:rsidRPr="000925A8">
        <w:rPr>
          <w:snapToGrid w:val="0"/>
        </w:rPr>
        <w:t>I sin behandling av propositionen betonade trafikutskottet att länen även fortsättningsvis kommer att ha ett stort inflytande i planeringen. Utskottet förutsatte också att såväl Vägverket som Banverket fördjupar sitt samrådsa</w:t>
      </w:r>
      <w:r w:rsidRPr="000925A8">
        <w:rPr>
          <w:snapToGrid w:val="0"/>
        </w:rPr>
        <w:t>r</w:t>
      </w:r>
      <w:r w:rsidRPr="000925A8">
        <w:rPr>
          <w:snapToGrid w:val="0"/>
        </w:rPr>
        <w:t>bete och ökar insynen i sin interna beslutsprocess i syfte att på bästa sätt ta hänsyn till lokala och regionala strategier och program. Länen och de regi</w:t>
      </w:r>
      <w:r w:rsidRPr="000925A8">
        <w:rPr>
          <w:snapToGrid w:val="0"/>
        </w:rPr>
        <w:t>o</w:t>
      </w:r>
      <w:r w:rsidRPr="000925A8">
        <w:rPr>
          <w:snapToGrid w:val="0"/>
        </w:rPr>
        <w:t>nala självstyrelseorganen har, enligt utskottet, även fortsättningsvis en viktig roll när det gäller framtagande av underlag i plan</w:t>
      </w:r>
      <w:r w:rsidRPr="000925A8">
        <w:rPr>
          <w:snapToGrid w:val="0"/>
        </w:rPr>
        <w:t>e</w:t>
      </w:r>
      <w:r w:rsidRPr="000925A8">
        <w:rPr>
          <w:snapToGrid w:val="0"/>
        </w:rPr>
        <w:t>ringsprocessen.</w:t>
      </w:r>
      <w:r w:rsidRPr="000925A8">
        <w:rPr>
          <w:rStyle w:val="Fotnotsreferens"/>
          <w:snapToGrid w:val="0"/>
        </w:rPr>
        <w:footnoteReference w:id="69"/>
      </w:r>
    </w:p>
    <w:p w14:paraId="3FB6E5FE" w14:textId="77777777" w:rsidR="00241093" w:rsidRPr="000925A8" w:rsidRDefault="00241093">
      <w:pPr>
        <w:pStyle w:val="R3"/>
      </w:pPr>
      <w:r w:rsidRPr="000925A8">
        <w:t>ESDP, länsstyrelserna och PBL</w:t>
      </w:r>
    </w:p>
    <w:p w14:paraId="66A20C33" w14:textId="77777777" w:rsidR="00241093" w:rsidRPr="000925A8" w:rsidRDefault="00241093">
      <w:pPr>
        <w:pStyle w:val="R4"/>
      </w:pPr>
      <w:r w:rsidRPr="000925A8">
        <w:t>Nationell ESDP-strategi?</w:t>
      </w:r>
    </w:p>
    <w:p w14:paraId="71BAF2F1" w14:textId="77777777" w:rsidR="00241093" w:rsidRPr="000925A8" w:rsidRDefault="00241093">
      <w:pPr>
        <w:spacing w:before="0"/>
      </w:pPr>
      <w:r w:rsidRPr="000925A8">
        <w:t>Genom medlemskapet i EU kom Sverige på allvar i kontakt med den europ</w:t>
      </w:r>
      <w:r w:rsidRPr="000925A8">
        <w:t>e</w:t>
      </w:r>
      <w:r w:rsidRPr="000925A8">
        <w:t>iska rumsliga och funktionella utvecklingsplanering som utvecklats inom ramen för ESDP (</w:t>
      </w:r>
      <w:r w:rsidRPr="000925A8">
        <w:rPr>
          <w:i/>
        </w:rPr>
        <w:t>European Spatial Development Perspective</w:t>
      </w:r>
      <w:r w:rsidRPr="000925A8">
        <w:t>). Syftet med detta perspektiv, som antogs av ministerrådet våren 1999, är att åstadkomma en balanserad och hållbar utveckling för EU:s territorium.</w:t>
      </w:r>
      <w:r w:rsidRPr="000925A8">
        <w:rPr>
          <w:rStyle w:val="Fotnotsreferens"/>
        </w:rPr>
        <w:footnoteReference w:id="70"/>
      </w:r>
      <w:r w:rsidRPr="000925A8">
        <w:t xml:space="preserve"> ESDP är dock inte något formellt planeringsdokument av bindande karaktär. Det kan alltså användas av medlemsländerna och deras regioner på det sätt som passar dem bäst. </w:t>
      </w:r>
    </w:p>
    <w:p w14:paraId="2C06EF67" w14:textId="77777777" w:rsidR="00241093" w:rsidRPr="000925A8" w:rsidRDefault="00241093">
      <w:r w:rsidRPr="000925A8">
        <w:t xml:space="preserve">Regeringen har givit NUTEK i uppdrag att tillsammans med Boverket skapa ett sekretariat för att biträda Regeringskansliet vid Sveriges medverkan i ESDP. Sekretariatet har även spridit information och skapat diskussion kring ESDP och det synsätt som ESDP representerar. </w:t>
      </w:r>
    </w:p>
    <w:p w14:paraId="211B12F8" w14:textId="77777777" w:rsidR="00241093" w:rsidRPr="000925A8" w:rsidRDefault="00241093">
      <w:pPr>
        <w:pStyle w:val="Normaltindrag"/>
      </w:pPr>
      <w:r w:rsidRPr="000925A8">
        <w:t>ESDP-sekretariatet presenterade sin slutrapport i december 2001. I rap</w:t>
      </w:r>
      <w:r w:rsidRPr="000925A8">
        <w:t>p</w:t>
      </w:r>
      <w:r w:rsidRPr="000925A8">
        <w:t>orten föreslår man bl.a. att en nationell strategi för regional utvecklingsplan</w:t>
      </w:r>
      <w:r w:rsidRPr="000925A8">
        <w:t>e</w:t>
      </w:r>
      <w:r w:rsidRPr="000925A8">
        <w:t xml:space="preserve">ring tas fram med ESDP som vägledande perspektiv. Sekretariatet ansåg att mottagningskapaciteten i de regionala organisationerna måste säkerställas för att den nationella strategin ska komma till användning och få betydelse på regional nivå. Det handlar inte bara om en allmän resursfråga utan även om kompetensutveckling för att arbeta integrerat med regional utveckling och fysisk planering. </w:t>
      </w:r>
    </w:p>
    <w:p w14:paraId="26B371B0" w14:textId="77777777" w:rsidR="00241093" w:rsidRPr="000925A8" w:rsidRDefault="00241093">
      <w:pPr>
        <w:pStyle w:val="Normaltindrag"/>
      </w:pPr>
      <w:r w:rsidRPr="000925A8">
        <w:t xml:space="preserve">ESDP-sekretariatet konstaterade att </w:t>
      </w:r>
      <w:r w:rsidRPr="000925A8">
        <w:t>ett vidgat planeringsperspektiv ställer krav på en dialog mellan stat och kommun samt mellan aktörer som sysslar med fysisk planering, miljö, regionalt utvecklingsarbete och kommunikati</w:t>
      </w:r>
      <w:r w:rsidRPr="000925A8">
        <w:t>o</w:t>
      </w:r>
      <w:r w:rsidRPr="000925A8">
        <w:t>ner. ESDP-sekretariatet menade att ett sådant fördjupat och breddat samve</w:t>
      </w:r>
      <w:r w:rsidRPr="000925A8">
        <w:t>r</w:t>
      </w:r>
      <w:r w:rsidRPr="000925A8">
        <w:t>kansarbete även kan bli en möjlig förnyelsekraft för regional planering.</w:t>
      </w:r>
    </w:p>
    <w:p w14:paraId="4D1D2C40" w14:textId="77777777" w:rsidR="00241093" w:rsidRPr="000925A8" w:rsidRDefault="00241093">
      <w:pPr>
        <w:pStyle w:val="Normaltindrag"/>
      </w:pPr>
      <w:r w:rsidRPr="000925A8">
        <w:t xml:space="preserve"> ESDP-sekretariatet menade att vissa regionala planeringsfrågor är av n</w:t>
      </w:r>
      <w:r w:rsidRPr="000925A8">
        <w:t>a</w:t>
      </w:r>
      <w:r w:rsidRPr="000925A8">
        <w:t>tionellt intresse. Det gäller t.ex. större investeringar i infrastruktur. Samtidigt behöver ett regionalt perspektiv utvecklas vad gäller exempelvis boende och handel. Den nationella strategin skulle här spela en roll för att hitta de rätta nationella och regionala prioriteringarna utifrån ett tvärsektoriellt synsätt. En utveckling av mellankommunal samverkan pågår för övrigt utifrån PBL:s regler. Med detta åsyftas bl.a. de fall där två eller flera kommuner har skapat gemensamma fördjupningar av sina övers</w:t>
      </w:r>
      <w:r w:rsidRPr="000925A8">
        <w:t>iktsplaner inom områden som sträcker sig över kommungränserna.</w:t>
      </w:r>
      <w:r w:rsidRPr="000925A8">
        <w:rPr>
          <w:rStyle w:val="Fotnotsreferens"/>
        </w:rPr>
        <w:footnoteReference w:id="71"/>
      </w:r>
      <w:r w:rsidRPr="000925A8">
        <w:t xml:space="preserve"> </w:t>
      </w:r>
    </w:p>
    <w:p w14:paraId="73377FBE" w14:textId="77777777" w:rsidR="00241093" w:rsidRPr="000925A8" w:rsidRDefault="00241093">
      <w:pPr>
        <w:pStyle w:val="Normaltindrag"/>
      </w:pPr>
      <w:r w:rsidRPr="000925A8">
        <w:rPr>
          <w:snapToGrid w:val="0"/>
          <w:lang w:eastAsia="sv-SE"/>
        </w:rPr>
        <w:t>Det är även väsentligt att regionerna beaktar hur de regionala utveckling</w:t>
      </w:r>
      <w:r w:rsidRPr="000925A8">
        <w:rPr>
          <w:snapToGrid w:val="0"/>
          <w:lang w:eastAsia="sv-SE"/>
        </w:rPr>
        <w:t>s</w:t>
      </w:r>
      <w:r w:rsidRPr="000925A8">
        <w:rPr>
          <w:snapToGrid w:val="0"/>
          <w:lang w:eastAsia="sv-SE"/>
        </w:rPr>
        <w:t>programmen relaterar sig till kommunernas strategiska översiktsplanering, särskilt vad gäller mellankommunala fr</w:t>
      </w:r>
      <w:r w:rsidRPr="000925A8">
        <w:rPr>
          <w:snapToGrid w:val="0"/>
          <w:lang w:eastAsia="sv-SE"/>
        </w:rPr>
        <w:t>å</w:t>
      </w:r>
      <w:r w:rsidRPr="000925A8">
        <w:rPr>
          <w:snapToGrid w:val="0"/>
          <w:lang w:eastAsia="sv-SE"/>
        </w:rPr>
        <w:t>gor.</w:t>
      </w:r>
    </w:p>
    <w:p w14:paraId="332C9CD4" w14:textId="77777777" w:rsidR="00241093" w:rsidRPr="000925A8" w:rsidRDefault="00241093">
      <w:pPr>
        <w:pStyle w:val="R4"/>
      </w:pPr>
      <w:r w:rsidRPr="000925A8">
        <w:t>Länens syn på ESDP</w:t>
      </w:r>
    </w:p>
    <w:p w14:paraId="51892DC8" w14:textId="77777777" w:rsidR="00241093" w:rsidRPr="000925A8" w:rsidRDefault="00241093">
      <w:pPr>
        <w:spacing w:before="0"/>
      </w:pPr>
      <w:r w:rsidRPr="000925A8">
        <w:t>I april 2001 presenterade ESDP-sekretariatet rapporten ESDP:s betydelse för samhällsplaneringen i Sverige. Som underlag för rapporten ingick bl.a. red</w:t>
      </w:r>
      <w:r w:rsidRPr="000925A8">
        <w:t>o</w:t>
      </w:r>
      <w:r w:rsidRPr="000925A8">
        <w:t xml:space="preserve">visningar från länen om deras syn på ESDP. Bland annat skulle länen ange var det fanns brister i samordningen i planeringen. </w:t>
      </w:r>
    </w:p>
    <w:p w14:paraId="16AE3769" w14:textId="77777777" w:rsidR="00241093" w:rsidRPr="000925A8" w:rsidRDefault="00241093">
      <w:pPr>
        <w:pStyle w:val="Normaltindrag"/>
      </w:pPr>
      <w:r w:rsidRPr="000925A8">
        <w:t xml:space="preserve">Den tydligaste slutsatsen utifrån länens redovisningar var att ESDP inte bör lanseras som en </w:t>
      </w:r>
      <w:r w:rsidRPr="000925A8">
        <w:rPr>
          <w:i/>
        </w:rPr>
        <w:t xml:space="preserve">ny övergripande planeringsform. </w:t>
      </w:r>
      <w:r w:rsidRPr="000925A8">
        <w:t>Flera län ansåg att synsätten i ESDP inte innebär något radikalt nytt för svensk regional utvec</w:t>
      </w:r>
      <w:r w:rsidRPr="000925A8">
        <w:t>k</w:t>
      </w:r>
      <w:r w:rsidRPr="000925A8">
        <w:t xml:space="preserve">lingsplanering, men att idéer och inspiration till redan pågående planering och utvecklingsverksamhet kan hämtas från ESDP. Det stora flertalet län betonar också att det är önskvärt att ESDP verkligen kommer till användning på detta sätt. </w:t>
      </w:r>
    </w:p>
    <w:p w14:paraId="3490843F" w14:textId="77777777" w:rsidR="00241093" w:rsidRPr="000925A8" w:rsidRDefault="00241093">
      <w:pPr>
        <w:pStyle w:val="Normaltindrag"/>
      </w:pPr>
      <w:r w:rsidRPr="000925A8">
        <w:t>Så gott som samtliga län anser att bristen på tvärsektoriellt samarbete är den största svagheten i dagens regionala utvecklingsplanering. Särski</w:t>
      </w:r>
      <w:r w:rsidRPr="000925A8">
        <w:t>lt krit</w:t>
      </w:r>
      <w:r w:rsidRPr="000925A8">
        <w:t>i</w:t>
      </w:r>
      <w:r w:rsidRPr="000925A8">
        <w:t>seras de statliga aktörerna, t.ex. infrastrukturverken i detta avseende. Sama</w:t>
      </w:r>
      <w:r w:rsidRPr="000925A8">
        <w:t>r</w:t>
      </w:r>
      <w:r w:rsidRPr="000925A8">
        <w:t xml:space="preserve">betet mellan olika utvecklingsaktörer på det regionala och lokala planet nämns också av många län som ett område med stora brister. </w:t>
      </w:r>
    </w:p>
    <w:p w14:paraId="272E3B35" w14:textId="77777777" w:rsidR="00241093" w:rsidRPr="000925A8" w:rsidRDefault="00241093">
      <w:pPr>
        <w:pStyle w:val="Normaltindrag"/>
      </w:pPr>
      <w:r w:rsidRPr="000925A8">
        <w:t>I flera av länsredovisningarna konstateras att den kommunala översikt</w:t>
      </w:r>
      <w:r w:rsidRPr="000925A8">
        <w:t>s</w:t>
      </w:r>
      <w:r w:rsidRPr="000925A8">
        <w:t>planeringen under senare år har gått mot en ökad integration mellan traditi</w:t>
      </w:r>
      <w:r w:rsidRPr="000925A8">
        <w:t>o</w:t>
      </w:r>
      <w:r w:rsidRPr="000925A8">
        <w:t>nell fysisk planering och utvecklingsplanering. Översiktsplaneringen utvec</w:t>
      </w:r>
      <w:r w:rsidRPr="000925A8">
        <w:t>k</w:t>
      </w:r>
      <w:r w:rsidRPr="000925A8">
        <w:t>las i många kommuner till en form av strategisk utvecklingsplanering. En tydlig skillnad mot tidigare är att många översiktsplaner bygger på visioner och strategier om kommunernas samlade utveckling. En del remissinstanser ansåg dock att översiktsplaneringens potential i ett breddat utvecklingspe</w:t>
      </w:r>
      <w:r w:rsidRPr="000925A8">
        <w:t>r</w:t>
      </w:r>
      <w:r w:rsidRPr="000925A8">
        <w:t xml:space="preserve">spektiv inte har utnyttjats till fullo. </w:t>
      </w:r>
    </w:p>
    <w:p w14:paraId="33A21D52" w14:textId="77777777" w:rsidR="00241093" w:rsidRPr="000925A8" w:rsidRDefault="00241093">
      <w:pPr>
        <w:pStyle w:val="Normaltindrag"/>
      </w:pPr>
      <w:r w:rsidRPr="000925A8">
        <w:t>Flera län, inte minst</w:t>
      </w:r>
      <w:r w:rsidRPr="000925A8">
        <w:t xml:space="preserve"> i Mälardalen, pekade på nödvändigheten av att plan</w:t>
      </w:r>
      <w:r w:rsidRPr="000925A8">
        <w:t>e</w:t>
      </w:r>
      <w:r w:rsidRPr="000925A8">
        <w:t xml:space="preserve">rings- och utvecklingsfrågor hanteras i ett mer </w:t>
      </w:r>
      <w:r w:rsidRPr="000925A8">
        <w:rPr>
          <w:i/>
        </w:rPr>
        <w:t xml:space="preserve">storregionalt perspektiv </w:t>
      </w:r>
      <w:r w:rsidRPr="000925A8">
        <w:t>än hittills. Nyckelfrågor i sammanhanget blir kommunikationer, trafik, bostad</w:t>
      </w:r>
      <w:r w:rsidRPr="000925A8">
        <w:t>s</w:t>
      </w:r>
      <w:r w:rsidRPr="000925A8">
        <w:t xml:space="preserve">planering och miljö, alltså en </w:t>
      </w:r>
      <w:r w:rsidRPr="000925A8">
        <w:rPr>
          <w:i/>
        </w:rPr>
        <w:t>tvärsektoriell och gränsöverskridande planering</w:t>
      </w:r>
      <w:r w:rsidRPr="000925A8">
        <w:t xml:space="preserve"> som tar upp de flesta av ESDP:s metodmässiga aspekter. </w:t>
      </w:r>
    </w:p>
    <w:p w14:paraId="6D4BAE0D" w14:textId="77777777" w:rsidR="00241093" w:rsidRPr="000925A8" w:rsidRDefault="00241093">
      <w:pPr>
        <w:pStyle w:val="Normaltindrag"/>
      </w:pPr>
      <w:r w:rsidRPr="000925A8">
        <w:t>Några län pekade på att Sveriges stora och internationellt sett starka ko</w:t>
      </w:r>
      <w:r w:rsidRPr="000925A8">
        <w:t>m</w:t>
      </w:r>
      <w:r w:rsidRPr="000925A8">
        <w:t>muner ger speciella förutsättningar i ett ESDP-perspektiv. Exempelvis blir de i ESDP framhållna stad–land-relationerna något som till stor del måste hant</w:t>
      </w:r>
      <w:r w:rsidRPr="000925A8">
        <w:t>e</w:t>
      </w:r>
      <w:r w:rsidRPr="000925A8">
        <w:t>ras på kommunal nivå. De starka kommunerna kan också vålla problem i samarbetssituationer. Viljan att kompromissa med grannkommuner när man befinner sig i en konkurrenssituation om arbetsplatser och befolkning är inte alltid den bästa. Det blir därför extra viktigt att låta arbete i partnerskapsgru</w:t>
      </w:r>
      <w:r w:rsidRPr="000925A8">
        <w:t>p</w:t>
      </w:r>
      <w:r w:rsidRPr="000925A8">
        <w:t>per få ta tid, så att samsyn och samarbet</w:t>
      </w:r>
      <w:r w:rsidRPr="000925A8">
        <w:t>s</w:t>
      </w:r>
      <w:r w:rsidRPr="000925A8">
        <w:t>vilja hinner ut</w:t>
      </w:r>
      <w:r w:rsidRPr="000925A8">
        <w:t>vecklas.</w:t>
      </w:r>
    </w:p>
    <w:p w14:paraId="0B610BB5" w14:textId="77777777" w:rsidR="00241093" w:rsidRPr="000925A8" w:rsidRDefault="00241093">
      <w:pPr>
        <w:pStyle w:val="Rubrik2"/>
      </w:pPr>
      <w:r w:rsidRPr="000925A8">
        <w:br w:type="page"/>
      </w:r>
      <w:bookmarkStart w:id="91" w:name="_Toc4898245"/>
      <w:r w:rsidRPr="000925A8">
        <w:t>4 Ytterligare utredningar m.m. som berör mellankommunala PBL-frågor</w:t>
      </w:r>
      <w:bookmarkEnd w:id="91"/>
    </w:p>
    <w:p w14:paraId="250AD049" w14:textId="77777777" w:rsidR="00241093" w:rsidRPr="000925A8" w:rsidRDefault="00241093">
      <w:pPr>
        <w:pStyle w:val="R3"/>
        <w:spacing w:before="0"/>
      </w:pPr>
    </w:p>
    <w:p w14:paraId="2AE53678" w14:textId="77777777" w:rsidR="00241093" w:rsidRPr="000925A8" w:rsidRDefault="00241093">
      <w:pPr>
        <w:pStyle w:val="R3"/>
        <w:spacing w:before="0"/>
      </w:pPr>
      <w:r w:rsidRPr="000925A8">
        <w:t>Riksrevisionsverkets förvaltningsrevision 1992</w:t>
      </w:r>
    </w:p>
    <w:p w14:paraId="36676B0B" w14:textId="77777777" w:rsidR="00241093" w:rsidRPr="000925A8" w:rsidRDefault="00241093">
      <w:pPr>
        <w:spacing w:before="0"/>
      </w:pPr>
      <w:r w:rsidRPr="000925A8">
        <w:t>Riksrevisionsverket (RRV) granskade i början av 1990-talet länsstyrelsernas tillämpning av PBL. Fokus låg på länsstyrelsernas förutsättningar att kunna företräda statliga intressen i planeringen.</w:t>
      </w:r>
      <w:r w:rsidRPr="000925A8">
        <w:rPr>
          <w:rStyle w:val="Fotnotsreferens"/>
        </w:rPr>
        <w:footnoteReference w:id="72"/>
      </w:r>
      <w:r w:rsidRPr="000925A8">
        <w:t xml:space="preserve"> Även om RRV inte specifikt b</w:t>
      </w:r>
      <w:r w:rsidRPr="000925A8">
        <w:t>e</w:t>
      </w:r>
      <w:r w:rsidRPr="000925A8">
        <w:t xml:space="preserve">lyste länsstyrelsernas arbete med mellankommunal samordning kan några av iakttagelserna i studien vara av intresse för denna uppföljning. </w:t>
      </w:r>
    </w:p>
    <w:p w14:paraId="3882497B" w14:textId="77777777" w:rsidR="00241093" w:rsidRPr="000925A8" w:rsidRDefault="00241093">
      <w:pPr>
        <w:pStyle w:val="Normaltindrag"/>
      </w:pPr>
      <w:r w:rsidRPr="000925A8">
        <w:t>RRV konstaterade bl.a. att länsstyrelsernas samordnande funktioner i många fall var knutna till den formella planeringsprocessen. Andra inbland</w:t>
      </w:r>
      <w:r w:rsidRPr="000925A8">
        <w:t>a</w:t>
      </w:r>
      <w:r w:rsidRPr="000925A8">
        <w:t>de, såväl statliga som kommunala aktörer, kunde då vara låsta till ett i det närmaste färdigt planförslag. RRV konstaterade också att den formella plan</w:t>
      </w:r>
      <w:r w:rsidRPr="000925A8">
        <w:t>e</w:t>
      </w:r>
      <w:r w:rsidRPr="000925A8">
        <w:t>ringsprocessen bl.a. är till för att hantera sådana större planfrågor som inte sällan förknippas med intressemotsättningar. Samtidigt fanns det, enligt RRV, en tendens till att dessa frågor löses utanför den formella planeringsprocessen. RRV noterade också att hänvisningar till överprövningsmöjligheterna i 12 kap. PBL inte alltid sker i den formella process</w:t>
      </w:r>
      <w:r w:rsidRPr="000925A8">
        <w:t>ens tidiga skeden eller i sa</w:t>
      </w:r>
      <w:r w:rsidRPr="000925A8">
        <w:t>m</w:t>
      </w:r>
      <w:r w:rsidRPr="000925A8">
        <w:t>band med de informationsträffar som ligger i anslutning till den formella planeringsprocessens initia</w:t>
      </w:r>
      <w:r w:rsidRPr="000925A8">
        <w:t>l</w:t>
      </w:r>
      <w:r w:rsidRPr="000925A8">
        <w:t>skede.</w:t>
      </w:r>
    </w:p>
    <w:p w14:paraId="7949CE45" w14:textId="77777777" w:rsidR="00241093" w:rsidRPr="000925A8" w:rsidRDefault="00241093">
      <w:pPr>
        <w:pStyle w:val="R3"/>
      </w:pPr>
      <w:r w:rsidRPr="000925A8">
        <w:t>Plan- och byggutredningen och PBL-arbetsgruppen</w:t>
      </w:r>
    </w:p>
    <w:p w14:paraId="1F7B1E10" w14:textId="77777777" w:rsidR="00241093" w:rsidRPr="000925A8" w:rsidRDefault="00241093">
      <w:pPr>
        <w:pStyle w:val="R4"/>
      </w:pPr>
      <w:r w:rsidRPr="000925A8">
        <w:t>Förändrad instansordning m.m.</w:t>
      </w:r>
    </w:p>
    <w:p w14:paraId="513CFBFE" w14:textId="77777777" w:rsidR="00241093" w:rsidRPr="000925A8" w:rsidRDefault="00241093">
      <w:pPr>
        <w:spacing w:before="0"/>
      </w:pPr>
      <w:r w:rsidRPr="000925A8">
        <w:t>PBL-utredningen gjorde en översyn av reglerna för överprövning av beslut i PBL-ärenden. Inom ramen för denna översyn sammanställdes bl.a. statistik över länsstyrelsernas beslut enligt 12 kap. PBL under perioden 1992–1993. I tabell 4.1 sammanfattas delar av result</w:t>
      </w:r>
      <w:r w:rsidRPr="000925A8">
        <w:t>a</w:t>
      </w:r>
      <w:r w:rsidRPr="000925A8">
        <w:t>tet.</w:t>
      </w:r>
    </w:p>
    <w:p w14:paraId="2B9C113F" w14:textId="77777777" w:rsidR="00241093" w:rsidRPr="000925A8" w:rsidRDefault="00241093">
      <w:pPr>
        <w:pStyle w:val="Normaltindrag"/>
      </w:pPr>
    </w:p>
    <w:p w14:paraId="1D4E6CCA" w14:textId="77777777" w:rsidR="00241093" w:rsidRPr="000925A8" w:rsidRDefault="00241093">
      <w:pPr>
        <w:rPr>
          <w:b/>
          <w:sz w:val="20"/>
        </w:rPr>
      </w:pPr>
      <w:r w:rsidRPr="000925A8">
        <w:rPr>
          <w:b/>
          <w:sz w:val="20"/>
        </w:rPr>
        <w:t xml:space="preserve">Tabell 4.1 </w:t>
      </w:r>
      <w:r w:rsidRPr="000925A8">
        <w:rPr>
          <w:sz w:val="20"/>
        </w:rPr>
        <w:t>Prövningar och upphävanden enligt 12 kap. 1 och 3 §§ PBL</w:t>
      </w: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9F" w:firstRow="0" w:lastRow="0" w:firstColumn="1" w:lastColumn="0" w:noHBand="0" w:noVBand="0"/>
      </w:tblPr>
      <w:tblGrid>
        <w:gridCol w:w="5245"/>
        <w:gridCol w:w="709"/>
      </w:tblGrid>
      <w:tr w:rsidR="00000000" w:rsidRPr="000925A8" w14:paraId="3B0724A1" w14:textId="77777777">
        <w:tblPrEx>
          <w:tblCellMar>
            <w:top w:w="0" w:type="dxa"/>
            <w:bottom w:w="0" w:type="dxa"/>
          </w:tblCellMar>
        </w:tblPrEx>
        <w:tc>
          <w:tcPr>
            <w:tcW w:w="5245" w:type="dxa"/>
          </w:tcPr>
          <w:p w14:paraId="64B03F1F" w14:textId="77777777" w:rsidR="00241093" w:rsidRPr="000925A8" w:rsidRDefault="00241093">
            <w:pPr>
              <w:spacing w:before="60" w:after="60"/>
              <w:jc w:val="left"/>
              <w:rPr>
                <w:sz w:val="16"/>
              </w:rPr>
            </w:pPr>
            <w:r w:rsidRPr="000925A8">
              <w:br w:type="page"/>
            </w:r>
            <w:r w:rsidRPr="000925A8">
              <w:rPr>
                <w:sz w:val="16"/>
              </w:rPr>
              <w:t>Antalet fall under åren 1992 och 1993 där länsstyrelsen fattade beslut om prövning enligt 12 kap. 2 § PBL</w:t>
            </w:r>
          </w:p>
        </w:tc>
        <w:tc>
          <w:tcPr>
            <w:tcW w:w="709" w:type="dxa"/>
          </w:tcPr>
          <w:p w14:paraId="58727BE0" w14:textId="77777777" w:rsidR="00241093" w:rsidRPr="000925A8" w:rsidRDefault="0024109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60" w:after="60"/>
              <w:jc w:val="right"/>
              <w:rPr>
                <w:rFonts w:ascii="Times New Roman" w:hAnsi="Times New Roman"/>
                <w:snapToGrid/>
                <w:sz w:val="16"/>
              </w:rPr>
            </w:pPr>
            <w:r w:rsidRPr="000925A8">
              <w:rPr>
                <w:rFonts w:ascii="Times New Roman" w:hAnsi="Times New Roman"/>
                <w:snapToGrid/>
                <w:sz w:val="16"/>
              </w:rPr>
              <w:t>61</w:t>
            </w:r>
          </w:p>
        </w:tc>
      </w:tr>
      <w:tr w:rsidR="00000000" w:rsidRPr="000925A8" w14:paraId="039042DD" w14:textId="77777777">
        <w:tblPrEx>
          <w:tblCellMar>
            <w:top w:w="0" w:type="dxa"/>
            <w:bottom w:w="0" w:type="dxa"/>
          </w:tblCellMar>
        </w:tblPrEx>
        <w:tc>
          <w:tcPr>
            <w:tcW w:w="5245" w:type="dxa"/>
          </w:tcPr>
          <w:p w14:paraId="1C150FAE" w14:textId="77777777" w:rsidR="00241093" w:rsidRPr="000925A8" w:rsidRDefault="00241093">
            <w:pPr>
              <w:spacing w:before="60" w:after="60"/>
              <w:jc w:val="left"/>
              <w:rPr>
                <w:sz w:val="16"/>
              </w:rPr>
            </w:pPr>
            <w:r w:rsidRPr="000925A8">
              <w:rPr>
                <w:sz w:val="16"/>
              </w:rPr>
              <w:t>Antalet av dessa där kommunens beslut helt eller delvis up</w:t>
            </w:r>
            <w:r w:rsidRPr="000925A8">
              <w:rPr>
                <w:sz w:val="16"/>
              </w:rPr>
              <w:t>p</w:t>
            </w:r>
            <w:r w:rsidRPr="000925A8">
              <w:rPr>
                <w:sz w:val="16"/>
              </w:rPr>
              <w:t>hävdes</w:t>
            </w:r>
          </w:p>
        </w:tc>
        <w:tc>
          <w:tcPr>
            <w:tcW w:w="709" w:type="dxa"/>
          </w:tcPr>
          <w:p w14:paraId="6F073BDB" w14:textId="77777777" w:rsidR="00241093" w:rsidRPr="000925A8" w:rsidRDefault="00241093">
            <w:pPr>
              <w:spacing w:before="60" w:after="60"/>
              <w:jc w:val="right"/>
              <w:rPr>
                <w:sz w:val="16"/>
              </w:rPr>
            </w:pPr>
            <w:r w:rsidRPr="000925A8">
              <w:rPr>
                <w:sz w:val="16"/>
              </w:rPr>
              <w:t>27</w:t>
            </w:r>
          </w:p>
        </w:tc>
      </w:tr>
      <w:tr w:rsidR="00000000" w:rsidRPr="000925A8" w14:paraId="69EF06FA" w14:textId="77777777">
        <w:tblPrEx>
          <w:tblCellMar>
            <w:top w:w="0" w:type="dxa"/>
            <w:bottom w:w="0" w:type="dxa"/>
          </w:tblCellMar>
        </w:tblPrEx>
        <w:tc>
          <w:tcPr>
            <w:tcW w:w="5245" w:type="dxa"/>
          </w:tcPr>
          <w:p w14:paraId="5061C6F7" w14:textId="77777777" w:rsidR="00241093" w:rsidRPr="000925A8" w:rsidRDefault="00241093">
            <w:pPr>
              <w:spacing w:before="60" w:after="60"/>
              <w:jc w:val="left"/>
              <w:rPr>
                <w:sz w:val="16"/>
              </w:rPr>
            </w:pPr>
            <w:r w:rsidRPr="000925A8">
              <w:rPr>
                <w:sz w:val="16"/>
              </w:rPr>
              <w:t>Antalet av dessa där prövningsgrunden helt eller delvis var brister i den ko</w:t>
            </w:r>
            <w:r w:rsidRPr="000925A8">
              <w:rPr>
                <w:sz w:val="16"/>
              </w:rPr>
              <w:t>m</w:t>
            </w:r>
            <w:r w:rsidRPr="000925A8">
              <w:rPr>
                <w:sz w:val="16"/>
              </w:rPr>
              <w:t>munala samordningen (12 kap. 1 § 2)</w:t>
            </w:r>
          </w:p>
        </w:tc>
        <w:tc>
          <w:tcPr>
            <w:tcW w:w="709" w:type="dxa"/>
          </w:tcPr>
          <w:p w14:paraId="521AD1CA" w14:textId="77777777" w:rsidR="00241093" w:rsidRPr="000925A8" w:rsidRDefault="00241093">
            <w:pPr>
              <w:spacing w:before="60" w:after="60"/>
              <w:jc w:val="right"/>
              <w:rPr>
                <w:sz w:val="16"/>
              </w:rPr>
            </w:pPr>
            <w:r w:rsidRPr="000925A8">
              <w:rPr>
                <w:sz w:val="16"/>
              </w:rPr>
              <w:t>0</w:t>
            </w:r>
          </w:p>
        </w:tc>
      </w:tr>
      <w:tr w:rsidR="00000000" w:rsidRPr="000925A8" w14:paraId="01821286" w14:textId="77777777">
        <w:tblPrEx>
          <w:tblCellMar>
            <w:top w:w="0" w:type="dxa"/>
            <w:bottom w:w="0" w:type="dxa"/>
          </w:tblCellMar>
        </w:tblPrEx>
        <w:tc>
          <w:tcPr>
            <w:tcW w:w="5245" w:type="dxa"/>
          </w:tcPr>
          <w:p w14:paraId="11EB816F" w14:textId="77777777" w:rsidR="00241093" w:rsidRPr="000925A8" w:rsidRDefault="00241093">
            <w:pPr>
              <w:spacing w:before="60" w:after="60"/>
              <w:jc w:val="left"/>
              <w:rPr>
                <w:sz w:val="16"/>
              </w:rPr>
            </w:pPr>
            <w:r w:rsidRPr="000925A8">
              <w:rPr>
                <w:sz w:val="16"/>
              </w:rPr>
              <w:t>Antalet fall där länsstyrelsen beslutade om prövning av lov eller förhandsb</w:t>
            </w:r>
            <w:r w:rsidRPr="000925A8">
              <w:rPr>
                <w:sz w:val="16"/>
              </w:rPr>
              <w:t>e</w:t>
            </w:r>
            <w:r w:rsidRPr="000925A8">
              <w:rPr>
                <w:sz w:val="16"/>
              </w:rPr>
              <w:t>sked enligt 12 kap. 4 §</w:t>
            </w:r>
          </w:p>
        </w:tc>
        <w:tc>
          <w:tcPr>
            <w:tcW w:w="709" w:type="dxa"/>
          </w:tcPr>
          <w:p w14:paraId="12D14649" w14:textId="77777777" w:rsidR="00241093" w:rsidRPr="000925A8" w:rsidRDefault="00241093">
            <w:pPr>
              <w:spacing w:before="60" w:after="60"/>
              <w:jc w:val="right"/>
              <w:rPr>
                <w:sz w:val="16"/>
              </w:rPr>
            </w:pPr>
            <w:r w:rsidRPr="000925A8">
              <w:rPr>
                <w:sz w:val="16"/>
              </w:rPr>
              <w:t>52</w:t>
            </w:r>
          </w:p>
        </w:tc>
      </w:tr>
    </w:tbl>
    <w:p w14:paraId="760D5466" w14:textId="77777777" w:rsidR="00241093" w:rsidRPr="000925A8" w:rsidRDefault="00241093">
      <w:r w:rsidRPr="000925A8">
        <w:t>Som framgår av tabellen förekom det inte vid något tillfälle under den akt</w:t>
      </w:r>
      <w:r w:rsidRPr="000925A8">
        <w:t>u</w:t>
      </w:r>
      <w:r w:rsidRPr="000925A8">
        <w:t>ella perioden att länsstyrelsen prövade kommunala beslut med hänvisning till brister i den mellankommunala samordningen. Av utredningen framgick också att antalet ärenden hos regeringen rörande besvär över länsstyrelseb</w:t>
      </w:r>
      <w:r w:rsidRPr="000925A8">
        <w:t>e</w:t>
      </w:r>
      <w:r w:rsidRPr="000925A8">
        <w:t>slut enligt 12 kap. PBL var mycket begränsat.</w:t>
      </w:r>
      <w:r w:rsidRPr="000925A8">
        <w:rPr>
          <w:rStyle w:val="Fotnotsreferens"/>
        </w:rPr>
        <w:footnoteReference w:id="73"/>
      </w:r>
      <w:r w:rsidRPr="000925A8">
        <w:t xml:space="preserve"> Utredaren konstaterade att det är viktigt att länsstyrelsen verkligen använder sig av ingripandemöjligheterna enligt 12 kap. PBL när detta är nödvändigt. Vidare kan noteras att utredaren ansåg att antalet lov eller förhandsbesked som prövades var anmärkningsvärt lågt.</w:t>
      </w:r>
      <w:r w:rsidRPr="000925A8">
        <w:rPr>
          <w:rStyle w:val="Fotnotsreferens"/>
        </w:rPr>
        <w:footnoteReference w:id="74"/>
      </w:r>
      <w:r w:rsidRPr="000925A8">
        <w:t xml:space="preserve"> </w:t>
      </w:r>
    </w:p>
    <w:p w14:paraId="786BD652" w14:textId="77777777" w:rsidR="00241093" w:rsidRPr="000925A8" w:rsidRDefault="00241093">
      <w:pPr>
        <w:pStyle w:val="Normaltindrag"/>
      </w:pPr>
      <w:r w:rsidRPr="000925A8">
        <w:t>Utredarens sammanfattande bedömning var emellertid att bestämmelserna i PBL avseende statlig kontroll (12 kap.) var väl ägnade att tillvarata väsentl</w:t>
      </w:r>
      <w:r w:rsidRPr="000925A8">
        <w:t>i</w:t>
      </w:r>
      <w:r w:rsidRPr="000925A8">
        <w:t>ga statliga intressen.</w:t>
      </w:r>
      <w:r w:rsidRPr="000925A8">
        <w:rPr>
          <w:rStyle w:val="Fotnotsreferens"/>
        </w:rPr>
        <w:footnoteReference w:id="75"/>
      </w:r>
      <w:r w:rsidRPr="000925A8">
        <w:t xml:space="preserve"> Däremot menade utredaren att instansordningen kunde ändras. Förslaget innebar att länsstyrelsen skulle svara för prövningen av det kommunala beslutet, men att regeringen skulle stå för beslutet om prövningen exempelvis skulle leda till ett upphävande av planen. Det skulle då bli möjligt för regeringen att väga in eventuella politiska beslut i prövningen samt bidra till att stärka länsstyrelsens roll och göra den mer renodlad. Utredningens förslag i detta avseende ledde emellertid inte till att regeringen f</w:t>
      </w:r>
      <w:r w:rsidRPr="000925A8">
        <w:t xml:space="preserve">öreslog några lagändringar. </w:t>
      </w:r>
    </w:p>
    <w:p w14:paraId="5C0A0A8A" w14:textId="77777777" w:rsidR="00241093" w:rsidRPr="000925A8" w:rsidRDefault="00241093">
      <w:pPr>
        <w:pStyle w:val="Normaltindrag"/>
      </w:pPr>
      <w:r w:rsidRPr="000925A8">
        <w:t>Frågan om överprövning och instansordningen i besvärsärenden är eme</w:t>
      </w:r>
      <w:r w:rsidRPr="000925A8">
        <w:t>l</w:t>
      </w:r>
      <w:r w:rsidRPr="000925A8">
        <w:t>lertid aktuell på nytt. Regeringen tillsatte i januari 2001 en arbetsgrupp som fick i uppgift att se över vissa frågor rörande PBL. Utgångspunkten var att avlasta regeringen prövningen av överklagade PBL-ärenden. Enligt arbet</w:t>
      </w:r>
      <w:r w:rsidRPr="000925A8">
        <w:t>s</w:t>
      </w:r>
      <w:r w:rsidRPr="000925A8">
        <w:t>gruppens direktiv skulle emellertid länsstyrelsens beslut med stöd av 12 kap. PBL även fortsättningsvis prövas av regerin</w:t>
      </w:r>
      <w:r w:rsidRPr="000925A8">
        <w:t>g</w:t>
      </w:r>
      <w:r w:rsidRPr="000925A8">
        <w:t>en.</w:t>
      </w:r>
      <w:r w:rsidRPr="000925A8">
        <w:rPr>
          <w:rStyle w:val="Fotnotsreferens"/>
        </w:rPr>
        <w:footnoteReference w:id="76"/>
      </w:r>
    </w:p>
    <w:p w14:paraId="084328A0" w14:textId="77777777" w:rsidR="00241093" w:rsidRPr="000925A8" w:rsidRDefault="00241093">
      <w:pPr>
        <w:pStyle w:val="Normaltindrag"/>
      </w:pPr>
      <w:r w:rsidRPr="000925A8">
        <w:t>Den s.k. PBL-arbetsgruppen fick även ett mer öppet mandat att redovisa förslag som hänger samman med prövningssystemet och som kan bidra till att beslutsprocessen förenklas. Arbetsgruppen skulle ha redovisat uppdraget i juli 2001, men enligt gruppens sekreterare kommer en rapport tidigast under våren 2002.</w:t>
      </w:r>
    </w:p>
    <w:p w14:paraId="137A4976" w14:textId="77777777" w:rsidR="00241093" w:rsidRPr="000925A8" w:rsidRDefault="00241093">
      <w:pPr>
        <w:pStyle w:val="R3"/>
      </w:pPr>
      <w:r w:rsidRPr="000925A8">
        <w:t>Svenska Kommunförbundets undersökning från 1998</w:t>
      </w:r>
    </w:p>
    <w:p w14:paraId="5560E458" w14:textId="77777777" w:rsidR="00241093" w:rsidRPr="000925A8" w:rsidRDefault="00241093">
      <w:r w:rsidRPr="000925A8">
        <w:t>Svenska Kommunförbundet genomförde hösten 1998 en kommunenkät där det bl.a. ställdes frågor kring mellankommunal samverkan. Det framkom att 55 % av de kommuner som besvarade enkäten deltog i någon form av me</w:t>
      </w:r>
      <w:r w:rsidRPr="000925A8">
        <w:t>l</w:t>
      </w:r>
      <w:r w:rsidRPr="000925A8">
        <w:t>lankommunalt samarbete i anslutning till översiktsplaneringen. Endast 5 % av kommunerna angav att länsstyrelsen hade fungerat som initiativtagare till mellankommunalt samarbete i översiktsplaneringen, och endast 12 % angav att länsstyrelsen hade varit aktiv i det arbetet. Drygt 30 % av de kommuner som besvarade enkäten ansåg att länsstyrelsen medverkade som diskussion</w:t>
      </w:r>
      <w:r w:rsidRPr="000925A8">
        <w:t>s</w:t>
      </w:r>
      <w:r w:rsidRPr="000925A8">
        <w:t>partner medan 15 % uppgav att länsstyrelsen inte hade varit direkt delaktig i det mellankommunala samarbetet.</w:t>
      </w:r>
      <w:r w:rsidRPr="000925A8">
        <w:rPr>
          <w:rStyle w:val="Fotnotsreferens"/>
        </w:rPr>
        <w:footnoteReference w:id="77"/>
      </w:r>
      <w:r w:rsidRPr="000925A8">
        <w:t xml:space="preserve"> </w:t>
      </w:r>
    </w:p>
    <w:p w14:paraId="0124F1D1" w14:textId="77777777" w:rsidR="00241093" w:rsidRPr="000925A8" w:rsidRDefault="00241093">
      <w:r w:rsidRPr="000925A8">
        <w:t>Kommunförbundets bedömning var att länsstyrelsens relativt ringa inblan</w:t>
      </w:r>
      <w:r w:rsidRPr="000925A8">
        <w:t>d</w:t>
      </w:r>
      <w:r w:rsidRPr="000925A8">
        <w:t>ning kunde vara ett tecken på att rollen som samordnare av statens intressen är tydligare än rollen som initiativtagare och främjare av det regionala pe</w:t>
      </w:r>
      <w:r w:rsidRPr="000925A8">
        <w:t>r</w:t>
      </w:r>
      <w:r w:rsidRPr="000925A8">
        <w:t xml:space="preserve">spektivet. </w:t>
      </w:r>
    </w:p>
    <w:p w14:paraId="015D9D58" w14:textId="77777777" w:rsidR="00241093" w:rsidRPr="000925A8" w:rsidRDefault="00241093">
      <w:pPr>
        <w:pStyle w:val="Normaltindrag"/>
      </w:pPr>
      <w:r w:rsidRPr="000925A8">
        <w:t>Kommunförbundet konstaterade också att utöver formella varianter av r</w:t>
      </w:r>
      <w:r w:rsidRPr="000925A8">
        <w:t>e</w:t>
      </w:r>
      <w:r w:rsidRPr="000925A8">
        <w:t>gional samverkan, som exempelvis de ovan beskrivna regionförsöken i Sk</w:t>
      </w:r>
      <w:r w:rsidRPr="000925A8">
        <w:t>å</w:t>
      </w:r>
      <w:r w:rsidRPr="000925A8">
        <w:t>ne, Gotland, Kalmar och Västra Götaland, förekommer flera mer informella samverkansformer mellan kommuner. Inriktningen på dessa samarbeten varierar och kan handla om regionala utvecklingsfrågor, samverkan kring enskilda verksamheter eller sakfrågor av mellankommunalt intresse.</w:t>
      </w:r>
      <w:r w:rsidRPr="000925A8">
        <w:rPr>
          <w:rStyle w:val="Fotnotsreferens"/>
        </w:rPr>
        <w:footnoteReference w:id="78"/>
      </w:r>
      <w:r w:rsidRPr="000925A8">
        <w:t xml:space="preserve"> Frågor kring fysisk planering nämns inte direkt som ett område där det är vanligt att samverkan förekommer, men troligen berörs dessa frågor indirekt i flera av de utvecklingsprojekt som diskuteras i olika kommunala samverkansorgan. Främst handlar det då om samarbete kring ”frågor av traditionell betydelse”, t.ex. infrastruktur. </w:t>
      </w:r>
    </w:p>
    <w:p w14:paraId="7F69F835" w14:textId="77777777" w:rsidR="00241093" w:rsidRPr="000925A8" w:rsidRDefault="00241093">
      <w:pPr>
        <w:pStyle w:val="Normaltindrag"/>
      </w:pPr>
      <w:r w:rsidRPr="000925A8">
        <w:t>Sammanfattningsvis konstaterade Kommunförbundet att behovet av sa</w:t>
      </w:r>
      <w:r w:rsidRPr="000925A8">
        <w:t>m</w:t>
      </w:r>
      <w:r w:rsidRPr="000925A8">
        <w:t>arbete över kommungränserna växer men att detta inte är helt oproblematiskt. Enligt Kommunförbundet är ett problem ”hur man ska kunna lösa mella</w:t>
      </w:r>
      <w:r w:rsidRPr="000925A8">
        <w:t>n</w:t>
      </w:r>
      <w:r w:rsidRPr="000925A8">
        <w:t>kommunala konflikter (t.ex. stormarknadsetableringar) och situationer då de samverkande kommunerna har olika ambitionsnivå när det gäller samarb</w:t>
      </w:r>
      <w:r w:rsidRPr="000925A8">
        <w:t>e</w:t>
      </w:r>
      <w:r w:rsidRPr="000925A8">
        <w:t>tet”.</w:t>
      </w:r>
      <w:r w:rsidRPr="000925A8">
        <w:rPr>
          <w:rStyle w:val="Fotnotsreferens"/>
        </w:rPr>
        <w:footnoteReference w:id="79"/>
      </w:r>
    </w:p>
    <w:p w14:paraId="1F63FA49" w14:textId="77777777" w:rsidR="00241093" w:rsidRPr="000925A8" w:rsidRDefault="00241093">
      <w:pPr>
        <w:pStyle w:val="R3"/>
      </w:pPr>
      <w:r w:rsidRPr="000925A8">
        <w:t>Riksdagens revisorers granskning av plan- och byggprocessens längd</w:t>
      </w:r>
    </w:p>
    <w:p w14:paraId="59857266" w14:textId="77777777" w:rsidR="00241093" w:rsidRPr="000925A8" w:rsidRDefault="00241093">
      <w:r w:rsidRPr="000925A8">
        <w:t>Riksdagens revisorer presenterade i juni 2001 en granskning av plan- och byggprocessens längd.</w:t>
      </w:r>
      <w:r w:rsidRPr="000925A8">
        <w:rPr>
          <w:rStyle w:val="Fotnotsreferens"/>
        </w:rPr>
        <w:footnoteReference w:id="80"/>
      </w:r>
      <w:r w:rsidRPr="000925A8">
        <w:t xml:space="preserve"> Av särskilt intresse för denna uppföljning var de iakttagelser som revisorerna gjorde kring länsstyrelsernas roll och dess kop</w:t>
      </w:r>
      <w:r w:rsidRPr="000925A8">
        <w:t>p</w:t>
      </w:r>
      <w:r w:rsidRPr="000925A8">
        <w:t>ling till mellankommunal samordning.</w:t>
      </w:r>
    </w:p>
    <w:p w14:paraId="6F828F83" w14:textId="77777777" w:rsidR="00241093" w:rsidRPr="000925A8" w:rsidRDefault="00241093">
      <w:pPr>
        <w:pStyle w:val="Normaltindrag"/>
      </w:pPr>
      <w:r w:rsidRPr="000925A8">
        <w:t>Genom en enkät till samtliga länsstyrelser framkom att dessa anser att en planering där tyngdpunkten läggs till de tidiga skedena leder till ökade mö</w:t>
      </w:r>
      <w:r w:rsidRPr="000925A8">
        <w:t>j</w:t>
      </w:r>
      <w:r w:rsidRPr="000925A8">
        <w:t>ligheter för</w:t>
      </w:r>
      <w:r w:rsidRPr="000925A8">
        <w:rPr>
          <w:i/>
        </w:rPr>
        <w:t xml:space="preserve"> </w:t>
      </w:r>
      <w:r w:rsidRPr="000925A8">
        <w:t xml:space="preserve">länsstyrelserna att medverka och påverka. Planerna ansågs även bli mer genomarbetade. Detta rimmar väl med lagstiftarens tankegångar och revisorerna drog slutsatsen att länsstyrelsens roll i planeringen, inte minst i de tidiga skedena, är viktig. </w:t>
      </w:r>
    </w:p>
    <w:p w14:paraId="7EC89A55" w14:textId="77777777" w:rsidR="00241093" w:rsidRPr="000925A8" w:rsidRDefault="00241093">
      <w:pPr>
        <w:pStyle w:val="Normaltindrag"/>
      </w:pPr>
      <w:r w:rsidRPr="000925A8">
        <w:t>I enkäten fick länsstyrelserna även ge synpunkter på PBL:s regelverk. Av särskilt intresse för denna uppföljning var att några länsstyrelser angav att det råder tveksamhet om vilka frågor och intressen som egentligen är att betrakta som mellankommuna</w:t>
      </w:r>
      <w:r w:rsidRPr="000925A8">
        <w:t xml:space="preserve">la. Vidare behöver det tydligare anges när och i vilka fall länsstyrelsen kan ingripa. En annan länsstyrelse angav att det var svårt att hävda den mellankommunala samordningen. Revisorerna ansåg att regeringen bör ta initiativ för att klarlägga länsstyrelsernas uppgifter inom området och se till att detta når ut till samtliga länsstyrelser. </w:t>
      </w:r>
    </w:p>
    <w:p w14:paraId="70D5B7EC" w14:textId="77777777" w:rsidR="00241093" w:rsidRPr="000925A8" w:rsidRDefault="00241093">
      <w:pPr>
        <w:pStyle w:val="Normaltindrag"/>
      </w:pPr>
      <w:r w:rsidRPr="000925A8">
        <w:t>Revisorerna konstaterade även att det under granskningen inte hade fra</w:t>
      </w:r>
      <w:r w:rsidRPr="000925A8">
        <w:t>m</w:t>
      </w:r>
      <w:r w:rsidRPr="000925A8">
        <w:t>kommit något som direkt pekade på att kommunernas samarbete med länsst</w:t>
      </w:r>
      <w:r w:rsidRPr="000925A8">
        <w:t>y</w:t>
      </w:r>
      <w:r w:rsidRPr="000925A8">
        <w:t>relsen inte fungerade tillfredsställande. Länsstyrelsen finns att tillgå i de fall kommunen behöver råd. Upparbetade rutiner finns också oftast när det gäller formella samråd m.m. i planarbetet. Vikten av att länsstyrelsen deltar i de tidiga skedena har framhållits från flera håll. Länsstyrelsen ska kunna fungera som en inspiratör och diskussionspartner i den tidiga planeringen. Detta måste dock ställas mot att länsstyrelserna har minsk</w:t>
      </w:r>
      <w:r w:rsidRPr="000925A8">
        <w:t>at sina personella resurser just inom de enheter eller avdelningar som har de löpande kontakterna med ko</w:t>
      </w:r>
      <w:r w:rsidRPr="000925A8">
        <w:t>m</w:t>
      </w:r>
      <w:r w:rsidRPr="000925A8">
        <w:t>munerna i planeringsfrågor. Samtidigt konstaterade revisorerna att länsstyre</w:t>
      </w:r>
      <w:r w:rsidRPr="000925A8">
        <w:t>l</w:t>
      </w:r>
      <w:r w:rsidRPr="000925A8">
        <w:t>serna har genomfört betydande personalnedragningar inom planverksamh</w:t>
      </w:r>
      <w:r w:rsidRPr="000925A8">
        <w:t>e</w:t>
      </w:r>
      <w:r w:rsidRPr="000925A8">
        <w:t xml:space="preserve">ten. </w:t>
      </w:r>
    </w:p>
    <w:p w14:paraId="51FDBB1D" w14:textId="77777777" w:rsidR="00241093" w:rsidRPr="000925A8" w:rsidRDefault="00241093">
      <w:pPr>
        <w:pStyle w:val="Normaltindrag"/>
      </w:pPr>
      <w:r w:rsidRPr="000925A8">
        <w:t>I samband med remissbehandling av rapporten konstaterade Länsstyrelsen i Stockholms län att minskade resurser för länsstyrelsens arbete får en direkt negativ återverkan på tidiga och kontinuerliga kontakter med kommunerna.</w:t>
      </w:r>
      <w:r w:rsidRPr="000925A8">
        <w:rPr>
          <w:rStyle w:val="Fotnotsreferens"/>
        </w:rPr>
        <w:footnoteReference w:id="81"/>
      </w:r>
      <w:r w:rsidRPr="000925A8">
        <w:t xml:space="preserve"> Minskade resurser kan, enligt Riksdagens revisorer, försvåra en aktiv sa</w:t>
      </w:r>
      <w:r w:rsidRPr="000925A8">
        <w:t>m</w:t>
      </w:r>
      <w:r w:rsidRPr="000925A8">
        <w:t>verkan mellan kommunerna och länsstyrelsen. Revisorernas granskning vis</w:t>
      </w:r>
      <w:r w:rsidRPr="000925A8">
        <w:t>a</w:t>
      </w:r>
      <w:r w:rsidRPr="000925A8">
        <w:t xml:space="preserve">de att länsstyrelserna avsätter begränsade resurser till sina kontakter med kommunerna i planeringen. Revisorerna ansåg att detta var oroande och att Regeringskansliet bör följa utvecklingen. </w:t>
      </w:r>
    </w:p>
    <w:p w14:paraId="0E003469" w14:textId="77777777" w:rsidR="00241093" w:rsidRPr="000925A8" w:rsidRDefault="00241093">
      <w:pPr>
        <w:pStyle w:val="Normaltindrag"/>
      </w:pPr>
      <w:r w:rsidRPr="000925A8">
        <w:t>Samtidigt framhöll revisorerna att kommunerna värnar sin självständighet i den fysiska planeringen. Vissa kommuner önskar inte en alltför stor inblan</w:t>
      </w:r>
      <w:r w:rsidRPr="000925A8">
        <w:t>d</w:t>
      </w:r>
      <w:r w:rsidRPr="000925A8">
        <w:t>ning i sitt planarbete. Revisorerna menade att kommunernas positiva instäl</w:t>
      </w:r>
      <w:r w:rsidRPr="000925A8">
        <w:t>l</w:t>
      </w:r>
      <w:r w:rsidRPr="000925A8">
        <w:t>ning till samarbetet möjligen kan hänga samman med en begränsad aktivitet hos länsstyrelserna.</w:t>
      </w:r>
    </w:p>
    <w:p w14:paraId="38E750B3" w14:textId="77777777" w:rsidR="00241093" w:rsidRPr="000925A8" w:rsidRDefault="00241093">
      <w:pPr>
        <w:pStyle w:val="Normaltindrag"/>
      </w:pPr>
      <w:r w:rsidRPr="000925A8">
        <w:t xml:space="preserve"> Revisorerna fann dock att det inte är i samband med den informella tidiga planeringen som länsstyrelsen tycks vara mest aktiv utan i samband med de formella program- och plansamråden. I enkäten svarade flera länsstyrelser att den tidiga planeringen, dvs. programarbetet, ger dem möjlighet till fler ko</w:t>
      </w:r>
      <w:r w:rsidRPr="000925A8">
        <w:t>n</w:t>
      </w:r>
      <w:r w:rsidRPr="000925A8">
        <w:t>takter med kommunerna. På så sätt kan de formaliserade kraven på progra</w:t>
      </w:r>
      <w:r w:rsidRPr="000925A8">
        <w:t>m</w:t>
      </w:r>
      <w:r w:rsidRPr="000925A8">
        <w:t>samråd underlätta länsstyrelsens samverkan med komm</w:t>
      </w:r>
      <w:r w:rsidRPr="000925A8">
        <w:t>u</w:t>
      </w:r>
      <w:r w:rsidRPr="000925A8">
        <w:t>nen.</w:t>
      </w:r>
    </w:p>
    <w:p w14:paraId="1D0FB17B" w14:textId="77777777" w:rsidR="00241093" w:rsidRPr="000925A8" w:rsidRDefault="00241093">
      <w:pPr>
        <w:pStyle w:val="Normaltindrag"/>
      </w:pPr>
      <w:r w:rsidRPr="000925A8">
        <w:t>Revisorernas rapport remissbehandlades under 2001. I sitt remissvar ko</w:t>
      </w:r>
      <w:r w:rsidRPr="000925A8">
        <w:t>n</w:t>
      </w:r>
      <w:r w:rsidRPr="000925A8">
        <w:t>staterade Svenska Kommunförbundet att den mellankommunala samordnin</w:t>
      </w:r>
      <w:r w:rsidRPr="000925A8">
        <w:t>g</w:t>
      </w:r>
      <w:r w:rsidRPr="000925A8">
        <w:t>en inom planeringsområdet inte har någon stark ställning i rådande plan</w:t>
      </w:r>
      <w:r w:rsidRPr="000925A8">
        <w:t>e</w:t>
      </w:r>
      <w:r w:rsidRPr="000925A8">
        <w:t>ringssystem, vare sig i regelverket eller tillämpningen. Kommunförbundet menade att länsstyrelserna borde kunna ta en mer aktiv roll som arenahållare, kunskapsförmedlare och diskussionspartner. Samtidigt framhöll förbundet att man var tveksam till att länsstyrelsernas roll blir alltför formell och preciserad då mellankommunala frågor mer sällan sammanfaller med länsgrä</w:t>
      </w:r>
      <w:r w:rsidRPr="000925A8">
        <w:t>nser.</w:t>
      </w:r>
      <w:r w:rsidRPr="000925A8">
        <w:rPr>
          <w:rStyle w:val="Fotnotsreferens"/>
        </w:rPr>
        <w:footnoteReference w:id="82"/>
      </w:r>
      <w:r w:rsidRPr="000925A8">
        <w:t xml:space="preserve"> Hösten 2001 lade revisorerna fram ett förslag till riksdagen.</w:t>
      </w:r>
      <w:r w:rsidRPr="000925A8">
        <w:rPr>
          <w:rStyle w:val="Fotnotsreferens"/>
        </w:rPr>
        <w:footnoteReference w:id="83"/>
      </w:r>
      <w:r w:rsidRPr="000925A8">
        <w:t xml:space="preserve"> Revisorernas vidhöll sin uppfattning att länsstyrelserna har en viktig roll i den mellanko</w:t>
      </w:r>
      <w:r w:rsidRPr="000925A8">
        <w:t>m</w:t>
      </w:r>
      <w:r w:rsidRPr="000925A8">
        <w:t>munala samordningen och som främjare av det regionala perspektivet i plan</w:t>
      </w:r>
      <w:r w:rsidRPr="000925A8">
        <w:t>e</w:t>
      </w:r>
      <w:r w:rsidRPr="000925A8">
        <w:t>ringen. Revisorerna upprepade därför sitt förslag att regeringen bör ta de initiativ som behövs för att klarlägga länsstyrelsernas uppgifter inom området och se till att detta når ut till samtliga länsstyrelser. Revisorerna ansåg också att regeringen bör uppmärksamma att länsstyrelsen lägger ned allt mindre resurser på kommunala kontakter i pla</w:t>
      </w:r>
      <w:r w:rsidRPr="000925A8">
        <w:t>neringens tidiga skeden. Detta står, enligt revisorernas mening, inte i samklang med PBL:s intentioner. Riksdagen förväntas ta ställning till revisorernas förslag i februari 2002.</w:t>
      </w:r>
    </w:p>
    <w:p w14:paraId="7E1875F9" w14:textId="77777777" w:rsidR="00241093" w:rsidRPr="000925A8" w:rsidRDefault="00241093">
      <w:pPr>
        <w:pStyle w:val="R3"/>
      </w:pPr>
      <w:r w:rsidRPr="000925A8">
        <w:t>Något om Boverkets arbete</w:t>
      </w:r>
    </w:p>
    <w:p w14:paraId="0B72DDCD" w14:textId="77777777" w:rsidR="00241093" w:rsidRPr="000925A8" w:rsidRDefault="00241093">
      <w:pPr>
        <w:pStyle w:val="R4"/>
      </w:pPr>
      <w:r w:rsidRPr="000925A8">
        <w:t>Handböcker och goda exempel</w:t>
      </w:r>
    </w:p>
    <w:p w14:paraId="50B3BD31" w14:textId="77777777" w:rsidR="00241093" w:rsidRPr="000925A8" w:rsidRDefault="00241093">
      <w:pPr>
        <w:spacing w:before="0"/>
      </w:pPr>
      <w:r w:rsidRPr="000925A8">
        <w:t>Boverket har ansvar för den allmänna uppsikten över PBL-väsendet i landet.</w:t>
      </w:r>
      <w:r w:rsidRPr="000925A8">
        <w:rPr>
          <w:rStyle w:val="Fotnotsreferens"/>
        </w:rPr>
        <w:footnoteReference w:id="84"/>
      </w:r>
      <w:r w:rsidRPr="000925A8">
        <w:t xml:space="preserve"> Inom ramen för detta ansvar och med utgångspunkt i den första generationen översiktsplaner, tog Boverket fram en serie rapporter med goda exempel på hantering av olika frågor i översiktsplaneringen. Den regionala dimensionen och behovet av mellankommunal samverkan berörs i flera av dessa rapporter, t.ex. rapporterna om vatten, grus, avfall och kretslopp samt näringsliv. </w:t>
      </w:r>
    </w:p>
    <w:p w14:paraId="1A6DD1BA" w14:textId="77777777" w:rsidR="00241093" w:rsidRPr="000925A8" w:rsidRDefault="00241093">
      <w:pPr>
        <w:pStyle w:val="Normaltindrag"/>
      </w:pPr>
      <w:r w:rsidRPr="000925A8">
        <w:t>Boverket har även tagit fram en handbok för översiktsplanering. I handb</w:t>
      </w:r>
      <w:r w:rsidRPr="000925A8">
        <w:t>o</w:t>
      </w:r>
      <w:r w:rsidRPr="000925A8">
        <w:t>ken behandlas regionala planeringsfrågor bl.a. med särskild hänvisning till länsst</w:t>
      </w:r>
      <w:r w:rsidRPr="000925A8">
        <w:t>y</w:t>
      </w:r>
      <w:r w:rsidRPr="000925A8">
        <w:t>relsernas ansvar.</w:t>
      </w:r>
    </w:p>
    <w:p w14:paraId="021386A5" w14:textId="77777777" w:rsidR="00241093" w:rsidRPr="000925A8" w:rsidRDefault="00241093">
      <w:pPr>
        <w:pStyle w:val="R4"/>
      </w:pPr>
      <w:r w:rsidRPr="000925A8">
        <w:t>Uppföljningar av kommunernas översiktsplanering</w:t>
      </w:r>
    </w:p>
    <w:p w14:paraId="422112A7" w14:textId="77777777" w:rsidR="00241093" w:rsidRPr="000925A8" w:rsidRDefault="00241093">
      <w:pPr>
        <w:spacing w:before="0"/>
      </w:pPr>
      <w:r w:rsidRPr="000925A8">
        <w:t>Boverket gör en årlig uppföljning av översiktsplaneläget i landet. Detta görs i enkätform med hjälp av länsstyrelserna. Till enkäten fogas varje år en fråga om något särskilt tema. Vid det senaste tillfället gällde denna fråga mella</w:t>
      </w:r>
      <w:r w:rsidRPr="000925A8">
        <w:t>n</w:t>
      </w:r>
      <w:r w:rsidRPr="000925A8">
        <w:t>kommunal samverkan i översiktsplanearbetet. Boverket har ännu inte sa</w:t>
      </w:r>
      <w:r w:rsidRPr="000925A8">
        <w:t>m</w:t>
      </w:r>
      <w:r w:rsidRPr="000925A8">
        <w:t>manställt svaren på frågan, men det förväntas ske under våren 2002.</w:t>
      </w:r>
    </w:p>
    <w:p w14:paraId="09D558AE" w14:textId="77777777" w:rsidR="00241093" w:rsidRPr="000925A8" w:rsidRDefault="00241093">
      <w:pPr>
        <w:pStyle w:val="R4"/>
      </w:pPr>
      <w:r w:rsidRPr="000925A8">
        <w:t>Tretton utmaningar för den fysiska samhäll</w:t>
      </w:r>
      <w:r w:rsidRPr="000925A8">
        <w:t>s</w:t>
      </w:r>
      <w:r w:rsidRPr="000925A8">
        <w:t>planeringen</w:t>
      </w:r>
    </w:p>
    <w:p w14:paraId="58B7C4AE" w14:textId="77777777" w:rsidR="00241093" w:rsidRPr="000925A8" w:rsidRDefault="00241093">
      <w:pPr>
        <w:spacing w:before="0"/>
      </w:pPr>
      <w:r w:rsidRPr="000925A8">
        <w:t>På uppdrag av regeringen har Boverket utvecklat en strategi för en integrerad syn på planering och hushållning med naturresurser. Strategin består av tre</w:t>
      </w:r>
      <w:r w:rsidRPr="000925A8">
        <w:t>t</w:t>
      </w:r>
      <w:r w:rsidRPr="000925A8">
        <w:t xml:space="preserve">ton utmaningar för den fysiska samhällsplaneringen med tillhörande förslag till åtgärder för att möta respektive åtgärd. </w:t>
      </w:r>
    </w:p>
    <w:p w14:paraId="1D012D44" w14:textId="77777777" w:rsidR="00241093" w:rsidRPr="000925A8" w:rsidRDefault="00241093">
      <w:pPr>
        <w:pStyle w:val="Normaltindrag"/>
      </w:pPr>
      <w:r w:rsidRPr="000925A8">
        <w:t>En av de utmaningar som Boverket lyfte fram var samverkan över adm</w:t>
      </w:r>
      <w:r w:rsidRPr="000925A8">
        <w:t>i</w:t>
      </w:r>
      <w:r w:rsidRPr="000925A8">
        <w:t>nistrativa gränser. Boverket spår att behovet av mellankommunal samverkan över större geografiska områden kommer att öka. Man konstaterade vidare att de regionala tillväxtavtal som har upprättats bl.a. är exempel på mellanko</w:t>
      </w:r>
      <w:r w:rsidRPr="000925A8">
        <w:t>m</w:t>
      </w:r>
      <w:r w:rsidRPr="000925A8">
        <w:t>munal samverkan. Även om dessa i princip handlar om regional näringsmä</w:t>
      </w:r>
      <w:r w:rsidRPr="000925A8">
        <w:t>s</w:t>
      </w:r>
      <w:r w:rsidRPr="000925A8">
        <w:t>sig och ekonomisk utveckling kan de, enligt Boverket, utvecklas till att o</w:t>
      </w:r>
      <w:r w:rsidRPr="000925A8">
        <w:t>m</w:t>
      </w:r>
      <w:r w:rsidRPr="000925A8">
        <w:t>fatta även andra planeringsfrågor. Boverket menar att principen om partne</w:t>
      </w:r>
      <w:r w:rsidRPr="000925A8">
        <w:t>r</w:t>
      </w:r>
      <w:r w:rsidRPr="000925A8">
        <w:t>skap bör vara vägledande för mellankommunala samverkansprojekt.</w:t>
      </w:r>
      <w:r w:rsidRPr="000925A8">
        <w:rPr>
          <w:rStyle w:val="Fotnotsreferens"/>
        </w:rPr>
        <w:footnoteReference w:id="85"/>
      </w:r>
    </w:p>
    <w:p w14:paraId="51324C50" w14:textId="77777777" w:rsidR="00241093" w:rsidRPr="000925A8" w:rsidRDefault="00241093">
      <w:pPr>
        <w:pStyle w:val="Normaltindrag"/>
      </w:pPr>
      <w:r w:rsidRPr="000925A8">
        <w:t>En annan fråga som Boverket såg som en utmaning, inte minst för länsst</w:t>
      </w:r>
      <w:r w:rsidRPr="000925A8">
        <w:t>y</w:t>
      </w:r>
      <w:r w:rsidRPr="000925A8">
        <w:t>relserna, var miljöfrågorna. Boverket framhöll bl.a. att den typ av kretslopp</w:t>
      </w:r>
      <w:r w:rsidRPr="000925A8">
        <w:t>s</w:t>
      </w:r>
      <w:r w:rsidRPr="000925A8">
        <w:t>samhälle som växer fram i samspelet mellan städerna och deras omland stä</w:t>
      </w:r>
      <w:r w:rsidRPr="000925A8">
        <w:t>l</w:t>
      </w:r>
      <w:r w:rsidRPr="000925A8">
        <w:t>ler krav på mellankommunal samverkan kring planerings- och markanvän</w:t>
      </w:r>
      <w:r w:rsidRPr="000925A8">
        <w:t>d</w:t>
      </w:r>
      <w:r w:rsidRPr="000925A8">
        <w:t xml:space="preserve">ningsfrågor. </w:t>
      </w:r>
    </w:p>
    <w:p w14:paraId="11A68543" w14:textId="77777777" w:rsidR="00241093" w:rsidRPr="000925A8" w:rsidRDefault="00241093">
      <w:pPr>
        <w:pStyle w:val="Normaltindrag"/>
      </w:pPr>
      <w:r w:rsidRPr="000925A8">
        <w:t>Boverket menade att utmaningen ”samverkan över administrativa gränser” bl.a. kan mötas genom en uppmuntran av samverkan mellan kommuner i samma region för att vidga de lokala bostads- och arbetsmarknaderna samt genom stöd till mellankommunal samverkan kring storskaliga kretslo</w:t>
      </w:r>
      <w:r w:rsidRPr="000925A8">
        <w:t>ppslö</w:t>
      </w:r>
      <w:r w:rsidRPr="000925A8">
        <w:t>s</w:t>
      </w:r>
      <w:r w:rsidRPr="000925A8">
        <w:t>ningar. Vidare förordade man en förstärkning av dialogen mellan den nati</w:t>
      </w:r>
      <w:r w:rsidRPr="000925A8">
        <w:t>o</w:t>
      </w:r>
      <w:r w:rsidRPr="000925A8">
        <w:t>nella, regionala och lokala nivån beträffande regionala och mellankommunala planeringsfrågor.</w:t>
      </w:r>
    </w:p>
    <w:p w14:paraId="3C5319E8" w14:textId="77777777" w:rsidR="00241093" w:rsidRPr="000925A8" w:rsidRDefault="00241093">
      <w:pPr>
        <w:pStyle w:val="R4"/>
      </w:pPr>
      <w:r w:rsidRPr="000925A8">
        <w:t>Miljöinriktad fysisk planering</w:t>
      </w:r>
    </w:p>
    <w:p w14:paraId="5B15A675" w14:textId="77777777" w:rsidR="00241093" w:rsidRPr="000925A8" w:rsidRDefault="00241093">
      <w:pPr>
        <w:spacing w:before="0"/>
      </w:pPr>
      <w:r w:rsidRPr="000925A8">
        <w:t>Under slutet av 1990-talet bedrev fler myndigheter i samverkan ett omfatta</w:t>
      </w:r>
      <w:r w:rsidRPr="000925A8">
        <w:t>n</w:t>
      </w:r>
      <w:r w:rsidRPr="000925A8">
        <w:t>de projekt om miljöinriktad fysisk planering. Projektet Samhällsplanering med miljömål i Sverige (SAMS) resulterade i flera rapporter. I en av dessa behandlas bl.a. frågor om samarbete i miljöinriktad fysisk planering:</w:t>
      </w:r>
    </w:p>
    <w:p w14:paraId="689FB3CA" w14:textId="77777777" w:rsidR="00241093" w:rsidRPr="000925A8" w:rsidRDefault="00241093">
      <w:pPr>
        <w:pStyle w:val="Citat"/>
      </w:pPr>
      <w:r w:rsidRPr="000925A8">
        <w:t>Den översiktliga fysiska planeringen måste också sätta in kommunen i ett regionalt perspektiv, ofta även i ett ännu vidare omvärldsperspektiv. De övergripande fysiska strukturerna formas och förändras på nationell och regional nivå. Dessa strukturer återverkar ofta på den lokala miljön. Dä</w:t>
      </w:r>
      <w:r w:rsidRPr="000925A8">
        <w:t>r</w:t>
      </w:r>
      <w:r w:rsidRPr="000925A8">
        <w:t>för måste samarbete ske och sker också i ökande utsträckning över ko</w:t>
      </w:r>
      <w:r w:rsidRPr="000925A8">
        <w:t>m</w:t>
      </w:r>
      <w:r w:rsidRPr="000925A8">
        <w:t>mungränser och andra gränser.</w:t>
      </w:r>
      <w:r w:rsidRPr="000925A8">
        <w:rPr>
          <w:rStyle w:val="Fotnotsreferens"/>
          <w:i/>
          <w:sz w:val="20"/>
        </w:rPr>
        <w:footnoteReference w:id="86"/>
      </w:r>
    </w:p>
    <w:p w14:paraId="51C12BB1" w14:textId="77777777" w:rsidR="00241093" w:rsidRPr="000925A8" w:rsidRDefault="00241093">
      <w:r w:rsidRPr="000925A8">
        <w:t>Slutsatsen var att mellankommunala och regionala planeringsinstrument och samarbetsformer kan behöva utvecklas.</w:t>
      </w:r>
      <w:r w:rsidRPr="000925A8">
        <w:rPr>
          <w:rStyle w:val="Fotnotsreferens"/>
        </w:rPr>
        <w:footnoteReference w:id="87"/>
      </w:r>
      <w:r w:rsidRPr="000925A8">
        <w:t xml:space="preserve"> </w:t>
      </w:r>
    </w:p>
    <w:p w14:paraId="7AB600EF" w14:textId="77777777" w:rsidR="00241093" w:rsidRPr="000925A8" w:rsidRDefault="00241093">
      <w:pPr>
        <w:pStyle w:val="Normaltindrag"/>
      </w:pPr>
      <w:r w:rsidRPr="000925A8">
        <w:t>I den regionalpolitiska propositionen framgår att regeringen har för avsikt att ge</w:t>
      </w:r>
      <w:r w:rsidRPr="000925A8">
        <w:rPr>
          <w:b/>
        </w:rPr>
        <w:t xml:space="preserve"> </w:t>
      </w:r>
      <w:r w:rsidRPr="000925A8">
        <w:t>Naturvårdsverket i uppdrag att bl.a. redovisa behov av och förutsät</w:t>
      </w:r>
      <w:r w:rsidRPr="000925A8">
        <w:t>t</w:t>
      </w:r>
      <w:r w:rsidRPr="000925A8">
        <w:t>ningar för att samordna och redovisa kunskapsunderlag om miljö- och resur</w:t>
      </w:r>
      <w:r w:rsidRPr="000925A8">
        <w:t>s</w:t>
      </w:r>
      <w:r w:rsidRPr="000925A8">
        <w:t>hushållningsfrågor på regional nivå samt att stödja länsstyrelsernas arbete. Detta arbete ska ske i samverkan med länsstyrelserna och andra berörda my</w:t>
      </w:r>
      <w:r w:rsidRPr="000925A8">
        <w:t>n</w:t>
      </w:r>
      <w:r w:rsidRPr="000925A8">
        <w:t>digh</w:t>
      </w:r>
      <w:r w:rsidRPr="000925A8">
        <w:t>e</w:t>
      </w:r>
      <w:r w:rsidRPr="000925A8">
        <w:t>ter.</w:t>
      </w:r>
      <w:r w:rsidRPr="000925A8">
        <w:rPr>
          <w:rStyle w:val="Fotnotsreferens"/>
        </w:rPr>
        <w:footnoteReference w:id="88"/>
      </w:r>
    </w:p>
    <w:p w14:paraId="334ED6A6" w14:textId="77777777" w:rsidR="00241093" w:rsidRPr="000925A8" w:rsidRDefault="00241093">
      <w:pPr>
        <w:pStyle w:val="R4"/>
      </w:pPr>
      <w:r w:rsidRPr="000925A8">
        <w:t>Regeringens aviserade översyn av PBL</w:t>
      </w:r>
    </w:p>
    <w:p w14:paraId="728D61AA" w14:textId="77777777" w:rsidR="00241093" w:rsidRPr="000925A8" w:rsidRDefault="00241093">
      <w:pPr>
        <w:spacing w:before="0"/>
      </w:pPr>
      <w:r w:rsidRPr="000925A8">
        <w:t>I miljömålspropositionen föreslår regeringen ett delmål avseende planering</w:t>
      </w:r>
      <w:r w:rsidRPr="000925A8">
        <w:t>s</w:t>
      </w:r>
      <w:r w:rsidRPr="000925A8">
        <w:t>underlag för miljömålet God bebyggd miljö. Delmålet innebär att den fysiska planeringen och samhällsbyggandet senast 2010 ska grundas på program och strategier för frågor om miljöanpassade trans</w:t>
      </w:r>
      <w:r w:rsidRPr="000925A8">
        <w:softHyphen/>
        <w:t>porter, natur- och kulturvärden och miljöanpassad energiförsörjning. Detta kan ge underlag och utgång</w:t>
      </w:r>
      <w:r w:rsidRPr="000925A8">
        <w:t>s</w:t>
      </w:r>
      <w:r w:rsidRPr="000925A8">
        <w:t>punkter för samordning mellan olika samhällssektorer och samverkan mellan berörda aktörer. Regeringen föreslog vidare att PBL ska ses över så att den bättre främjar en långsiktigt hållbar utveckling.</w:t>
      </w:r>
      <w:r w:rsidRPr="000925A8">
        <w:rPr>
          <w:rStyle w:val="Fotnotsreferens"/>
        </w:rPr>
        <w:footnoteReference w:id="89"/>
      </w:r>
      <w:r w:rsidRPr="000925A8">
        <w:t xml:space="preserve"> </w:t>
      </w:r>
    </w:p>
    <w:p w14:paraId="34E89BE9" w14:textId="77777777" w:rsidR="00241093" w:rsidRPr="000925A8" w:rsidRDefault="00241093">
      <w:pPr>
        <w:pStyle w:val="Normaltindrag"/>
      </w:pPr>
      <w:r w:rsidRPr="000925A8">
        <w:t xml:space="preserve"> Behovet av en PBL-översyn aktualiserades även inom ramen för regerin</w:t>
      </w:r>
      <w:r w:rsidRPr="000925A8">
        <w:t>g</w:t>
      </w:r>
      <w:r w:rsidRPr="000925A8">
        <w:t>ens klimatarbete. Enligt Klimatkommittén ger PBL:s ramkaraktär, och det tolkningsutrymme som den ger kommunerna, inte ett tillräckligt starkt stöd för den långsiktiga klimatpolitiken.</w:t>
      </w:r>
      <w:r w:rsidRPr="000925A8">
        <w:rPr>
          <w:rStyle w:val="Fotnotsreferens"/>
        </w:rPr>
        <w:footnoteReference w:id="90"/>
      </w:r>
      <w:r w:rsidRPr="000925A8">
        <w:t xml:space="preserve"> Klimatkommittén föreslog därför en översyn av PBL med inriktning på att lagen ska styra på ett ekologiskt hål</w:t>
      </w:r>
      <w:r w:rsidRPr="000925A8">
        <w:t>l</w:t>
      </w:r>
      <w:r w:rsidRPr="000925A8">
        <w:t xml:space="preserve">bart sätt där klimat- och energihushållning är högt prioriterade frågor. </w:t>
      </w:r>
    </w:p>
    <w:p w14:paraId="5AB21BE0" w14:textId="77777777" w:rsidR="00241093" w:rsidRPr="000925A8" w:rsidRDefault="00241093">
      <w:pPr>
        <w:pStyle w:val="Normaltindrag"/>
      </w:pPr>
      <w:r w:rsidRPr="000925A8">
        <w:t>I den under hösten 2001 presenterade svenska klimatstrategin framhåller regeringen att den fysiska planeringen även är ett viktigt instrument i den långsiktiga klimatpolitiken. Planeringen inom kommuner och regioner måste, enligt regeringens uppfattning, förbättras och samordnas för att nå en önskad hållbar utveckling. I sitt</w:t>
      </w:r>
      <w:r w:rsidRPr="000925A8">
        <w:t xml:space="preserve"> förslag till klimatstrategi framhöll regeringen att man närmare kommer att pröva förutsättningarna för att utveckla en ny modell för samordnad planering för ett hållbart samhällsbyggande. Vidare fastslog r</w:t>
      </w:r>
      <w:r w:rsidRPr="000925A8">
        <w:t>e</w:t>
      </w:r>
      <w:r w:rsidRPr="000925A8">
        <w:t>geringen att man i den tidigare aviserade översynen av PBL avser att inklud</w:t>
      </w:r>
      <w:r w:rsidRPr="000925A8">
        <w:t>e</w:t>
      </w:r>
      <w:r w:rsidRPr="000925A8">
        <w:t>ra frågan om externa köpcentrum för dagligvaruhandel (se vidare nedan).</w:t>
      </w:r>
      <w:r w:rsidRPr="000925A8">
        <w:rPr>
          <w:rStyle w:val="Fotnotsreferens"/>
        </w:rPr>
        <w:footnoteReference w:id="91"/>
      </w:r>
      <w:r w:rsidRPr="000925A8">
        <w:t xml:space="preserve"> </w:t>
      </w:r>
    </w:p>
    <w:p w14:paraId="7DE43F3B" w14:textId="77777777" w:rsidR="00241093" w:rsidRPr="000925A8" w:rsidRDefault="00241093">
      <w:pPr>
        <w:pStyle w:val="Normaltindrag"/>
      </w:pPr>
      <w:r w:rsidRPr="000925A8">
        <w:t>Enligt uppgift från Miljödepartementet utarbetas för närvarande direktiv till den aviserade PBL-översynen.</w:t>
      </w:r>
    </w:p>
    <w:p w14:paraId="385AB8FD" w14:textId="77777777" w:rsidR="00241093" w:rsidRPr="000925A8" w:rsidRDefault="00241093"/>
    <w:p w14:paraId="0B7793CF" w14:textId="77777777" w:rsidR="00241093" w:rsidRPr="000925A8" w:rsidRDefault="00241093">
      <w:pPr>
        <w:pStyle w:val="Rubrik2"/>
        <w:spacing w:before="0"/>
      </w:pPr>
      <w:r w:rsidRPr="000925A8">
        <w:br w:type="page"/>
      </w:r>
      <w:bookmarkStart w:id="92" w:name="_Toc4898246"/>
      <w:r w:rsidRPr="000925A8">
        <w:t>5 Länsstyrelsernas syn på mellankommunal samordning och sin egen roll i det sammanhanget</w:t>
      </w:r>
      <w:bookmarkEnd w:id="92"/>
    </w:p>
    <w:p w14:paraId="056E3422" w14:textId="77777777" w:rsidR="00241093" w:rsidRPr="000925A8" w:rsidRDefault="00241093">
      <w:pPr>
        <w:pStyle w:val="R3"/>
      </w:pPr>
      <w:r w:rsidRPr="000925A8">
        <w:t>Inledning</w:t>
      </w:r>
    </w:p>
    <w:p w14:paraId="6FD2BE36" w14:textId="77777777" w:rsidR="00241093" w:rsidRPr="000925A8" w:rsidRDefault="00241093">
      <w:r w:rsidRPr="000925A8">
        <w:t>Inom ramen för denna studie har en enkät skickats till samtliga länsstyrelser.</w:t>
      </w:r>
      <w:r w:rsidRPr="000925A8">
        <w:rPr>
          <w:rStyle w:val="Fotnotsreferens"/>
        </w:rPr>
        <w:footnoteReference w:id="92"/>
      </w:r>
      <w:r w:rsidRPr="000925A8">
        <w:t xml:space="preserve"> Enkäten innehåller främst frågor om prövningar enligt 12 kap. 1 § PBL, men även frågor där länsstyrelserna ges möjlighet att lämna mer allmänna sy</w:t>
      </w:r>
      <w:r w:rsidRPr="000925A8">
        <w:t>n</w:t>
      </w:r>
      <w:r w:rsidRPr="000925A8">
        <w:t>punkter på hur de arbetar med mellankommunala PBL-frågor. Enkäten besv</w:t>
      </w:r>
      <w:r w:rsidRPr="000925A8">
        <w:t>a</w:t>
      </w:r>
      <w:r w:rsidRPr="000925A8">
        <w:t>rades av samtliga länsstyrelser.</w:t>
      </w:r>
      <w:r w:rsidRPr="000925A8">
        <w:rPr>
          <w:rStyle w:val="Fotnotsreferens"/>
        </w:rPr>
        <w:footnoteReference w:id="93"/>
      </w:r>
      <w:r w:rsidRPr="000925A8">
        <w:t xml:space="preserve"> </w:t>
      </w:r>
    </w:p>
    <w:p w14:paraId="02D810DC" w14:textId="77777777" w:rsidR="00241093" w:rsidRPr="000925A8" w:rsidRDefault="00241093">
      <w:pPr>
        <w:pStyle w:val="Normaltindrag"/>
      </w:pPr>
      <w:r w:rsidRPr="000925A8">
        <w:t>Utöver enkäterna har Länsstyrelserna i Stockholms, Skåne, Västra Göt</w:t>
      </w:r>
      <w:r w:rsidRPr="000925A8">
        <w:t>a</w:t>
      </w:r>
      <w:r w:rsidRPr="000925A8">
        <w:t>lands, Blekinge, Södermanlands och Uppsala län besökts. Vid dessa tillfällen har vanligen länsarkitekten och någon ytterligare person som arbetar med mella</w:t>
      </w:r>
      <w:r w:rsidRPr="000925A8">
        <w:t>n</w:t>
      </w:r>
      <w:r w:rsidRPr="000925A8">
        <w:t>kommunala PBL-frågor intervjuats.</w:t>
      </w:r>
    </w:p>
    <w:p w14:paraId="360B897C" w14:textId="77777777" w:rsidR="00241093" w:rsidRPr="000925A8" w:rsidRDefault="00241093">
      <w:pPr>
        <w:pStyle w:val="R3"/>
      </w:pPr>
      <w:r w:rsidRPr="000925A8">
        <w:t>Länsstyrelsernas allmänna uppfattningar</w:t>
      </w:r>
    </w:p>
    <w:p w14:paraId="73A6316A" w14:textId="77777777" w:rsidR="00241093" w:rsidRPr="000925A8" w:rsidRDefault="00241093">
      <w:r w:rsidRPr="000925A8">
        <w:t>I enkäten fick länsstyrelserna ta ställning till ett antal påståenden om sin syn på mellankommunal samordning inom PBL-området. Påståendena avsåg bl.a. länsstyrelsernas uppfattning om sin egen roll i dessa sammanhang. I figurerna 5.1–5.3 redovisas länsstyrelsernas ställningstaganden till påståendena. Som svarsalternativ har sjugradiga skalor med ytterlighetsvärdena ”instämmer inte alls” och ”instämmer helt” a</w:t>
      </w:r>
      <w:r w:rsidRPr="000925A8">
        <w:t>n</w:t>
      </w:r>
      <w:r w:rsidRPr="000925A8">
        <w:t>vänts.</w:t>
      </w:r>
    </w:p>
    <w:p w14:paraId="49C29868" w14:textId="77777777" w:rsidR="00241093" w:rsidRPr="000925A8" w:rsidRDefault="00241093"/>
    <w:p w14:paraId="495DB302" w14:textId="77777777" w:rsidR="00241093" w:rsidRPr="000925A8" w:rsidRDefault="00241093"/>
    <w:p w14:paraId="2AA93CC7" w14:textId="0072CA78" w:rsidR="00241093" w:rsidRPr="000925A8" w:rsidRDefault="000925A8">
      <w:pPr>
        <w:jc w:val="center"/>
      </w:pPr>
      <w:r w:rsidRPr="000925A8">
        <w:rPr>
          <w:noProof/>
        </w:rPr>
        <w:drawing>
          <wp:inline distT="0" distB="0" distL="0" distR="0" wp14:anchorId="6E3EC44F" wp14:editId="5293856F">
            <wp:extent cx="3755390" cy="21932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755390" cy="2193290"/>
                    </a:xfrm>
                    <a:prstGeom prst="rect">
                      <a:avLst/>
                    </a:prstGeom>
                    <a:noFill/>
                    <a:ln>
                      <a:noFill/>
                    </a:ln>
                  </pic:spPr>
                </pic:pic>
              </a:graphicData>
            </a:graphic>
          </wp:inline>
        </w:drawing>
      </w:r>
    </w:p>
    <w:p w14:paraId="398D6B18" w14:textId="77777777" w:rsidR="00241093" w:rsidRPr="000925A8" w:rsidRDefault="00241093">
      <w:r w:rsidRPr="000925A8">
        <w:t>Av figur 5.1 framgår att fem länsstyrelser anser att kommunerna vanligen hanterar den mellankommunala samordningen utan länsstyrelsens direkta medverkan (anger värden &gt; fyra).</w:t>
      </w:r>
      <w:r w:rsidRPr="000925A8">
        <w:rPr>
          <w:rStyle w:val="Fotnotsreferens"/>
        </w:rPr>
        <w:footnoteReference w:id="94"/>
      </w:r>
      <w:r w:rsidRPr="000925A8">
        <w:t xml:space="preserve"> Motsatt uppfattning redovisas av länsst</w:t>
      </w:r>
      <w:r w:rsidRPr="000925A8">
        <w:t>y</w:t>
      </w:r>
      <w:r w:rsidRPr="000925A8">
        <w:t>relserna i N (värdet ett), C och U län (värdet två). Medelvärdet för samtliga länsstyrelser var 3,6.</w:t>
      </w:r>
    </w:p>
    <w:p w14:paraId="01525888" w14:textId="03163511" w:rsidR="00241093" w:rsidRPr="000925A8" w:rsidRDefault="000925A8">
      <w:pPr>
        <w:jc w:val="center"/>
      </w:pPr>
      <w:r w:rsidRPr="000925A8">
        <w:rPr>
          <w:noProof/>
        </w:rPr>
        <w:drawing>
          <wp:inline distT="0" distB="0" distL="0" distR="0" wp14:anchorId="78FE0CD9" wp14:editId="2267CC52">
            <wp:extent cx="3679190" cy="22421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679190" cy="2242185"/>
                    </a:xfrm>
                    <a:prstGeom prst="rect">
                      <a:avLst/>
                    </a:prstGeom>
                    <a:noFill/>
                    <a:ln>
                      <a:noFill/>
                    </a:ln>
                  </pic:spPr>
                </pic:pic>
              </a:graphicData>
            </a:graphic>
          </wp:inline>
        </w:drawing>
      </w:r>
    </w:p>
    <w:p w14:paraId="4F1B0098" w14:textId="77777777" w:rsidR="00241093" w:rsidRPr="000925A8" w:rsidRDefault="00241093">
      <w:r w:rsidRPr="000925A8">
        <w:t>Av figur 5.2 framgår att det är nästan lika många länsstyrelser som instämmer i påståendet att länsstyrelsens roll i samband med mellankommunala planfr</w:t>
      </w:r>
      <w:r w:rsidRPr="000925A8">
        <w:t>å</w:t>
      </w:r>
      <w:r w:rsidRPr="000925A8">
        <w:t>gor främst är att fungera som en medlare då kommuner inte kan komma öve</w:t>
      </w:r>
      <w:r w:rsidRPr="000925A8">
        <w:t>r</w:t>
      </w:r>
      <w:r w:rsidRPr="000925A8">
        <w:t>ens (har angivit ett värde &gt; fyra) som inte instämmer i det påståendet (har angivit ett värde &lt; fyra). Medelvärdet för samtliga länsstyrelser (3,9) hamn</w:t>
      </w:r>
      <w:r w:rsidRPr="000925A8">
        <w:t>a</w:t>
      </w:r>
      <w:r w:rsidRPr="000925A8">
        <w:t>de också nära mitten på skalan.</w:t>
      </w:r>
      <w:r w:rsidRPr="000925A8">
        <w:rPr>
          <w:rStyle w:val="Fotnotsreferens"/>
        </w:rPr>
        <w:footnoteReference w:id="95"/>
      </w:r>
    </w:p>
    <w:p w14:paraId="59F2A0FC" w14:textId="4E6DA369" w:rsidR="00241093" w:rsidRPr="000925A8" w:rsidRDefault="000925A8">
      <w:pPr>
        <w:jc w:val="center"/>
      </w:pPr>
      <w:r w:rsidRPr="000925A8">
        <w:rPr>
          <w:noProof/>
        </w:rPr>
        <w:drawing>
          <wp:inline distT="0" distB="0" distL="0" distR="0" wp14:anchorId="453FCE4D" wp14:editId="0EA7978D">
            <wp:extent cx="3679190" cy="21824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79190" cy="2182495"/>
                    </a:xfrm>
                    <a:prstGeom prst="rect">
                      <a:avLst/>
                    </a:prstGeom>
                    <a:noFill/>
                    <a:ln>
                      <a:noFill/>
                    </a:ln>
                  </pic:spPr>
                </pic:pic>
              </a:graphicData>
            </a:graphic>
          </wp:inline>
        </w:drawing>
      </w:r>
    </w:p>
    <w:p w14:paraId="4C16B9B7" w14:textId="77777777" w:rsidR="00241093" w:rsidRPr="000925A8" w:rsidRDefault="00241093">
      <w:r w:rsidRPr="000925A8">
        <w:t>Av figuren framgår att en klar majoritet (15 st) av länsstyrelserna anser att länsstyrelsens roll i samband med mellankommunala planfrågor främst är att tillhandahålla kunskap om vilka frågor som kräver mellankommunal samor</w:t>
      </w:r>
      <w:r w:rsidRPr="000925A8">
        <w:t>d</w:t>
      </w:r>
      <w:r w:rsidRPr="000925A8">
        <w:t>ning (anger värden &gt; fyra). Medelvärdet blir också högre än för de båda för</w:t>
      </w:r>
      <w:r w:rsidRPr="000925A8">
        <w:t>e</w:t>
      </w:r>
      <w:r w:rsidRPr="000925A8">
        <w:t>gående påståendena (5,2). Länsstyrelserna betraktar således sin roll som fö</w:t>
      </w:r>
      <w:r w:rsidRPr="000925A8">
        <w:t>r</w:t>
      </w:r>
      <w:r w:rsidRPr="000925A8">
        <w:t>medlare av kunskap om vilka frågor som kräver mellankommunal samor</w:t>
      </w:r>
      <w:r w:rsidRPr="000925A8">
        <w:t>d</w:t>
      </w:r>
      <w:r w:rsidRPr="000925A8">
        <w:t>ning som den vikt</w:t>
      </w:r>
      <w:r w:rsidRPr="000925A8">
        <w:t>i</w:t>
      </w:r>
      <w:r w:rsidRPr="000925A8">
        <w:t>gaste.</w:t>
      </w:r>
      <w:r w:rsidRPr="000925A8">
        <w:rPr>
          <w:rStyle w:val="Fotnotsreferens"/>
        </w:rPr>
        <w:footnoteReference w:id="96"/>
      </w:r>
    </w:p>
    <w:p w14:paraId="1EDF76FA" w14:textId="77777777" w:rsidR="00241093" w:rsidRPr="000925A8" w:rsidRDefault="00241093">
      <w:pPr>
        <w:pStyle w:val="R3"/>
      </w:pPr>
      <w:r w:rsidRPr="000925A8">
        <w:t>Översiktsplaneringen</w:t>
      </w:r>
    </w:p>
    <w:p w14:paraId="7DE411F5" w14:textId="77777777" w:rsidR="00241093" w:rsidRPr="000925A8" w:rsidRDefault="00241093">
      <w:pPr>
        <w:pStyle w:val="R4"/>
      </w:pPr>
      <w:r w:rsidRPr="000925A8">
        <w:t>Program- och samrådsskedet</w:t>
      </w:r>
    </w:p>
    <w:p w14:paraId="3191EC99" w14:textId="77777777" w:rsidR="00241093" w:rsidRPr="000925A8" w:rsidRDefault="00241093">
      <w:pPr>
        <w:spacing w:before="0"/>
      </w:pPr>
      <w:r w:rsidRPr="000925A8">
        <w:t>Länsstyrelserna ombads att ange i vilken omfattning mellankommunala frågor diskuteras i länsstyrelsens kontakter med kommunerna under olika faser av översiktsplaneringen (se tabell 5.1). Svarsalternativen utgjorde värden på en skala mellan 1 och 7 där ytterlighetsvärdena motsvarade ”mycket liten o</w:t>
      </w:r>
      <w:r w:rsidRPr="000925A8">
        <w:t>m</w:t>
      </w:r>
      <w:r w:rsidRPr="000925A8">
        <w:t>fattning” respektive ”mycket stor omfattning”.</w:t>
      </w:r>
    </w:p>
    <w:p w14:paraId="462E8884" w14:textId="77777777" w:rsidR="00241093" w:rsidRPr="000925A8" w:rsidRDefault="00241093">
      <w:pPr>
        <w:pStyle w:val="Brdtext"/>
        <w:spacing w:after="0"/>
        <w:rPr>
          <w:b/>
          <w:color w:val="auto"/>
          <w:sz w:val="20"/>
        </w:rPr>
      </w:pPr>
    </w:p>
    <w:p w14:paraId="02380F1E" w14:textId="77777777" w:rsidR="00241093" w:rsidRPr="000925A8" w:rsidRDefault="00241093">
      <w:pPr>
        <w:pStyle w:val="Brdtext"/>
        <w:spacing w:after="0"/>
        <w:rPr>
          <w:color w:val="auto"/>
          <w:sz w:val="20"/>
        </w:rPr>
      </w:pPr>
      <w:r w:rsidRPr="000925A8">
        <w:rPr>
          <w:b/>
          <w:color w:val="auto"/>
          <w:sz w:val="20"/>
        </w:rPr>
        <w:t>Tabell 5.1:</w:t>
      </w:r>
      <w:r w:rsidRPr="000925A8">
        <w:rPr>
          <w:color w:val="auto"/>
          <w:sz w:val="20"/>
        </w:rPr>
        <w:t xml:space="preserve"> Länsstyrelsernas arbete med mellankommunala frågor under översiktsplan</w:t>
      </w:r>
      <w:r w:rsidRPr="000925A8">
        <w:rPr>
          <w:color w:val="auto"/>
          <w:sz w:val="20"/>
        </w:rPr>
        <w:t>e</w:t>
      </w:r>
      <w:r w:rsidRPr="000925A8">
        <w:rPr>
          <w:color w:val="auto"/>
          <w:sz w:val="20"/>
        </w:rPr>
        <w:t>ringen</w:t>
      </w: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3402"/>
        <w:gridCol w:w="709"/>
        <w:gridCol w:w="567"/>
        <w:gridCol w:w="567"/>
        <w:gridCol w:w="709"/>
      </w:tblGrid>
      <w:tr w:rsidR="00000000" w:rsidRPr="000925A8" w14:paraId="5CFD6649" w14:textId="77777777">
        <w:tblPrEx>
          <w:tblCellMar>
            <w:top w:w="0" w:type="dxa"/>
            <w:bottom w:w="0" w:type="dxa"/>
          </w:tblCellMar>
        </w:tblPrEx>
        <w:tc>
          <w:tcPr>
            <w:tcW w:w="3402" w:type="dxa"/>
          </w:tcPr>
          <w:p w14:paraId="3BA8993D" w14:textId="77777777" w:rsidR="00241093" w:rsidRPr="000925A8" w:rsidRDefault="00241093">
            <w:pPr>
              <w:spacing w:before="0" w:line="220" w:lineRule="exact"/>
              <w:jc w:val="left"/>
              <w:rPr>
                <w:sz w:val="16"/>
              </w:rPr>
            </w:pPr>
            <w:r w:rsidRPr="000925A8">
              <w:rPr>
                <w:sz w:val="16"/>
              </w:rPr>
              <w:t>I vilken genomsnittlig omfattning (relativt övriga frågor) diskuteras frågor om mellankommunal samordning vid länsstyrelsens kontakter med kommunerna i översiktsplaneproce</w:t>
            </w:r>
            <w:r w:rsidRPr="000925A8">
              <w:rPr>
                <w:sz w:val="16"/>
              </w:rPr>
              <w:t>s</w:t>
            </w:r>
            <w:r w:rsidRPr="000925A8">
              <w:rPr>
                <w:sz w:val="16"/>
              </w:rPr>
              <w:t>sens...</w:t>
            </w:r>
          </w:p>
        </w:tc>
        <w:tc>
          <w:tcPr>
            <w:tcW w:w="709" w:type="dxa"/>
          </w:tcPr>
          <w:p w14:paraId="4E0B7A80" w14:textId="77777777" w:rsidR="00241093" w:rsidRPr="000925A8" w:rsidRDefault="00241093">
            <w:pPr>
              <w:spacing w:before="0" w:after="60" w:line="220" w:lineRule="exact"/>
              <w:jc w:val="center"/>
              <w:rPr>
                <w:b/>
                <w:sz w:val="16"/>
              </w:rPr>
            </w:pPr>
            <w:r w:rsidRPr="000925A8">
              <w:rPr>
                <w:b/>
                <w:sz w:val="16"/>
              </w:rPr>
              <w:t>M</w:t>
            </w:r>
            <w:r w:rsidRPr="000925A8">
              <w:rPr>
                <w:b/>
                <w:sz w:val="16"/>
              </w:rPr>
              <w:t>e</w:t>
            </w:r>
            <w:r w:rsidRPr="000925A8">
              <w:rPr>
                <w:b/>
                <w:sz w:val="16"/>
              </w:rPr>
              <w:t>del</w:t>
            </w:r>
          </w:p>
        </w:tc>
        <w:tc>
          <w:tcPr>
            <w:tcW w:w="567" w:type="dxa"/>
          </w:tcPr>
          <w:p w14:paraId="296759F7" w14:textId="77777777" w:rsidR="00241093" w:rsidRPr="000925A8" w:rsidRDefault="00241093">
            <w:pPr>
              <w:spacing w:before="0" w:after="60" w:line="220" w:lineRule="exact"/>
              <w:jc w:val="center"/>
              <w:rPr>
                <w:b/>
                <w:sz w:val="16"/>
              </w:rPr>
            </w:pPr>
            <w:r w:rsidRPr="000925A8">
              <w:rPr>
                <w:b/>
                <w:sz w:val="16"/>
              </w:rPr>
              <w:t>Min</w:t>
            </w:r>
          </w:p>
        </w:tc>
        <w:tc>
          <w:tcPr>
            <w:tcW w:w="567" w:type="dxa"/>
          </w:tcPr>
          <w:p w14:paraId="7CF32DEC" w14:textId="77777777" w:rsidR="00241093" w:rsidRPr="000925A8" w:rsidRDefault="00241093">
            <w:pPr>
              <w:spacing w:before="0" w:after="60" w:line="220" w:lineRule="exact"/>
              <w:jc w:val="center"/>
              <w:rPr>
                <w:b/>
                <w:sz w:val="16"/>
              </w:rPr>
            </w:pPr>
            <w:r w:rsidRPr="000925A8">
              <w:rPr>
                <w:b/>
                <w:sz w:val="16"/>
              </w:rPr>
              <w:t>Max</w:t>
            </w:r>
          </w:p>
        </w:tc>
        <w:tc>
          <w:tcPr>
            <w:tcW w:w="709" w:type="dxa"/>
          </w:tcPr>
          <w:p w14:paraId="1835A4BB" w14:textId="77777777" w:rsidR="00241093" w:rsidRPr="000925A8" w:rsidRDefault="00241093">
            <w:pPr>
              <w:spacing w:before="0" w:after="60" w:line="220" w:lineRule="exact"/>
              <w:jc w:val="center"/>
              <w:rPr>
                <w:b/>
                <w:sz w:val="16"/>
              </w:rPr>
            </w:pPr>
            <w:r w:rsidRPr="000925A8">
              <w:rPr>
                <w:b/>
                <w:sz w:val="16"/>
              </w:rPr>
              <w:t>A</w:t>
            </w:r>
            <w:r w:rsidRPr="000925A8">
              <w:rPr>
                <w:b/>
                <w:sz w:val="16"/>
              </w:rPr>
              <w:t>n</w:t>
            </w:r>
            <w:r w:rsidRPr="000925A8">
              <w:rPr>
                <w:b/>
                <w:sz w:val="16"/>
              </w:rPr>
              <w:t>tal</w:t>
            </w:r>
          </w:p>
        </w:tc>
      </w:tr>
      <w:tr w:rsidR="00000000" w:rsidRPr="000925A8" w14:paraId="46BA85C9" w14:textId="77777777">
        <w:tblPrEx>
          <w:tblCellMar>
            <w:top w:w="0" w:type="dxa"/>
            <w:bottom w:w="0" w:type="dxa"/>
          </w:tblCellMar>
        </w:tblPrEx>
        <w:tc>
          <w:tcPr>
            <w:tcW w:w="3402" w:type="dxa"/>
          </w:tcPr>
          <w:p w14:paraId="0049DBE2" w14:textId="77777777" w:rsidR="00241093" w:rsidRPr="000925A8" w:rsidRDefault="00241093">
            <w:pPr>
              <w:spacing w:before="0" w:line="220" w:lineRule="exact"/>
              <w:jc w:val="left"/>
              <w:rPr>
                <w:sz w:val="16"/>
              </w:rPr>
            </w:pPr>
            <w:r w:rsidRPr="000925A8">
              <w:rPr>
                <w:sz w:val="16"/>
              </w:rPr>
              <w:t xml:space="preserve">... </w:t>
            </w:r>
            <w:r w:rsidRPr="000925A8">
              <w:rPr>
                <w:i/>
                <w:sz w:val="16"/>
              </w:rPr>
              <w:t>programskede</w:t>
            </w:r>
            <w:r w:rsidRPr="000925A8">
              <w:rPr>
                <w:sz w:val="16"/>
              </w:rPr>
              <w:t>? (mycket liten omfattning – mycket stor omfattning)</w:t>
            </w:r>
          </w:p>
        </w:tc>
        <w:tc>
          <w:tcPr>
            <w:tcW w:w="709" w:type="dxa"/>
          </w:tcPr>
          <w:p w14:paraId="2C852D04" w14:textId="77777777" w:rsidR="00241093" w:rsidRPr="000925A8" w:rsidRDefault="00241093">
            <w:pPr>
              <w:spacing w:before="0" w:after="60" w:line="220" w:lineRule="exact"/>
              <w:jc w:val="center"/>
              <w:rPr>
                <w:sz w:val="16"/>
              </w:rPr>
            </w:pPr>
            <w:r w:rsidRPr="000925A8">
              <w:rPr>
                <w:sz w:val="16"/>
              </w:rPr>
              <w:t>3,7</w:t>
            </w:r>
          </w:p>
        </w:tc>
        <w:tc>
          <w:tcPr>
            <w:tcW w:w="567" w:type="dxa"/>
          </w:tcPr>
          <w:p w14:paraId="0C1CC9F9" w14:textId="77777777" w:rsidR="00241093" w:rsidRPr="000925A8" w:rsidRDefault="00241093">
            <w:pPr>
              <w:spacing w:before="0" w:after="60" w:line="220" w:lineRule="exact"/>
              <w:jc w:val="center"/>
              <w:rPr>
                <w:sz w:val="16"/>
              </w:rPr>
            </w:pPr>
            <w:r w:rsidRPr="000925A8">
              <w:rPr>
                <w:sz w:val="16"/>
              </w:rPr>
              <w:t>2</w:t>
            </w:r>
          </w:p>
        </w:tc>
        <w:tc>
          <w:tcPr>
            <w:tcW w:w="567" w:type="dxa"/>
          </w:tcPr>
          <w:p w14:paraId="477D1D50" w14:textId="77777777" w:rsidR="00241093" w:rsidRPr="000925A8" w:rsidRDefault="00241093">
            <w:pPr>
              <w:spacing w:before="0" w:after="60" w:line="220" w:lineRule="exact"/>
              <w:jc w:val="center"/>
              <w:rPr>
                <w:sz w:val="16"/>
              </w:rPr>
            </w:pPr>
            <w:r w:rsidRPr="000925A8">
              <w:rPr>
                <w:sz w:val="16"/>
              </w:rPr>
              <w:t>6</w:t>
            </w:r>
          </w:p>
        </w:tc>
        <w:tc>
          <w:tcPr>
            <w:tcW w:w="709" w:type="dxa"/>
          </w:tcPr>
          <w:p w14:paraId="25DA6752" w14:textId="77777777" w:rsidR="00241093" w:rsidRPr="000925A8" w:rsidRDefault="00241093">
            <w:pPr>
              <w:spacing w:before="0" w:after="60" w:line="220" w:lineRule="exact"/>
              <w:jc w:val="center"/>
              <w:rPr>
                <w:sz w:val="16"/>
              </w:rPr>
            </w:pPr>
            <w:r w:rsidRPr="000925A8">
              <w:rPr>
                <w:sz w:val="16"/>
              </w:rPr>
              <w:t>20</w:t>
            </w:r>
          </w:p>
        </w:tc>
      </w:tr>
      <w:tr w:rsidR="00000000" w:rsidRPr="000925A8" w14:paraId="554E83F2" w14:textId="77777777">
        <w:tblPrEx>
          <w:tblCellMar>
            <w:top w:w="0" w:type="dxa"/>
            <w:bottom w:w="0" w:type="dxa"/>
          </w:tblCellMar>
        </w:tblPrEx>
        <w:tc>
          <w:tcPr>
            <w:tcW w:w="3402" w:type="dxa"/>
          </w:tcPr>
          <w:p w14:paraId="7CAB576B" w14:textId="77777777" w:rsidR="00241093" w:rsidRPr="000925A8" w:rsidRDefault="00241093">
            <w:r w:rsidRPr="000925A8">
              <w:t>...samrådsskede? (mycket liten omfattning – mycket stor omfattning)</w:t>
            </w:r>
          </w:p>
        </w:tc>
        <w:tc>
          <w:tcPr>
            <w:tcW w:w="709" w:type="dxa"/>
          </w:tcPr>
          <w:p w14:paraId="5445972F" w14:textId="77777777" w:rsidR="00241093" w:rsidRPr="000925A8" w:rsidRDefault="00241093">
            <w:pPr>
              <w:spacing w:before="0" w:after="60" w:line="220" w:lineRule="exact"/>
              <w:jc w:val="center"/>
              <w:rPr>
                <w:sz w:val="16"/>
              </w:rPr>
            </w:pPr>
            <w:r w:rsidRPr="000925A8">
              <w:rPr>
                <w:sz w:val="16"/>
              </w:rPr>
              <w:t>3,4</w:t>
            </w:r>
          </w:p>
        </w:tc>
        <w:tc>
          <w:tcPr>
            <w:tcW w:w="567" w:type="dxa"/>
          </w:tcPr>
          <w:p w14:paraId="0CC5D4E6" w14:textId="77777777" w:rsidR="00241093" w:rsidRPr="000925A8" w:rsidRDefault="00241093">
            <w:pPr>
              <w:spacing w:before="0" w:after="60" w:line="220" w:lineRule="exact"/>
              <w:jc w:val="center"/>
              <w:rPr>
                <w:sz w:val="16"/>
              </w:rPr>
            </w:pPr>
            <w:r w:rsidRPr="000925A8">
              <w:rPr>
                <w:sz w:val="16"/>
              </w:rPr>
              <w:t>2</w:t>
            </w:r>
          </w:p>
        </w:tc>
        <w:tc>
          <w:tcPr>
            <w:tcW w:w="567" w:type="dxa"/>
          </w:tcPr>
          <w:p w14:paraId="1C852179" w14:textId="77777777" w:rsidR="00241093" w:rsidRPr="000925A8" w:rsidRDefault="00241093">
            <w:pPr>
              <w:spacing w:before="0" w:after="60" w:line="220" w:lineRule="exact"/>
              <w:jc w:val="center"/>
              <w:rPr>
                <w:sz w:val="16"/>
              </w:rPr>
            </w:pPr>
            <w:r w:rsidRPr="000925A8">
              <w:rPr>
                <w:sz w:val="16"/>
              </w:rPr>
              <w:t>6</w:t>
            </w:r>
          </w:p>
        </w:tc>
        <w:tc>
          <w:tcPr>
            <w:tcW w:w="709" w:type="dxa"/>
          </w:tcPr>
          <w:p w14:paraId="3A61CEFD" w14:textId="77777777" w:rsidR="00241093" w:rsidRPr="000925A8" w:rsidRDefault="00241093">
            <w:pPr>
              <w:spacing w:before="0" w:after="60" w:line="220" w:lineRule="exact"/>
              <w:jc w:val="center"/>
              <w:rPr>
                <w:sz w:val="16"/>
              </w:rPr>
            </w:pPr>
            <w:r w:rsidRPr="000925A8">
              <w:rPr>
                <w:sz w:val="16"/>
              </w:rPr>
              <w:t>19</w:t>
            </w:r>
          </w:p>
        </w:tc>
      </w:tr>
    </w:tbl>
    <w:p w14:paraId="4028B20E" w14:textId="77777777" w:rsidR="00241093" w:rsidRPr="000925A8" w:rsidRDefault="00241093">
      <w:r w:rsidRPr="000925A8">
        <w:t>Av tabellen framgår att medelvärdet i båda fallen är lägre än det ”neutrala” värdet fyra, dvs. att mellankommunala frågor i genomsnitt diskuteras något mindre än övriga planfrågor. Denna iakttagelse kanske inte är så förvånande. Mot bakgrund av de mellankommunala frågornas ringa betydelse i många mindre kommuner kan genomsnittsvärdena ändå uppfattas som förhållandevis höga.</w:t>
      </w:r>
    </w:p>
    <w:p w14:paraId="7443A670" w14:textId="77777777" w:rsidR="00241093" w:rsidRPr="000925A8" w:rsidRDefault="00241093">
      <w:pPr>
        <w:pStyle w:val="Normaltindrag"/>
      </w:pPr>
      <w:r w:rsidRPr="000925A8">
        <w:t xml:space="preserve"> Mer intressant är att studera vilka län som anger låga respektive höga vä</w:t>
      </w:r>
      <w:r w:rsidRPr="000925A8">
        <w:t>r</w:t>
      </w:r>
      <w:r w:rsidRPr="000925A8">
        <w:t>den. När det gäller programskedet är det tio länsstyrelser som anger värden lägre än fyra och som alltså menar att de mellankommunala frågorna endast behandlas i liten omfattning.</w:t>
      </w:r>
      <w:r w:rsidRPr="000925A8">
        <w:rPr>
          <w:rStyle w:val="Fotnotsreferens"/>
        </w:rPr>
        <w:footnoteReference w:id="97"/>
      </w:r>
      <w:r w:rsidRPr="000925A8">
        <w:t xml:space="preserve"> Endast tre länsstyrelser anger att de mella</w:t>
      </w:r>
      <w:r w:rsidRPr="000925A8">
        <w:t>n</w:t>
      </w:r>
      <w:r w:rsidRPr="000925A8">
        <w:t>kommunala frågorna diskuteras i stor omfattning (anger värden &gt; fyra) under programskedena (C, M och Y län). Det är svårt att se något geografiskt eller befolkningsmässigt mönster bland de länsstyrelser som har angivit höga r</w:t>
      </w:r>
      <w:r w:rsidRPr="000925A8">
        <w:t>e</w:t>
      </w:r>
      <w:r w:rsidRPr="000925A8">
        <w:t>spektive låga värden. Gör man motsvarande analys för samrådsskedet finner man att elva länsstyrelser anger att mellankommunala frågor diskuteras i liten omfattning (anger värden &lt; fyra).</w:t>
      </w:r>
      <w:r w:rsidRPr="000925A8">
        <w:rPr>
          <w:rStyle w:val="Fotnotsreferens"/>
        </w:rPr>
        <w:footnoteReference w:id="98"/>
      </w:r>
      <w:r w:rsidRPr="000925A8">
        <w:t xml:space="preserve"> Endast två län anser att frågorna diskut</w:t>
      </w:r>
      <w:r w:rsidRPr="000925A8">
        <w:t>e</w:t>
      </w:r>
      <w:r w:rsidRPr="000925A8">
        <w:t>ras i stor omfattning (anger värden &gt; fyra).</w:t>
      </w:r>
      <w:r w:rsidRPr="000925A8">
        <w:rPr>
          <w:rStyle w:val="Fotnotsreferens"/>
        </w:rPr>
        <w:footnoteReference w:id="99"/>
      </w:r>
    </w:p>
    <w:p w14:paraId="62551158" w14:textId="77777777" w:rsidR="00241093" w:rsidRPr="000925A8" w:rsidRDefault="00241093">
      <w:pPr>
        <w:pStyle w:val="Normaltindrag"/>
      </w:pPr>
      <w:r w:rsidRPr="000925A8">
        <w:t xml:space="preserve">Man kan även konstatera att genomsnittsvärdet är högre för programskedet än för samrådsskedet. Det är endast två län som anger ett högre värde för samrådsskedet än för programskedet (BD och F län). Detta kan tolkas som att lagstiftarens betoning av att mellankommunala frågor bör behandlas tidigt i översiktsplaneringsprocessen har fått visst genomslag. </w:t>
      </w:r>
    </w:p>
    <w:p w14:paraId="74874424" w14:textId="77777777" w:rsidR="00241093" w:rsidRPr="000925A8" w:rsidRDefault="00241093">
      <w:pPr>
        <w:pStyle w:val="Normaltindrag"/>
      </w:pPr>
      <w:r w:rsidRPr="000925A8">
        <w:t>I sammanhanget bör nämnas att några intervjupersoner har påpekat att översiktsplaneringen är eftersatt i många kommuner. I många fall finns endast den första generationens översiktsplan att tillgå och inget egentligt översikt</w:t>
      </w:r>
      <w:r w:rsidRPr="000925A8">
        <w:t>s</w:t>
      </w:r>
      <w:r w:rsidRPr="000925A8">
        <w:t>planearbete pågår. I andra fall bedrivs översiktsplaneringen endast som fö</w:t>
      </w:r>
      <w:r w:rsidRPr="000925A8">
        <w:t>r</w:t>
      </w:r>
      <w:r w:rsidRPr="000925A8">
        <w:t>djupningar i delar av kommunerna.</w:t>
      </w:r>
      <w:r w:rsidRPr="000925A8">
        <w:rPr>
          <w:rStyle w:val="Fotnotsreferens"/>
        </w:rPr>
        <w:footnoteReference w:id="100"/>
      </w:r>
      <w:r w:rsidRPr="000925A8">
        <w:t xml:space="preserve"> Detta faktum har även konsekvenser för länsstyrelsernas möjligheter att hantera mellankommunala frågor. En ko</w:t>
      </w:r>
      <w:r w:rsidRPr="000925A8">
        <w:t>m</w:t>
      </w:r>
      <w:r w:rsidRPr="000925A8">
        <w:t>mentar från en länsarkitekt illustrerar detta: Översiktsplaneringen ligger ju nere. Överenskommelsen med staten vid PBL:s tillkomst förutsatte aktiva kommuner men kommunerna sviker avtalet med staten! Det blir svårt för länsstyrelserna att granska den mellankommunala samordningen då öve</w:t>
      </w:r>
      <w:r w:rsidRPr="000925A8">
        <w:t>r</w:t>
      </w:r>
      <w:r w:rsidRPr="000925A8">
        <w:t>siktsplaneringen saknas. Den är ju egentligen arenan för detta. Vi borde varna i tid om mellankommunala frågor me</w:t>
      </w:r>
      <w:r w:rsidRPr="000925A8">
        <w:t>n hur ska vi kunna göra det när inga aktuella översiktsplaner finns och ingen översiktsplanering b</w:t>
      </w:r>
      <w:r w:rsidRPr="000925A8">
        <w:t>e</w:t>
      </w:r>
      <w:r w:rsidRPr="000925A8">
        <w:t>drivs.</w:t>
      </w:r>
    </w:p>
    <w:p w14:paraId="044E1DDB" w14:textId="77777777" w:rsidR="00241093" w:rsidRPr="000925A8" w:rsidRDefault="00241093">
      <w:pPr>
        <w:pStyle w:val="Normaltindrag"/>
      </w:pPr>
      <w:r w:rsidRPr="000925A8">
        <w:t>Några länsstyrelser anger dock att man i anslutning till den samlade red</w:t>
      </w:r>
      <w:r w:rsidRPr="000925A8">
        <w:t>o</w:t>
      </w:r>
      <w:r w:rsidRPr="000925A8">
        <w:t>görelsen inför kommunernas aktualitetsförklaringar av översiktsplanerna tar upp frågor som kan vara av mellanko</w:t>
      </w:r>
      <w:r w:rsidRPr="000925A8">
        <w:t>m</w:t>
      </w:r>
      <w:r w:rsidRPr="000925A8">
        <w:t>munalt intresse.</w:t>
      </w:r>
    </w:p>
    <w:p w14:paraId="43DC08F0" w14:textId="77777777" w:rsidR="00241093" w:rsidRPr="000925A8" w:rsidRDefault="00241093">
      <w:pPr>
        <w:pStyle w:val="R4"/>
      </w:pPr>
      <w:r w:rsidRPr="000925A8">
        <w:t>Länsstyrelsernas granskningsyttranden</w:t>
      </w:r>
    </w:p>
    <w:p w14:paraId="6B4FC9BC" w14:textId="77777777" w:rsidR="00241093" w:rsidRPr="000925A8" w:rsidRDefault="00241093">
      <w:r w:rsidRPr="000925A8">
        <w:t xml:space="preserve">Enkätsvaren visar att länsstyrelserna relativt sällan anser det vara nödvändigt att påpeka </w:t>
      </w:r>
      <w:r w:rsidRPr="000925A8">
        <w:rPr>
          <w:i/>
        </w:rPr>
        <w:t>brister</w:t>
      </w:r>
      <w:r w:rsidRPr="000925A8">
        <w:t xml:space="preserve"> i den mellankommunala samordningen i sina granskning</w:t>
      </w:r>
      <w:r w:rsidRPr="000925A8">
        <w:t>s</w:t>
      </w:r>
      <w:r w:rsidRPr="000925A8">
        <w:t>yttranden i samband med att planerna ställs ut. Endast nio av länsstyrelserna anger att de har framfört sådana synpunkter. Av dessa anger fem att påpeka</w:t>
      </w:r>
      <w:r w:rsidRPr="000925A8">
        <w:t>n</w:t>
      </w:r>
      <w:r w:rsidRPr="000925A8">
        <w:t>den om brister endast har skett i några enstaka fall. I fyra län är påpekanden om brister emellertid vanligare (Stockholms län; påpekande om bristande mellankommunal samordning i 70 % av granskningsyttrandena, Blekinge län; 40 %, Värmlands län; 30 %, Kalmar län; 20 %).</w:t>
      </w:r>
      <w:r w:rsidRPr="000925A8">
        <w:rPr>
          <w:rStyle w:val="Fotnotsreferens"/>
        </w:rPr>
        <w:footnoteReference w:id="101"/>
      </w:r>
      <w:r w:rsidRPr="000925A8">
        <w:t xml:space="preserve"> I stort sett alla länsstyre</w:t>
      </w:r>
      <w:r w:rsidRPr="000925A8">
        <w:t>l</w:t>
      </w:r>
      <w:r w:rsidRPr="000925A8">
        <w:t>ser, utom de i Skåne och Stockholms län, anger att andelen granskningsyt</w:t>
      </w:r>
      <w:r w:rsidRPr="000925A8">
        <w:t>t</w:t>
      </w:r>
      <w:r w:rsidRPr="000925A8">
        <w:t xml:space="preserve">randen där påpekanden om brister har skett är i stort sett oförändrad sedan PBL:s tillkomst. Länsstyrelsen i Stockholms län anger att andelen har ökat betydligt sedan PBL:s tillkomst, medan Länsstyrelsen i Skåne län anger att andelen har ökat något. </w:t>
      </w:r>
    </w:p>
    <w:p w14:paraId="6EFB165F" w14:textId="77777777" w:rsidR="00241093" w:rsidRPr="000925A8" w:rsidRDefault="00241093">
      <w:pPr>
        <w:pStyle w:val="Normaltindrag"/>
      </w:pPr>
      <w:r w:rsidRPr="000925A8">
        <w:t>Förklaringarna till dessa variationer kan vara många. En är att de mella</w:t>
      </w:r>
      <w:r w:rsidRPr="000925A8">
        <w:t>n</w:t>
      </w:r>
      <w:r w:rsidRPr="000925A8">
        <w:t>kommunala dimensionerna av geografiska skäl saknas i vissa län och att mellankommunal samordning därför inte är nödvändig. En annan förklaring är att länsstyrelserna i sina svar har inkluderat yttranden över så väl kommu</w:t>
      </w:r>
      <w:r w:rsidRPr="000925A8">
        <w:t>n</w:t>
      </w:r>
      <w:r w:rsidRPr="000925A8">
        <w:t>omfattande översiktsplaner som fördjupningar. I de fördjupade översiktspl</w:t>
      </w:r>
      <w:r w:rsidRPr="000925A8">
        <w:t>a</w:t>
      </w:r>
      <w:r w:rsidRPr="000925A8">
        <w:t xml:space="preserve">nerna som vanligen omfattar en del av kommun, ofta en centralort, kan det mellankommunala inslaget vara mindre påtagligt. </w:t>
      </w:r>
    </w:p>
    <w:p w14:paraId="31963C10" w14:textId="77777777" w:rsidR="00241093" w:rsidRPr="000925A8" w:rsidRDefault="00241093">
      <w:pPr>
        <w:pStyle w:val="Normaltindrag"/>
      </w:pPr>
      <w:r w:rsidRPr="000925A8">
        <w:t>En ytterligare förklaring är hur väl de mellankommunala frågorna har b</w:t>
      </w:r>
      <w:r w:rsidRPr="000925A8">
        <w:t>e</w:t>
      </w:r>
      <w:r w:rsidRPr="000925A8">
        <w:t xml:space="preserve">handlats under tidigare delar av planeringsprocessen. Kommunerna kan, med eller utan stöd av länsstyrelsen och i linje med PBL:s intentioner, ha ”rett ut” de mellankommunala förhållandena på ett tillfredsställande sätt redan före utställningsskedet. Att andelen påpekanden om brister är så pass hög och att den har stigit betydligt sedan PBL:s tillkomst (1987) i Stockholms län kan tyckas något förvånande, särskilt mot bakgrund av att man i huvudstadslänet sedan länge har en formell regionplanering. Möjligen </w:t>
      </w:r>
      <w:r w:rsidRPr="000925A8">
        <w:t>sammanhänger den stora andelen påpekanden om brister med att de mellankommunala förvec</w:t>
      </w:r>
      <w:r w:rsidRPr="000925A8">
        <w:t>k</w:t>
      </w:r>
      <w:r w:rsidRPr="000925A8">
        <w:t xml:space="preserve">lingarna i en storstadsregion är så pass många att det är svårt för kommunerna att hantera dem alla. </w:t>
      </w:r>
    </w:p>
    <w:p w14:paraId="6B8B0DE6" w14:textId="77777777" w:rsidR="00241093" w:rsidRPr="000925A8" w:rsidRDefault="00241093">
      <w:pPr>
        <w:pStyle w:val="Normaltindrag"/>
      </w:pPr>
      <w:r w:rsidRPr="000925A8">
        <w:t>Samtidigt kan det finnas olika synsätt mellan kommunerna och länsstyre</w:t>
      </w:r>
      <w:r w:rsidRPr="000925A8">
        <w:t>l</w:t>
      </w:r>
      <w:r w:rsidRPr="000925A8">
        <w:t>sen på vad som är att betrakta som en mellankommunal fråga. En ytterligare förklaring till den höga andelen i Stockholms län kan vara att länsstyrelsen inte har haft kapacitet att identifiera eller aktualisera vilka frågor som kräver mellankommunal samordning på ett tidigt stadium i processen. Man kan å andra sidan även hävda att Länsstyrelsen i Stockholms län kanske är tuffare än andra länsstyrelser när det gäller att hävda det mellankommunala intresset och att man inte ”ger sig” förrän samordningen är sä</w:t>
      </w:r>
      <w:r w:rsidRPr="000925A8">
        <w:t>kerställd. Andra länsst</w:t>
      </w:r>
      <w:r w:rsidRPr="000925A8">
        <w:t>y</w:t>
      </w:r>
      <w:r w:rsidRPr="000925A8">
        <w:t xml:space="preserve">relser kanske tvekar inför att på ett tydligt sätt peka på denna typ av brister i sina granskningsyttranden. </w:t>
      </w:r>
    </w:p>
    <w:p w14:paraId="50A11376" w14:textId="77777777" w:rsidR="00241093" w:rsidRPr="000925A8" w:rsidRDefault="00241093">
      <w:pPr>
        <w:pStyle w:val="Normaltindrag"/>
      </w:pPr>
      <w:r w:rsidRPr="000925A8">
        <w:t xml:space="preserve">Några länsstyrelser anger att man har påpekat </w:t>
      </w:r>
      <w:r w:rsidRPr="000925A8">
        <w:rPr>
          <w:i/>
        </w:rPr>
        <w:t>behov</w:t>
      </w:r>
      <w:r w:rsidRPr="000925A8">
        <w:t xml:space="preserve"> av mellankommunal samordning och i vissa fall att prövning enligt 12 kap. PBL kan komma att ske på sikt. Man har i dessa fall emellertid inte uttryckligen noterat </w:t>
      </w:r>
      <w:r w:rsidRPr="000925A8">
        <w:rPr>
          <w:i/>
        </w:rPr>
        <w:t>brister</w:t>
      </w:r>
      <w:r w:rsidRPr="000925A8">
        <w:t xml:space="preserve"> i den mellankommunala samordningen. Strävan är i stället att ”väcka den me</w:t>
      </w:r>
      <w:r w:rsidRPr="000925A8">
        <w:t>l</w:t>
      </w:r>
      <w:r w:rsidRPr="000925A8">
        <w:t>lankommunala medvetenheten” hos kommunerna inför framtida detaljplan</w:t>
      </w:r>
      <w:r w:rsidRPr="000925A8">
        <w:t>e</w:t>
      </w:r>
      <w:r w:rsidRPr="000925A8">
        <w:t>arbete. Påpekandena fungerar då även som grund för att legitimera framtida synpunkter på eventuellt bristande mellankommunal samordning i komm</w:t>
      </w:r>
      <w:r w:rsidRPr="000925A8">
        <w:t>u</w:t>
      </w:r>
      <w:r w:rsidRPr="000925A8">
        <w:t>nernas detaljplanearbete. Om inte påpekanden har</w:t>
      </w:r>
      <w:r w:rsidRPr="000925A8">
        <w:t xml:space="preserve"> gjorts i översiktsplanen kan det uppfattas som svårt att göra det i senare planeringsproce</w:t>
      </w:r>
      <w:r w:rsidRPr="000925A8">
        <w:t>s</w:t>
      </w:r>
      <w:r w:rsidRPr="000925A8">
        <w:t>ser.</w:t>
      </w:r>
    </w:p>
    <w:p w14:paraId="4E7466B7" w14:textId="77777777" w:rsidR="00241093" w:rsidRPr="000925A8" w:rsidRDefault="00241093">
      <w:pPr>
        <w:pStyle w:val="R3"/>
        <w:spacing w:before="0"/>
      </w:pPr>
    </w:p>
    <w:p w14:paraId="629553F1" w14:textId="77777777" w:rsidR="00241093" w:rsidRPr="000925A8" w:rsidRDefault="00241093">
      <w:pPr>
        <w:pStyle w:val="R3"/>
        <w:spacing w:before="0"/>
      </w:pPr>
      <w:r w:rsidRPr="000925A8">
        <w:t>Detaljplaneringen</w:t>
      </w:r>
    </w:p>
    <w:p w14:paraId="15C2401C" w14:textId="77777777" w:rsidR="00241093" w:rsidRPr="000925A8" w:rsidRDefault="00241093">
      <w:r w:rsidRPr="000925A8">
        <w:t>På motsvarande sätt som för översiktsplaneringen har de mellankommunala frågornas omfattning under de kommunala detaljplaneprocesserna analys</w:t>
      </w:r>
      <w:r w:rsidRPr="000925A8">
        <w:t>e</w:t>
      </w:r>
      <w:r w:rsidRPr="000925A8">
        <w:t>rats. Resultatet sammanfattas i tabell 5.2.</w:t>
      </w:r>
    </w:p>
    <w:p w14:paraId="582239CD" w14:textId="77777777" w:rsidR="00241093" w:rsidRPr="000925A8" w:rsidRDefault="00241093">
      <w:pPr>
        <w:pStyle w:val="Normaltindrag"/>
      </w:pPr>
    </w:p>
    <w:p w14:paraId="34106030" w14:textId="77777777" w:rsidR="00241093" w:rsidRPr="000925A8" w:rsidRDefault="00241093">
      <w:pPr>
        <w:pStyle w:val="Brdtext"/>
        <w:spacing w:after="0"/>
        <w:rPr>
          <w:color w:val="auto"/>
          <w:sz w:val="20"/>
        </w:rPr>
      </w:pPr>
      <w:r w:rsidRPr="000925A8">
        <w:rPr>
          <w:b/>
          <w:color w:val="auto"/>
          <w:sz w:val="20"/>
        </w:rPr>
        <w:t>Tabell 5.2</w:t>
      </w:r>
      <w:r w:rsidRPr="000925A8">
        <w:rPr>
          <w:color w:val="auto"/>
          <w:sz w:val="20"/>
        </w:rPr>
        <w:t xml:space="preserve"> Länsstyrelsernas arbete med mellankommunala frågor under detaljplanerin</w:t>
      </w:r>
      <w:r w:rsidRPr="000925A8">
        <w:rPr>
          <w:color w:val="auto"/>
          <w:sz w:val="20"/>
        </w:rPr>
        <w:t>g</w:t>
      </w:r>
      <w:r w:rsidRPr="000925A8">
        <w:rPr>
          <w:color w:val="auto"/>
          <w:sz w:val="20"/>
        </w:rPr>
        <w:t>en</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BF" w:firstRow="1" w:lastRow="0" w:firstColumn="1" w:lastColumn="0" w:noHBand="0" w:noVBand="0"/>
      </w:tblPr>
      <w:tblGrid>
        <w:gridCol w:w="3402"/>
        <w:gridCol w:w="709"/>
        <w:gridCol w:w="709"/>
        <w:gridCol w:w="567"/>
        <w:gridCol w:w="567"/>
      </w:tblGrid>
      <w:tr w:rsidR="00000000" w:rsidRPr="000925A8" w14:paraId="6D92FAD6" w14:textId="77777777">
        <w:tblPrEx>
          <w:tblCellMar>
            <w:top w:w="0" w:type="dxa"/>
            <w:bottom w:w="0" w:type="dxa"/>
          </w:tblCellMar>
        </w:tblPrEx>
        <w:tc>
          <w:tcPr>
            <w:tcW w:w="3402" w:type="dxa"/>
          </w:tcPr>
          <w:p w14:paraId="7346EECC" w14:textId="77777777" w:rsidR="00241093" w:rsidRPr="000925A8" w:rsidRDefault="00241093">
            <w:pPr>
              <w:jc w:val="left"/>
              <w:rPr>
                <w:sz w:val="16"/>
              </w:rPr>
            </w:pPr>
            <w:r w:rsidRPr="000925A8">
              <w:rPr>
                <w:sz w:val="16"/>
              </w:rPr>
              <w:t>I vilken genomsnittlig omfattning (relativt övriga frågor) diskuteras frågor om mellankommunal samordning vid länsstyrelsens kontakter med kommunerna i detaljplaneproce</w:t>
            </w:r>
            <w:r w:rsidRPr="000925A8">
              <w:rPr>
                <w:sz w:val="16"/>
              </w:rPr>
              <w:t>s</w:t>
            </w:r>
            <w:r w:rsidRPr="000925A8">
              <w:rPr>
                <w:sz w:val="16"/>
              </w:rPr>
              <w:t>sens...</w:t>
            </w:r>
          </w:p>
        </w:tc>
        <w:tc>
          <w:tcPr>
            <w:tcW w:w="709" w:type="dxa"/>
          </w:tcPr>
          <w:p w14:paraId="0343EE64" w14:textId="77777777" w:rsidR="00241093" w:rsidRPr="000925A8" w:rsidRDefault="00241093">
            <w:pPr>
              <w:spacing w:before="60" w:after="60"/>
              <w:jc w:val="center"/>
              <w:rPr>
                <w:b/>
                <w:sz w:val="16"/>
              </w:rPr>
            </w:pPr>
            <w:r w:rsidRPr="000925A8">
              <w:rPr>
                <w:b/>
                <w:sz w:val="16"/>
              </w:rPr>
              <w:t>M</w:t>
            </w:r>
            <w:r w:rsidRPr="000925A8">
              <w:rPr>
                <w:b/>
                <w:sz w:val="16"/>
              </w:rPr>
              <w:t>e</w:t>
            </w:r>
            <w:r w:rsidRPr="000925A8">
              <w:rPr>
                <w:b/>
                <w:sz w:val="16"/>
              </w:rPr>
              <w:t>del</w:t>
            </w:r>
          </w:p>
        </w:tc>
        <w:tc>
          <w:tcPr>
            <w:tcW w:w="709" w:type="dxa"/>
          </w:tcPr>
          <w:p w14:paraId="601D238E" w14:textId="77777777" w:rsidR="00241093" w:rsidRPr="000925A8" w:rsidRDefault="00241093">
            <w:pPr>
              <w:spacing w:before="60" w:after="60"/>
              <w:jc w:val="center"/>
              <w:rPr>
                <w:b/>
                <w:sz w:val="16"/>
              </w:rPr>
            </w:pPr>
            <w:r w:rsidRPr="000925A8">
              <w:rPr>
                <w:b/>
                <w:sz w:val="16"/>
              </w:rPr>
              <w:t>Min</w:t>
            </w:r>
          </w:p>
        </w:tc>
        <w:tc>
          <w:tcPr>
            <w:tcW w:w="567" w:type="dxa"/>
          </w:tcPr>
          <w:p w14:paraId="58E9E564" w14:textId="77777777" w:rsidR="00241093" w:rsidRPr="000925A8" w:rsidRDefault="00241093">
            <w:pPr>
              <w:spacing w:before="60" w:after="60"/>
              <w:jc w:val="center"/>
              <w:rPr>
                <w:b/>
                <w:sz w:val="16"/>
              </w:rPr>
            </w:pPr>
            <w:r w:rsidRPr="000925A8">
              <w:rPr>
                <w:b/>
                <w:sz w:val="16"/>
              </w:rPr>
              <w:t>Max</w:t>
            </w:r>
          </w:p>
        </w:tc>
        <w:tc>
          <w:tcPr>
            <w:tcW w:w="567" w:type="dxa"/>
          </w:tcPr>
          <w:p w14:paraId="2011FFE7" w14:textId="77777777" w:rsidR="00241093" w:rsidRPr="000925A8" w:rsidRDefault="00241093">
            <w:pPr>
              <w:spacing w:before="60" w:after="60"/>
              <w:jc w:val="center"/>
              <w:rPr>
                <w:b/>
                <w:sz w:val="16"/>
              </w:rPr>
            </w:pPr>
            <w:r w:rsidRPr="000925A8">
              <w:rPr>
                <w:b/>
                <w:sz w:val="16"/>
              </w:rPr>
              <w:t>A</w:t>
            </w:r>
            <w:r w:rsidRPr="000925A8">
              <w:rPr>
                <w:b/>
                <w:sz w:val="16"/>
              </w:rPr>
              <w:t>n</w:t>
            </w:r>
            <w:r w:rsidRPr="000925A8">
              <w:rPr>
                <w:b/>
                <w:sz w:val="16"/>
              </w:rPr>
              <w:t>tal</w:t>
            </w:r>
          </w:p>
        </w:tc>
      </w:tr>
      <w:tr w:rsidR="00000000" w:rsidRPr="000925A8" w14:paraId="13308365" w14:textId="77777777">
        <w:tblPrEx>
          <w:tblCellMar>
            <w:top w:w="0" w:type="dxa"/>
            <w:bottom w:w="0" w:type="dxa"/>
          </w:tblCellMar>
        </w:tblPrEx>
        <w:tc>
          <w:tcPr>
            <w:tcW w:w="3402" w:type="dxa"/>
          </w:tcPr>
          <w:p w14:paraId="3AADCD3E" w14:textId="77777777" w:rsidR="00241093" w:rsidRPr="000925A8" w:rsidRDefault="00241093">
            <w:pPr>
              <w:jc w:val="left"/>
              <w:rPr>
                <w:sz w:val="16"/>
              </w:rPr>
            </w:pPr>
            <w:r w:rsidRPr="000925A8">
              <w:rPr>
                <w:sz w:val="16"/>
              </w:rPr>
              <w:t>...</w:t>
            </w:r>
            <w:r w:rsidRPr="000925A8">
              <w:rPr>
                <w:i/>
                <w:sz w:val="16"/>
              </w:rPr>
              <w:t>programskede</w:t>
            </w:r>
            <w:r w:rsidRPr="000925A8">
              <w:rPr>
                <w:sz w:val="16"/>
              </w:rPr>
              <w:t>? (mycket liten omfattning – mycket stor omfattning)</w:t>
            </w:r>
          </w:p>
        </w:tc>
        <w:tc>
          <w:tcPr>
            <w:tcW w:w="709" w:type="dxa"/>
          </w:tcPr>
          <w:p w14:paraId="38A793C6" w14:textId="77777777" w:rsidR="00241093" w:rsidRPr="000925A8" w:rsidRDefault="00241093">
            <w:pPr>
              <w:spacing w:before="60" w:after="60"/>
              <w:jc w:val="center"/>
              <w:rPr>
                <w:sz w:val="16"/>
              </w:rPr>
            </w:pPr>
            <w:r w:rsidRPr="000925A8">
              <w:rPr>
                <w:sz w:val="16"/>
              </w:rPr>
              <w:t>2,4</w:t>
            </w:r>
          </w:p>
        </w:tc>
        <w:tc>
          <w:tcPr>
            <w:tcW w:w="709" w:type="dxa"/>
          </w:tcPr>
          <w:p w14:paraId="0FDCDB04" w14:textId="77777777" w:rsidR="00241093" w:rsidRPr="000925A8" w:rsidRDefault="00241093">
            <w:pPr>
              <w:spacing w:before="60" w:after="60"/>
              <w:jc w:val="center"/>
              <w:rPr>
                <w:sz w:val="16"/>
              </w:rPr>
            </w:pPr>
            <w:r w:rsidRPr="000925A8">
              <w:rPr>
                <w:sz w:val="16"/>
              </w:rPr>
              <w:t>1</w:t>
            </w:r>
          </w:p>
        </w:tc>
        <w:tc>
          <w:tcPr>
            <w:tcW w:w="567" w:type="dxa"/>
          </w:tcPr>
          <w:p w14:paraId="26CAD1E4" w14:textId="77777777" w:rsidR="00241093" w:rsidRPr="000925A8" w:rsidRDefault="00241093">
            <w:pPr>
              <w:spacing w:before="60" w:after="60"/>
              <w:jc w:val="center"/>
              <w:rPr>
                <w:sz w:val="16"/>
              </w:rPr>
            </w:pPr>
            <w:r w:rsidRPr="000925A8">
              <w:rPr>
                <w:sz w:val="16"/>
              </w:rPr>
              <w:t>5</w:t>
            </w:r>
          </w:p>
        </w:tc>
        <w:tc>
          <w:tcPr>
            <w:tcW w:w="567" w:type="dxa"/>
          </w:tcPr>
          <w:p w14:paraId="4DE2DC76" w14:textId="77777777" w:rsidR="00241093" w:rsidRPr="000925A8" w:rsidRDefault="00241093">
            <w:pPr>
              <w:spacing w:before="60" w:after="60"/>
              <w:jc w:val="center"/>
              <w:rPr>
                <w:sz w:val="16"/>
              </w:rPr>
            </w:pPr>
            <w:r w:rsidRPr="000925A8">
              <w:rPr>
                <w:sz w:val="16"/>
              </w:rPr>
              <w:t>19</w:t>
            </w:r>
          </w:p>
        </w:tc>
      </w:tr>
      <w:tr w:rsidR="00000000" w:rsidRPr="000925A8" w14:paraId="044D9C33" w14:textId="77777777">
        <w:tblPrEx>
          <w:tblCellMar>
            <w:top w:w="0" w:type="dxa"/>
            <w:bottom w:w="0" w:type="dxa"/>
          </w:tblCellMar>
        </w:tblPrEx>
        <w:tc>
          <w:tcPr>
            <w:tcW w:w="3402" w:type="dxa"/>
          </w:tcPr>
          <w:p w14:paraId="472D7C14" w14:textId="77777777" w:rsidR="00241093" w:rsidRPr="000925A8" w:rsidRDefault="00241093">
            <w:pPr>
              <w:jc w:val="left"/>
              <w:rPr>
                <w:sz w:val="16"/>
              </w:rPr>
            </w:pPr>
            <w:r w:rsidRPr="000925A8">
              <w:rPr>
                <w:sz w:val="16"/>
              </w:rPr>
              <w:t>...</w:t>
            </w:r>
            <w:r w:rsidRPr="000925A8">
              <w:rPr>
                <w:i/>
                <w:sz w:val="16"/>
              </w:rPr>
              <w:t>samrådsskede</w:t>
            </w:r>
            <w:r w:rsidRPr="000925A8">
              <w:rPr>
                <w:sz w:val="16"/>
              </w:rPr>
              <w:t>? (mycket liten omfattning – mycket stor omfattning)</w:t>
            </w:r>
          </w:p>
        </w:tc>
        <w:tc>
          <w:tcPr>
            <w:tcW w:w="709" w:type="dxa"/>
          </w:tcPr>
          <w:p w14:paraId="36FDE28F" w14:textId="77777777" w:rsidR="00241093" w:rsidRPr="000925A8" w:rsidRDefault="00241093">
            <w:pPr>
              <w:spacing w:before="60" w:after="60"/>
              <w:jc w:val="center"/>
              <w:rPr>
                <w:sz w:val="16"/>
              </w:rPr>
            </w:pPr>
            <w:r w:rsidRPr="000925A8">
              <w:rPr>
                <w:sz w:val="16"/>
              </w:rPr>
              <w:t>2,1</w:t>
            </w:r>
          </w:p>
        </w:tc>
        <w:tc>
          <w:tcPr>
            <w:tcW w:w="709" w:type="dxa"/>
          </w:tcPr>
          <w:p w14:paraId="44E952E1" w14:textId="77777777" w:rsidR="00241093" w:rsidRPr="000925A8" w:rsidRDefault="00241093">
            <w:pPr>
              <w:spacing w:before="60" w:after="60"/>
              <w:jc w:val="center"/>
              <w:rPr>
                <w:sz w:val="16"/>
              </w:rPr>
            </w:pPr>
            <w:r w:rsidRPr="000925A8">
              <w:rPr>
                <w:sz w:val="16"/>
              </w:rPr>
              <w:t>1</w:t>
            </w:r>
          </w:p>
        </w:tc>
        <w:tc>
          <w:tcPr>
            <w:tcW w:w="567" w:type="dxa"/>
          </w:tcPr>
          <w:p w14:paraId="461D4DCA" w14:textId="77777777" w:rsidR="00241093" w:rsidRPr="000925A8" w:rsidRDefault="00241093">
            <w:pPr>
              <w:spacing w:before="60" w:after="60"/>
              <w:jc w:val="center"/>
              <w:rPr>
                <w:sz w:val="16"/>
              </w:rPr>
            </w:pPr>
            <w:r w:rsidRPr="000925A8">
              <w:rPr>
                <w:sz w:val="16"/>
              </w:rPr>
              <w:t>5</w:t>
            </w:r>
          </w:p>
        </w:tc>
        <w:tc>
          <w:tcPr>
            <w:tcW w:w="567" w:type="dxa"/>
          </w:tcPr>
          <w:p w14:paraId="6D3E263B" w14:textId="77777777" w:rsidR="00241093" w:rsidRPr="000925A8" w:rsidRDefault="00241093">
            <w:pPr>
              <w:spacing w:before="60" w:after="60"/>
              <w:jc w:val="center"/>
              <w:rPr>
                <w:sz w:val="16"/>
              </w:rPr>
            </w:pPr>
            <w:r w:rsidRPr="000925A8">
              <w:rPr>
                <w:sz w:val="16"/>
              </w:rPr>
              <w:t>19</w:t>
            </w:r>
          </w:p>
        </w:tc>
      </w:tr>
    </w:tbl>
    <w:p w14:paraId="306E0042" w14:textId="77777777" w:rsidR="00241093" w:rsidRPr="000925A8" w:rsidRDefault="00241093">
      <w:pPr>
        <w:spacing w:before="187"/>
      </w:pPr>
      <w:r w:rsidRPr="000925A8">
        <w:t>Liksom för översiktsplaneringen är det genomsnittliga värdet högre för pr</w:t>
      </w:r>
      <w:r w:rsidRPr="000925A8">
        <w:t>o</w:t>
      </w:r>
      <w:r w:rsidRPr="000925A8">
        <w:t>gramskedet än för samrådsskedet. Även här kan detta förmodas samma</w:t>
      </w:r>
      <w:r w:rsidRPr="000925A8">
        <w:t>n</w:t>
      </w:r>
      <w:r w:rsidRPr="000925A8">
        <w:t>hänga med att de mellankommunala frågorna behandlas relativt tidigt i pr</w:t>
      </w:r>
      <w:r w:rsidRPr="000925A8">
        <w:t>o</w:t>
      </w:r>
      <w:r w:rsidRPr="000925A8">
        <w:t>cesserna. Det bör även noteras att genomsnittsvärdena för detaljplaneringen är betydligt lägre än för översiktsplaneringen. Detta kan dels sammanhänga med att de mellankommunala frågorna är hanterade redan på översiktsplanenivå, dels med att den mellankommunala dimensionen helt saknas i många detal</w:t>
      </w:r>
      <w:r w:rsidRPr="000925A8">
        <w:t>j</w:t>
      </w:r>
      <w:r w:rsidRPr="000925A8">
        <w:t xml:space="preserve">planeärenden inte minst i glesbefolkade län med ytstora kommuner. </w:t>
      </w:r>
    </w:p>
    <w:p w14:paraId="070CB281" w14:textId="77777777" w:rsidR="00241093" w:rsidRPr="000925A8" w:rsidRDefault="00241093">
      <w:pPr>
        <w:pStyle w:val="Normaltindrag"/>
      </w:pPr>
      <w:r w:rsidRPr="000925A8">
        <w:t>Hela</w:t>
      </w:r>
      <w:r w:rsidRPr="000925A8">
        <w:t xml:space="preserve"> fem län anger värdet ett för både program- och samrådsskedet, dvs. att omfattningen på länsstyrelsernas arbete med mellankommunala frågor är mycket liten i förhållande till andra frågor.</w:t>
      </w:r>
      <w:r w:rsidRPr="000925A8">
        <w:rPr>
          <w:rStyle w:val="Fotnotsreferens"/>
        </w:rPr>
        <w:footnoteReference w:id="102"/>
      </w:r>
      <w:r w:rsidRPr="000925A8">
        <w:t xml:space="preserve"> Länsstyrelserna i Stockholms och Västernorrlands län anger värdet fem för programskedet och fyra för samrådsskedet, vilket innebär att de uppfattar länsstyrelsens arbete med me</w:t>
      </w:r>
      <w:r w:rsidRPr="000925A8">
        <w:t>l</w:t>
      </w:r>
      <w:r w:rsidRPr="000925A8">
        <w:t>lankommunala frågor som omfattande i förhållande till andra frågor. Det är liksom för översiktsplaneringen svårt att se några tydliga geografiska eller befolkningsmässiga mönster i hur länen har svarat. Möjligen kan man notera att genomsnittsvärdena för de tre storstadslänen (4,0 för programskedet och 3,7 för samrådsskedet) är högre</w:t>
      </w:r>
      <w:r w:rsidRPr="000925A8">
        <w:t xml:space="preserve"> än genomsnitten för samtliga län (2,4 respe</w:t>
      </w:r>
      <w:r w:rsidRPr="000925A8">
        <w:t>k</w:t>
      </w:r>
      <w:r w:rsidRPr="000925A8">
        <w:t>tive 2,1).</w:t>
      </w:r>
    </w:p>
    <w:p w14:paraId="0D28C021" w14:textId="77777777" w:rsidR="00241093" w:rsidRPr="000925A8" w:rsidRDefault="00241093">
      <w:pPr>
        <w:pStyle w:val="R3"/>
      </w:pPr>
      <w:r w:rsidRPr="000925A8">
        <w:t>Länsstyrelsernas prövning av planer enligt 12 kap. 1 § PBL</w:t>
      </w:r>
    </w:p>
    <w:p w14:paraId="6F5F6D7B" w14:textId="77777777" w:rsidR="00241093" w:rsidRPr="000925A8" w:rsidRDefault="00241093">
      <w:pPr>
        <w:pStyle w:val="R4"/>
      </w:pPr>
      <w:r w:rsidRPr="000925A8">
        <w:t>Antal upphävanden och överklaganden till regeringen</w:t>
      </w:r>
    </w:p>
    <w:p w14:paraId="3AF7EA11" w14:textId="77777777" w:rsidR="00241093" w:rsidRPr="000925A8" w:rsidRDefault="00241093">
      <w:pPr>
        <w:spacing w:before="0"/>
      </w:pPr>
      <w:r w:rsidRPr="000925A8">
        <w:t>I enkäten efterfrågas vid hur många tillfällen länsstyrelserna har prövat planer enligt 12 kap. 1 § PBL under perioden 1998–2001.</w:t>
      </w:r>
      <w:r w:rsidRPr="000925A8">
        <w:rPr>
          <w:rStyle w:val="Fotnotsreferens"/>
        </w:rPr>
        <w:footnoteReference w:id="103"/>
      </w:r>
      <w:r w:rsidRPr="000925A8">
        <w:t xml:space="preserve"> Av svaren framkommer att det är ungefär hälften (9) av länsstyrelserna som har gjort detta. Samma</w:t>
      </w:r>
      <w:r w:rsidRPr="000925A8">
        <w:t>n</w:t>
      </w:r>
      <w:r w:rsidRPr="000925A8">
        <w:t>lagt är det knappt 60 beslut som har prövats. Av dessa är det sju som helt eller delvis avser prövningsgrunden brister i den mellankommunala samordnin</w:t>
      </w:r>
      <w:r w:rsidRPr="000925A8">
        <w:t>g</w:t>
      </w:r>
      <w:r w:rsidRPr="000925A8">
        <w:t>en.</w:t>
      </w:r>
      <w:r w:rsidRPr="000925A8">
        <w:rPr>
          <w:rStyle w:val="Fotnotsreferens"/>
        </w:rPr>
        <w:footnoteReference w:id="104"/>
      </w:r>
      <w:r w:rsidRPr="000925A8">
        <w:t xml:space="preserve"> Sex av dessa fall avsåg externa hande</w:t>
      </w:r>
      <w:r w:rsidRPr="000925A8">
        <w:t>l</w:t>
      </w:r>
      <w:r w:rsidRPr="000925A8">
        <w:t>setableringar.</w:t>
      </w:r>
      <w:r w:rsidRPr="000925A8">
        <w:rPr>
          <w:rStyle w:val="Fotnotsreferens"/>
        </w:rPr>
        <w:footnoteReference w:id="105"/>
      </w:r>
    </w:p>
    <w:p w14:paraId="53DB54AF" w14:textId="77777777" w:rsidR="00241093" w:rsidRPr="000925A8" w:rsidRDefault="00241093">
      <w:pPr>
        <w:pStyle w:val="Normaltindrag"/>
      </w:pPr>
      <w:r w:rsidRPr="000925A8">
        <w:t>Resultatet av prövningarna blev att länsstyrelserna i fyra av de sju fallen helt eller delvis upphävde planerna. Dessa planer gällde i samtliga fall externa handelsetableringar.</w:t>
      </w:r>
      <w:r w:rsidRPr="000925A8">
        <w:rPr>
          <w:rStyle w:val="Fotnotsreferens"/>
        </w:rPr>
        <w:footnoteReference w:id="106"/>
      </w:r>
      <w:r w:rsidRPr="000925A8">
        <w:t xml:space="preserve"> Tre av fallen överklagades till regeringen.</w:t>
      </w:r>
      <w:r w:rsidRPr="000925A8">
        <w:rPr>
          <w:rStyle w:val="Fotnotsreferens"/>
        </w:rPr>
        <w:footnoteReference w:id="107"/>
      </w:r>
      <w:r w:rsidRPr="000925A8">
        <w:t xml:space="preserve"> I ett fall återtog kommunen sin överklagan (Kävlinge) och i ett annat fall upphävde regeringen länsstyrelsens beslut om upphävande efter revidering av pla</w:t>
      </w:r>
      <w:r w:rsidRPr="000925A8">
        <w:t>n</w:t>
      </w:r>
      <w:r w:rsidRPr="000925A8">
        <w:t>handlingarna (Landskrona). De två återstående fallen (Östersund och Kr</w:t>
      </w:r>
      <w:r w:rsidRPr="000925A8">
        <w:t>o</w:t>
      </w:r>
      <w:r w:rsidRPr="000925A8">
        <w:t>kom) är ännu ej avgjorda. I sammanhanget kan nämnas att 41 ärenden som avsåg länsstyrelsernas beslut enligt 12 kap. 3 § PBL överklagades till rege</w:t>
      </w:r>
      <w:r w:rsidRPr="000925A8">
        <w:t>r</w:t>
      </w:r>
      <w:r w:rsidRPr="000925A8">
        <w:t>ingen under perioden 1992 till november 2001.</w:t>
      </w:r>
      <w:r w:rsidRPr="000925A8">
        <w:rPr>
          <w:rStyle w:val="Fotnotsreferens"/>
        </w:rPr>
        <w:footnoteReference w:id="108"/>
      </w:r>
      <w:r w:rsidRPr="000925A8">
        <w:t xml:space="preserve"> Det var endast de fyra fall som nämns ovan som helt eller delvis avsåg prövningsgrunden bristande mellankommunal samordning. Under perioden 1987–1998 upphävde länsst</w:t>
      </w:r>
      <w:r w:rsidRPr="000925A8">
        <w:t>y</w:t>
      </w:r>
      <w:r w:rsidRPr="000925A8">
        <w:t>relserna således inga beslut med den motiveringen.</w:t>
      </w:r>
    </w:p>
    <w:p w14:paraId="204C947E" w14:textId="77777777" w:rsidR="00241093" w:rsidRPr="000925A8" w:rsidRDefault="00241093">
      <w:pPr>
        <w:pStyle w:val="R4"/>
      </w:pPr>
      <w:bookmarkStart w:id="93" w:name="_Toc4570236"/>
      <w:r w:rsidRPr="000925A8">
        <w:t>Länsstyrelsernas syn på prövningsgrunden ”inte lämplig mellankommunal samordning”</w:t>
      </w:r>
      <w:bookmarkEnd w:id="93"/>
    </w:p>
    <w:p w14:paraId="34E97439" w14:textId="77777777" w:rsidR="00241093" w:rsidRPr="000925A8" w:rsidRDefault="00241093">
      <w:pPr>
        <w:spacing w:before="0"/>
        <w:rPr>
          <w:b/>
          <w:sz w:val="20"/>
        </w:rPr>
      </w:pPr>
      <w:r w:rsidRPr="000925A8">
        <w:t>Länsstyrelserna fick ta ställning till hur de upplevde prövningsgrunden ”inte lämplig mellankommunal samordning”. Resultatet redovisas i tabell 5.3. I samtliga fall har sjugradiga skalor använts. Ytterlighetsvärdenas innebörd anges i tabellen.</w:t>
      </w:r>
    </w:p>
    <w:p w14:paraId="7B1C8F5C" w14:textId="77777777" w:rsidR="00241093" w:rsidRPr="000925A8" w:rsidRDefault="00241093">
      <w:pPr>
        <w:spacing w:before="187"/>
        <w:rPr>
          <w:b/>
          <w:sz w:val="20"/>
        </w:rPr>
      </w:pPr>
      <w:r w:rsidRPr="000925A8">
        <w:rPr>
          <w:b/>
          <w:sz w:val="20"/>
        </w:rPr>
        <w:t xml:space="preserve">Tabell 5.3 </w:t>
      </w:r>
      <w:r w:rsidRPr="000925A8">
        <w:rPr>
          <w:sz w:val="20"/>
        </w:rPr>
        <w:t>Länsstyrelsernas syn på prövningsgrunden ”inte lämplig me</w:t>
      </w:r>
      <w:r w:rsidRPr="000925A8">
        <w:rPr>
          <w:sz w:val="20"/>
        </w:rPr>
        <w:t>l</w:t>
      </w:r>
      <w:r w:rsidRPr="000925A8">
        <w:rPr>
          <w:sz w:val="20"/>
        </w:rPr>
        <w:t>lankommunal samor</w:t>
      </w:r>
      <w:r w:rsidRPr="000925A8">
        <w:rPr>
          <w:sz w:val="20"/>
        </w:rPr>
        <w:t>d</w:t>
      </w:r>
      <w:r w:rsidRPr="000925A8">
        <w:rPr>
          <w:sz w:val="20"/>
        </w:rPr>
        <w:t>ning” (12 kap. 1 § 2 PBL)</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BF" w:firstRow="1" w:lastRow="0" w:firstColumn="1" w:lastColumn="0" w:noHBand="0" w:noVBand="0"/>
      </w:tblPr>
      <w:tblGrid>
        <w:gridCol w:w="3261"/>
        <w:gridCol w:w="708"/>
        <w:gridCol w:w="709"/>
        <w:gridCol w:w="567"/>
        <w:gridCol w:w="709"/>
      </w:tblGrid>
      <w:tr w:rsidR="00000000" w:rsidRPr="000925A8" w14:paraId="284B4358" w14:textId="77777777">
        <w:tblPrEx>
          <w:tblCellMar>
            <w:top w:w="0" w:type="dxa"/>
            <w:bottom w:w="0" w:type="dxa"/>
          </w:tblCellMar>
        </w:tblPrEx>
        <w:tc>
          <w:tcPr>
            <w:tcW w:w="3261" w:type="dxa"/>
          </w:tcPr>
          <w:p w14:paraId="11B4C8C4" w14:textId="77777777" w:rsidR="00241093" w:rsidRPr="000925A8" w:rsidRDefault="00241093">
            <w:pPr>
              <w:spacing w:before="60" w:after="60"/>
              <w:rPr>
                <w:b/>
                <w:sz w:val="16"/>
              </w:rPr>
            </w:pPr>
            <w:r w:rsidRPr="000925A8">
              <w:rPr>
                <w:b/>
                <w:sz w:val="16"/>
              </w:rPr>
              <w:t>Prövningsgrunden uppfattas som...</w:t>
            </w:r>
          </w:p>
        </w:tc>
        <w:tc>
          <w:tcPr>
            <w:tcW w:w="708" w:type="dxa"/>
          </w:tcPr>
          <w:p w14:paraId="5F86C2EB" w14:textId="77777777" w:rsidR="00241093" w:rsidRPr="000925A8" w:rsidRDefault="00241093">
            <w:pPr>
              <w:spacing w:before="60" w:after="60"/>
              <w:jc w:val="center"/>
              <w:rPr>
                <w:b/>
                <w:sz w:val="16"/>
              </w:rPr>
            </w:pPr>
            <w:r w:rsidRPr="000925A8">
              <w:rPr>
                <w:b/>
                <w:sz w:val="16"/>
              </w:rPr>
              <w:t>M</w:t>
            </w:r>
            <w:r w:rsidRPr="000925A8">
              <w:rPr>
                <w:b/>
                <w:sz w:val="16"/>
              </w:rPr>
              <w:t>e</w:t>
            </w:r>
            <w:r w:rsidRPr="000925A8">
              <w:rPr>
                <w:b/>
                <w:sz w:val="16"/>
              </w:rPr>
              <w:t>del</w:t>
            </w:r>
          </w:p>
        </w:tc>
        <w:tc>
          <w:tcPr>
            <w:tcW w:w="709" w:type="dxa"/>
          </w:tcPr>
          <w:p w14:paraId="4FF0A8A8" w14:textId="77777777" w:rsidR="00241093" w:rsidRPr="000925A8" w:rsidRDefault="00241093">
            <w:pPr>
              <w:spacing w:before="60" w:after="60"/>
              <w:jc w:val="center"/>
              <w:rPr>
                <w:b/>
                <w:sz w:val="16"/>
              </w:rPr>
            </w:pPr>
            <w:r w:rsidRPr="000925A8">
              <w:rPr>
                <w:b/>
                <w:sz w:val="16"/>
              </w:rPr>
              <w:t>Min</w:t>
            </w:r>
          </w:p>
        </w:tc>
        <w:tc>
          <w:tcPr>
            <w:tcW w:w="567" w:type="dxa"/>
          </w:tcPr>
          <w:p w14:paraId="5E831576" w14:textId="77777777" w:rsidR="00241093" w:rsidRPr="000925A8" w:rsidRDefault="00241093">
            <w:pPr>
              <w:spacing w:before="60" w:after="60"/>
              <w:jc w:val="center"/>
              <w:rPr>
                <w:b/>
                <w:sz w:val="16"/>
              </w:rPr>
            </w:pPr>
            <w:r w:rsidRPr="000925A8">
              <w:rPr>
                <w:b/>
                <w:sz w:val="16"/>
              </w:rPr>
              <w:t>Max</w:t>
            </w:r>
          </w:p>
        </w:tc>
        <w:tc>
          <w:tcPr>
            <w:tcW w:w="709" w:type="dxa"/>
          </w:tcPr>
          <w:p w14:paraId="65DB474D" w14:textId="77777777" w:rsidR="00241093" w:rsidRPr="000925A8" w:rsidRDefault="00241093">
            <w:pPr>
              <w:spacing w:before="60" w:after="60"/>
              <w:jc w:val="center"/>
              <w:rPr>
                <w:b/>
                <w:sz w:val="16"/>
              </w:rPr>
            </w:pPr>
            <w:r w:rsidRPr="000925A8">
              <w:rPr>
                <w:b/>
                <w:sz w:val="16"/>
              </w:rPr>
              <w:t>A</w:t>
            </w:r>
            <w:r w:rsidRPr="000925A8">
              <w:rPr>
                <w:b/>
                <w:sz w:val="16"/>
              </w:rPr>
              <w:t>n</w:t>
            </w:r>
            <w:r w:rsidRPr="000925A8">
              <w:rPr>
                <w:b/>
                <w:sz w:val="16"/>
              </w:rPr>
              <w:t>tal</w:t>
            </w:r>
          </w:p>
        </w:tc>
      </w:tr>
      <w:tr w:rsidR="00000000" w:rsidRPr="000925A8" w14:paraId="5C0618A9" w14:textId="77777777">
        <w:tblPrEx>
          <w:tblCellMar>
            <w:top w:w="0" w:type="dxa"/>
            <w:bottom w:w="0" w:type="dxa"/>
          </w:tblCellMar>
        </w:tblPrEx>
        <w:tc>
          <w:tcPr>
            <w:tcW w:w="3261" w:type="dxa"/>
          </w:tcPr>
          <w:p w14:paraId="6A634FCC" w14:textId="77777777" w:rsidR="00241093" w:rsidRPr="000925A8" w:rsidRDefault="00241093">
            <w:pPr>
              <w:jc w:val="left"/>
              <w:rPr>
                <w:sz w:val="16"/>
              </w:rPr>
            </w:pPr>
            <w:r w:rsidRPr="000925A8">
              <w:rPr>
                <w:sz w:val="16"/>
              </w:rPr>
              <w:t>Inte alls tydlig – Mycket tydlig</w:t>
            </w:r>
          </w:p>
        </w:tc>
        <w:tc>
          <w:tcPr>
            <w:tcW w:w="708" w:type="dxa"/>
          </w:tcPr>
          <w:p w14:paraId="7EF93439" w14:textId="77777777" w:rsidR="00241093" w:rsidRPr="000925A8" w:rsidRDefault="00241093">
            <w:pPr>
              <w:spacing w:before="60" w:after="60"/>
              <w:jc w:val="center"/>
              <w:rPr>
                <w:sz w:val="16"/>
              </w:rPr>
            </w:pPr>
            <w:r w:rsidRPr="000925A8">
              <w:rPr>
                <w:sz w:val="16"/>
              </w:rPr>
              <w:t>3,7</w:t>
            </w:r>
          </w:p>
        </w:tc>
        <w:tc>
          <w:tcPr>
            <w:tcW w:w="709" w:type="dxa"/>
          </w:tcPr>
          <w:p w14:paraId="39557D39" w14:textId="77777777" w:rsidR="00241093" w:rsidRPr="000925A8" w:rsidRDefault="00241093">
            <w:pPr>
              <w:spacing w:before="60" w:after="60"/>
              <w:jc w:val="center"/>
              <w:rPr>
                <w:sz w:val="16"/>
              </w:rPr>
            </w:pPr>
            <w:r w:rsidRPr="000925A8">
              <w:rPr>
                <w:sz w:val="16"/>
              </w:rPr>
              <w:t>1 (1)*</w:t>
            </w:r>
          </w:p>
        </w:tc>
        <w:tc>
          <w:tcPr>
            <w:tcW w:w="567" w:type="dxa"/>
          </w:tcPr>
          <w:p w14:paraId="1FB1B9C4" w14:textId="77777777" w:rsidR="00241093" w:rsidRPr="000925A8" w:rsidRDefault="00241093">
            <w:pPr>
              <w:spacing w:before="60" w:after="60"/>
              <w:jc w:val="center"/>
              <w:rPr>
                <w:sz w:val="16"/>
              </w:rPr>
            </w:pPr>
            <w:r w:rsidRPr="000925A8">
              <w:rPr>
                <w:sz w:val="16"/>
              </w:rPr>
              <w:t>6 (2)</w:t>
            </w:r>
          </w:p>
        </w:tc>
        <w:tc>
          <w:tcPr>
            <w:tcW w:w="709" w:type="dxa"/>
          </w:tcPr>
          <w:p w14:paraId="003067AD" w14:textId="77777777" w:rsidR="00241093" w:rsidRPr="000925A8" w:rsidRDefault="00241093">
            <w:pPr>
              <w:spacing w:before="60" w:after="60"/>
              <w:jc w:val="center"/>
              <w:rPr>
                <w:sz w:val="16"/>
              </w:rPr>
            </w:pPr>
            <w:r w:rsidRPr="000925A8">
              <w:rPr>
                <w:sz w:val="16"/>
              </w:rPr>
              <w:t>20</w:t>
            </w:r>
          </w:p>
        </w:tc>
      </w:tr>
      <w:tr w:rsidR="00000000" w:rsidRPr="000925A8" w14:paraId="281805E5" w14:textId="77777777">
        <w:tblPrEx>
          <w:tblCellMar>
            <w:top w:w="0" w:type="dxa"/>
            <w:bottom w:w="0" w:type="dxa"/>
          </w:tblCellMar>
        </w:tblPrEx>
        <w:tc>
          <w:tcPr>
            <w:tcW w:w="3261" w:type="dxa"/>
          </w:tcPr>
          <w:p w14:paraId="70ECE9CE" w14:textId="77777777" w:rsidR="00241093" w:rsidRPr="000925A8" w:rsidRDefault="00241093">
            <w:pPr>
              <w:jc w:val="left"/>
              <w:rPr>
                <w:sz w:val="16"/>
              </w:rPr>
            </w:pPr>
            <w:r w:rsidRPr="000925A8">
              <w:rPr>
                <w:sz w:val="16"/>
              </w:rPr>
              <w:t>Mycket svår att tillämpa – Mycket lätt att ti</w:t>
            </w:r>
            <w:r w:rsidRPr="000925A8">
              <w:rPr>
                <w:sz w:val="16"/>
              </w:rPr>
              <w:t>l</w:t>
            </w:r>
            <w:r w:rsidRPr="000925A8">
              <w:rPr>
                <w:sz w:val="16"/>
              </w:rPr>
              <w:t>lämpa</w:t>
            </w:r>
          </w:p>
        </w:tc>
        <w:tc>
          <w:tcPr>
            <w:tcW w:w="708" w:type="dxa"/>
          </w:tcPr>
          <w:p w14:paraId="4BD266F7" w14:textId="77777777" w:rsidR="00241093" w:rsidRPr="000925A8" w:rsidRDefault="00241093">
            <w:pPr>
              <w:spacing w:before="60" w:after="60"/>
              <w:jc w:val="center"/>
              <w:rPr>
                <w:sz w:val="16"/>
              </w:rPr>
            </w:pPr>
            <w:r w:rsidRPr="000925A8">
              <w:rPr>
                <w:sz w:val="16"/>
              </w:rPr>
              <w:t>3,4</w:t>
            </w:r>
          </w:p>
        </w:tc>
        <w:tc>
          <w:tcPr>
            <w:tcW w:w="709" w:type="dxa"/>
          </w:tcPr>
          <w:p w14:paraId="61C4F78E" w14:textId="77777777" w:rsidR="00241093" w:rsidRPr="000925A8" w:rsidRDefault="00241093">
            <w:pPr>
              <w:spacing w:before="60" w:after="60"/>
              <w:jc w:val="center"/>
              <w:rPr>
                <w:sz w:val="16"/>
              </w:rPr>
            </w:pPr>
            <w:r w:rsidRPr="000925A8">
              <w:rPr>
                <w:sz w:val="16"/>
              </w:rPr>
              <w:t>2 (6)</w:t>
            </w:r>
          </w:p>
        </w:tc>
        <w:tc>
          <w:tcPr>
            <w:tcW w:w="567" w:type="dxa"/>
          </w:tcPr>
          <w:p w14:paraId="5C59FD04" w14:textId="77777777" w:rsidR="00241093" w:rsidRPr="000925A8" w:rsidRDefault="00241093">
            <w:pPr>
              <w:spacing w:before="60" w:after="60"/>
              <w:jc w:val="center"/>
              <w:rPr>
                <w:sz w:val="16"/>
              </w:rPr>
            </w:pPr>
            <w:r w:rsidRPr="000925A8">
              <w:rPr>
                <w:sz w:val="16"/>
              </w:rPr>
              <w:t>6 (1)</w:t>
            </w:r>
          </w:p>
        </w:tc>
        <w:tc>
          <w:tcPr>
            <w:tcW w:w="709" w:type="dxa"/>
          </w:tcPr>
          <w:p w14:paraId="034C7B04" w14:textId="77777777" w:rsidR="00241093" w:rsidRPr="000925A8" w:rsidRDefault="00241093">
            <w:pPr>
              <w:spacing w:before="60" w:after="60"/>
              <w:jc w:val="center"/>
              <w:rPr>
                <w:sz w:val="16"/>
              </w:rPr>
            </w:pPr>
            <w:r w:rsidRPr="000925A8">
              <w:rPr>
                <w:sz w:val="16"/>
              </w:rPr>
              <w:t>19</w:t>
            </w:r>
          </w:p>
        </w:tc>
      </w:tr>
      <w:tr w:rsidR="00000000" w:rsidRPr="000925A8" w14:paraId="022C1D77" w14:textId="77777777">
        <w:tblPrEx>
          <w:tblCellMar>
            <w:top w:w="0" w:type="dxa"/>
            <w:bottom w:w="0" w:type="dxa"/>
          </w:tblCellMar>
        </w:tblPrEx>
        <w:tc>
          <w:tcPr>
            <w:tcW w:w="3261" w:type="dxa"/>
          </w:tcPr>
          <w:p w14:paraId="3CA6F9EF" w14:textId="77777777" w:rsidR="00241093" w:rsidRPr="000925A8" w:rsidRDefault="00241093">
            <w:pPr>
              <w:jc w:val="left"/>
              <w:rPr>
                <w:sz w:val="16"/>
              </w:rPr>
            </w:pPr>
            <w:r w:rsidRPr="000925A8">
              <w:rPr>
                <w:sz w:val="16"/>
              </w:rPr>
              <w:t>Inte alls relevant för planeringsfrågorna i vårt län – Mycket relevant för planeringsfrågorna i vårt län</w:t>
            </w:r>
          </w:p>
        </w:tc>
        <w:tc>
          <w:tcPr>
            <w:tcW w:w="708" w:type="dxa"/>
          </w:tcPr>
          <w:p w14:paraId="6CCF2B33" w14:textId="77777777" w:rsidR="00241093" w:rsidRPr="000925A8" w:rsidRDefault="00241093">
            <w:pPr>
              <w:spacing w:before="60" w:after="60"/>
              <w:jc w:val="center"/>
              <w:rPr>
                <w:sz w:val="16"/>
              </w:rPr>
            </w:pPr>
            <w:r w:rsidRPr="000925A8">
              <w:rPr>
                <w:sz w:val="16"/>
              </w:rPr>
              <w:t>5,2</w:t>
            </w:r>
          </w:p>
        </w:tc>
        <w:tc>
          <w:tcPr>
            <w:tcW w:w="709" w:type="dxa"/>
          </w:tcPr>
          <w:p w14:paraId="62B93A83" w14:textId="77777777" w:rsidR="00241093" w:rsidRPr="000925A8" w:rsidRDefault="00241093">
            <w:pPr>
              <w:spacing w:before="60" w:after="60"/>
              <w:jc w:val="center"/>
              <w:rPr>
                <w:sz w:val="16"/>
              </w:rPr>
            </w:pPr>
            <w:r w:rsidRPr="000925A8">
              <w:rPr>
                <w:sz w:val="16"/>
              </w:rPr>
              <w:t>2 (2)</w:t>
            </w:r>
          </w:p>
        </w:tc>
        <w:tc>
          <w:tcPr>
            <w:tcW w:w="567" w:type="dxa"/>
          </w:tcPr>
          <w:p w14:paraId="77069E82" w14:textId="77777777" w:rsidR="00241093" w:rsidRPr="000925A8" w:rsidRDefault="00241093">
            <w:pPr>
              <w:spacing w:before="60" w:after="60"/>
              <w:jc w:val="center"/>
              <w:rPr>
                <w:sz w:val="16"/>
              </w:rPr>
            </w:pPr>
            <w:r w:rsidRPr="000925A8">
              <w:rPr>
                <w:sz w:val="16"/>
              </w:rPr>
              <w:t>7 (5)</w:t>
            </w:r>
          </w:p>
        </w:tc>
        <w:tc>
          <w:tcPr>
            <w:tcW w:w="709" w:type="dxa"/>
          </w:tcPr>
          <w:p w14:paraId="53FBE925" w14:textId="77777777" w:rsidR="00241093" w:rsidRPr="000925A8" w:rsidRDefault="00241093">
            <w:pPr>
              <w:spacing w:before="60" w:after="60"/>
              <w:jc w:val="center"/>
              <w:rPr>
                <w:sz w:val="16"/>
              </w:rPr>
            </w:pPr>
            <w:r w:rsidRPr="000925A8">
              <w:rPr>
                <w:sz w:val="16"/>
              </w:rPr>
              <w:t>19</w:t>
            </w:r>
          </w:p>
        </w:tc>
      </w:tr>
    </w:tbl>
    <w:p w14:paraId="71731CB8" w14:textId="77777777" w:rsidR="00241093" w:rsidRPr="000925A8" w:rsidRDefault="00241093">
      <w:pPr>
        <w:pStyle w:val="Punkter"/>
        <w:spacing w:after="240"/>
        <w:rPr>
          <w:sz w:val="16"/>
        </w:rPr>
      </w:pPr>
      <w:r w:rsidRPr="000925A8">
        <w:rPr>
          <w:sz w:val="16"/>
        </w:rPr>
        <w:t>* Värden inom parentes avser antalet länsstyrelser som har angivit max- eller minvärden.</w:t>
      </w:r>
    </w:p>
    <w:p w14:paraId="6821AB6A" w14:textId="77777777" w:rsidR="00241093" w:rsidRPr="000925A8" w:rsidRDefault="00241093">
      <w:r w:rsidRPr="000925A8">
        <w:t>Av tabellen framgår att länsstyrelsernas genomsnittliga uppfattning är att prövningsgrunden är något otydlig och något svår att tillämpa. Däremot anser huvuddelen av länsstyrelserna att den är relevant för planeringsfrågorna i det egna länet. Studerar man spridningen i svaren finner man att en majoritet av länsstyrelserna (11 st) anser att prövningsgrunden är otydlig (anger ett värde &lt; fyra). Samma antal anger att prövningsgrunden är svår att tillämpa. Det är dock svårt att utläsa något tydligt geografiskt</w:t>
      </w:r>
      <w:r w:rsidRPr="000925A8">
        <w:t xml:space="preserve"> eller befolkningsmässigt mön</w:t>
      </w:r>
      <w:r w:rsidRPr="000925A8">
        <w:t>s</w:t>
      </w:r>
      <w:r w:rsidRPr="000925A8">
        <w:t>ter i hur länsstyrelserna ställer sig till de två förstnämnda frågorna. När det gäller prövningsgrundens relevans kan man dock konstatera att samtliga tre storstadslän anger att den är mycket relevant (anger värdet sju).</w:t>
      </w:r>
    </w:p>
    <w:p w14:paraId="6EB9F9EA" w14:textId="77777777" w:rsidR="00241093" w:rsidRPr="000925A8" w:rsidRDefault="00241093">
      <w:pPr>
        <w:pStyle w:val="Normaltindrag"/>
      </w:pPr>
      <w:r w:rsidRPr="000925A8">
        <w:t xml:space="preserve"> Länsstyrelserna fick även ta ställning till ett påstående om när bestämme</w:t>
      </w:r>
      <w:r w:rsidRPr="000925A8">
        <w:t>l</w:t>
      </w:r>
      <w:r w:rsidRPr="000925A8">
        <w:t>sen om statlig överprövning vid bristande mellankommunal samordning är tillämplig. Frågan tog sin utgångspunkt i att det vid flera tillfällen under det inledande uppföljningsarbetet framkommit olika uppfattningar om huruvida bestämmelsen om överprövning är tillämplig när kommuner är överens i en planfråga. Märk här det tidigare refererade uttalandet i bestämmelsens spec</w:t>
      </w:r>
      <w:r w:rsidRPr="000925A8">
        <w:t>i</w:t>
      </w:r>
      <w:r w:rsidRPr="000925A8">
        <w:t>almotivering: ”en prövning på denna grund [blir] normalt endast ... aktuell då de inblandade kommunerna på något sätt är oense”.</w:t>
      </w:r>
      <w:r w:rsidRPr="000925A8">
        <w:rPr>
          <w:rStyle w:val="Fotnotsreferens"/>
        </w:rPr>
        <w:footnoteReference w:id="109"/>
      </w:r>
      <w:r w:rsidRPr="000925A8">
        <w:t xml:space="preserve"> </w:t>
      </w:r>
    </w:p>
    <w:p w14:paraId="6FB5823D" w14:textId="77777777" w:rsidR="00241093" w:rsidRPr="000925A8" w:rsidRDefault="00241093">
      <w:pPr>
        <w:pStyle w:val="Normaltindrag"/>
      </w:pPr>
      <w:r w:rsidRPr="000925A8">
        <w:t>Länsstyrelserna fick ta ställning till följande påstående: ”När kommuner är överens i en mellankommunal planfråga anser länsstyrelsen inte att det finns rättslig grund för att pröva planen eller områdesbestämmelserna enligt 12 kap. 1 § 2 p PBL.” Svaret skulle anges på en sjugradig skala mellan ytterlighet</w:t>
      </w:r>
      <w:r w:rsidRPr="000925A8">
        <w:t>s</w:t>
      </w:r>
      <w:r w:rsidRPr="000925A8">
        <w:t xml:space="preserve">värdena ”instämmer inte alls” och ”instämmer helt”. </w:t>
      </w:r>
    </w:p>
    <w:p w14:paraId="21523E4C" w14:textId="77777777" w:rsidR="00241093" w:rsidRPr="000925A8" w:rsidRDefault="00241093">
      <w:pPr>
        <w:pStyle w:val="Normaltindrag"/>
      </w:pPr>
      <w:r w:rsidRPr="000925A8">
        <w:t>Medelvärdet för länsstyrelsernas svar blev 5,2. Intressantare än medelvä</w:t>
      </w:r>
      <w:r w:rsidRPr="000925A8">
        <w:t>r</w:t>
      </w:r>
      <w:r w:rsidRPr="000925A8">
        <w:t>det är emellertid spridningen i svaren. Denna illustreras i figur 5.4.</w:t>
      </w:r>
    </w:p>
    <w:p w14:paraId="6B2C9EE2" w14:textId="29B679F0" w:rsidR="00241093" w:rsidRPr="000925A8" w:rsidRDefault="000925A8">
      <w:r w:rsidRPr="000925A8">
        <w:rPr>
          <w:noProof/>
        </w:rPr>
        <w:drawing>
          <wp:inline distT="0" distB="0" distL="0" distR="0" wp14:anchorId="3BDA4859" wp14:editId="40056312">
            <wp:extent cx="3810000" cy="242189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10000" cy="2421890"/>
                    </a:xfrm>
                    <a:prstGeom prst="rect">
                      <a:avLst/>
                    </a:prstGeom>
                    <a:noFill/>
                    <a:ln>
                      <a:noFill/>
                    </a:ln>
                  </pic:spPr>
                </pic:pic>
              </a:graphicData>
            </a:graphic>
          </wp:inline>
        </w:drawing>
      </w:r>
      <w:r w:rsidR="00241093" w:rsidRPr="000925A8">
        <w:t>Av figuren framgår att hela tio länsstyrelser ansåg att de inte hade rättslig grund att överpröva planer med motiveringen att den mellankommunala sa</w:t>
      </w:r>
      <w:r w:rsidR="00241093" w:rsidRPr="000925A8">
        <w:t>m</w:t>
      </w:r>
      <w:r w:rsidR="00241093" w:rsidRPr="000925A8">
        <w:t>ordningen inte hade varit lämplig om de inblandade kommunerna var överens (de angav värden &gt; fem).</w:t>
      </w:r>
      <w:r w:rsidR="00241093" w:rsidRPr="000925A8">
        <w:rPr>
          <w:rStyle w:val="Fotnotsreferens"/>
        </w:rPr>
        <w:footnoteReference w:id="110"/>
      </w:r>
      <w:r w:rsidR="00241093" w:rsidRPr="000925A8">
        <w:t xml:space="preserve"> Motsvarande fråga har också ställts till komm</w:t>
      </w:r>
      <w:r w:rsidR="00241093" w:rsidRPr="000925A8">
        <w:t>u</w:t>
      </w:r>
      <w:r w:rsidR="00241093" w:rsidRPr="000925A8">
        <w:t>nerna. Resultaten av deras svar redovisas i nästa kapitel.</w:t>
      </w:r>
    </w:p>
    <w:p w14:paraId="29D82390" w14:textId="77777777" w:rsidR="00241093" w:rsidRPr="000925A8" w:rsidRDefault="00241093">
      <w:pPr>
        <w:pStyle w:val="R3"/>
      </w:pPr>
      <w:r w:rsidRPr="000925A8">
        <w:t>Förordnanden enligt 12 kap. 4 § PBL samt överklaganden enligt 13 kap. PBL</w:t>
      </w:r>
    </w:p>
    <w:p w14:paraId="63D90EAC" w14:textId="77777777" w:rsidR="00241093" w:rsidRPr="000925A8" w:rsidRDefault="00241093">
      <w:r w:rsidRPr="000925A8">
        <w:t>Länsstyrelsen kan då särskilda skäl föreligger förordna att reglerna om prö</w:t>
      </w:r>
      <w:r w:rsidRPr="000925A8">
        <w:t>v</w:t>
      </w:r>
      <w:r w:rsidRPr="000925A8">
        <w:t>ning av planer enligt 12 kap. 1–3 §§ PBL även ska tillämpas på lov eller förhandsbesked inom ett visst område.</w:t>
      </w:r>
      <w:r w:rsidRPr="000925A8">
        <w:rPr>
          <w:rStyle w:val="Fotnotsreferens"/>
        </w:rPr>
        <w:footnoteReference w:id="111"/>
      </w:r>
      <w:r w:rsidRPr="000925A8">
        <w:t xml:space="preserve"> </w:t>
      </w:r>
    </w:p>
    <w:p w14:paraId="1914C1A4" w14:textId="77777777" w:rsidR="00241093" w:rsidRPr="000925A8" w:rsidRDefault="00241093">
      <w:pPr>
        <w:pStyle w:val="Normaltindrag"/>
      </w:pPr>
      <w:r w:rsidRPr="000925A8">
        <w:t>Av enkäten framkommer att detta mycket sällan sker med motivet att man vill säkerställa en lämplig mellankommunal samordning. Under perioden 1998–2001 var det ingen länsstyrelse som beslutade om förordnande helt eller delvis med den motiveringen.</w:t>
      </w:r>
    </w:p>
    <w:p w14:paraId="4C556C4C" w14:textId="77777777" w:rsidR="00241093" w:rsidRPr="000925A8" w:rsidRDefault="00241093">
      <w:pPr>
        <w:pStyle w:val="Normaltindrag"/>
      </w:pPr>
      <w:r w:rsidRPr="000925A8">
        <w:t>I endast fem fall under perioden 1998–2001 har en kommuns planbeslut överklagats till länsstyrelsen helt eller delvis med motiveringen att den me</w:t>
      </w:r>
      <w:r w:rsidRPr="000925A8">
        <w:t>l</w:t>
      </w:r>
      <w:r w:rsidRPr="000925A8">
        <w:t>lankommunala samordningen inte har varit lämplig.</w:t>
      </w:r>
      <w:r w:rsidRPr="000925A8">
        <w:rPr>
          <w:rStyle w:val="Fotnotsreferens"/>
        </w:rPr>
        <w:footnoteReference w:id="112"/>
      </w:r>
      <w:r w:rsidRPr="000925A8">
        <w:t xml:space="preserve"> I en majoritet av dessa fall gäller frågan externa handelsetableringar, och den som överklagade var en grannkommun. Inte i något fall biträdde länsstyrelsen öve</w:t>
      </w:r>
      <w:r w:rsidRPr="000925A8">
        <w:t>r</w:t>
      </w:r>
      <w:r w:rsidRPr="000925A8">
        <w:t>klagandena.</w:t>
      </w:r>
    </w:p>
    <w:p w14:paraId="04287089" w14:textId="77777777" w:rsidR="00241093" w:rsidRPr="000925A8" w:rsidRDefault="00241093">
      <w:pPr>
        <w:pStyle w:val="R3"/>
      </w:pPr>
      <w:r w:rsidRPr="000925A8">
        <w:t>Planföreläggande</w:t>
      </w:r>
    </w:p>
    <w:p w14:paraId="1E71F1D7" w14:textId="77777777" w:rsidR="00241093" w:rsidRPr="000925A8" w:rsidRDefault="00241093">
      <w:pPr>
        <w:rPr>
          <w:snapToGrid w:val="0"/>
          <w:lang w:eastAsia="sv-SE"/>
        </w:rPr>
      </w:pPr>
      <w:r w:rsidRPr="000925A8">
        <w:rPr>
          <w:snapToGrid w:val="0"/>
          <w:lang w:eastAsia="sv-SE"/>
        </w:rPr>
        <w:t>Bestämmelsen om planföreläggande enligt 12 kap. 6 § PBL har ännu inte tillämpats vid något tillfälle. Enligt uppgift från Miljödepartementet har e</w:t>
      </w:r>
      <w:r w:rsidRPr="000925A8">
        <w:rPr>
          <w:snapToGrid w:val="0"/>
          <w:lang w:eastAsia="sv-SE"/>
        </w:rPr>
        <w:t>n</w:t>
      </w:r>
      <w:r w:rsidRPr="000925A8">
        <w:rPr>
          <w:snapToGrid w:val="0"/>
          <w:lang w:eastAsia="sv-SE"/>
        </w:rPr>
        <w:t>dast fem konkreta framställningar gjorts av vilka tre kom från statliga my</w:t>
      </w:r>
      <w:r w:rsidRPr="000925A8">
        <w:rPr>
          <w:snapToGrid w:val="0"/>
          <w:lang w:eastAsia="sv-SE"/>
        </w:rPr>
        <w:t>n</w:t>
      </w:r>
      <w:r w:rsidRPr="000925A8">
        <w:rPr>
          <w:snapToGrid w:val="0"/>
          <w:lang w:eastAsia="sv-SE"/>
        </w:rPr>
        <w:t>digheter, dock ej från någon länsstyrelse. En framställan kom från Banverket och innefattade krav på att en kommun skulle utarbeta detaljplan för en jär</w:t>
      </w:r>
      <w:r w:rsidRPr="000925A8">
        <w:rPr>
          <w:snapToGrid w:val="0"/>
          <w:lang w:eastAsia="sv-SE"/>
        </w:rPr>
        <w:t>n</w:t>
      </w:r>
      <w:r w:rsidRPr="000925A8">
        <w:rPr>
          <w:snapToGrid w:val="0"/>
          <w:lang w:eastAsia="sv-SE"/>
        </w:rPr>
        <w:t>vägssträckning. Kommunen motsatte sig detta. I Banverkets skrivelse påtal</w:t>
      </w:r>
      <w:r w:rsidRPr="000925A8">
        <w:rPr>
          <w:snapToGrid w:val="0"/>
          <w:lang w:eastAsia="sv-SE"/>
        </w:rPr>
        <w:t>a</w:t>
      </w:r>
      <w:r w:rsidRPr="000925A8">
        <w:rPr>
          <w:snapToGrid w:val="0"/>
          <w:lang w:eastAsia="sv-SE"/>
        </w:rPr>
        <w:t>des att järnvägsutbyggnaden avsåg såväl ett riksintresse som ett mellanko</w:t>
      </w:r>
      <w:r w:rsidRPr="000925A8">
        <w:rPr>
          <w:snapToGrid w:val="0"/>
          <w:lang w:eastAsia="sv-SE"/>
        </w:rPr>
        <w:t>m</w:t>
      </w:r>
      <w:r w:rsidRPr="000925A8">
        <w:rPr>
          <w:snapToGrid w:val="0"/>
          <w:lang w:eastAsia="sv-SE"/>
        </w:rPr>
        <w:t>munalt intresse. Grannkommunen var beredd att utarbeta detaljplan i enlighet med Banverkets önskemål.</w:t>
      </w:r>
      <w:r w:rsidRPr="000925A8">
        <w:rPr>
          <w:rStyle w:val="Fotnotsreferens"/>
          <w:snapToGrid w:val="0"/>
          <w:lang w:eastAsia="sv-SE"/>
        </w:rPr>
        <w:footnoteReference w:id="113"/>
      </w:r>
      <w:r w:rsidRPr="000925A8">
        <w:rPr>
          <w:snapToGrid w:val="0"/>
          <w:lang w:eastAsia="sv-SE"/>
        </w:rPr>
        <w:t xml:space="preserve"> </w:t>
      </w:r>
    </w:p>
    <w:p w14:paraId="1457962E" w14:textId="77777777" w:rsidR="00241093" w:rsidRPr="000925A8" w:rsidRDefault="00241093">
      <w:pPr>
        <w:pStyle w:val="Normaltindrag"/>
      </w:pPr>
      <w:r w:rsidRPr="000925A8">
        <w:rPr>
          <w:snapToGrid w:val="0"/>
          <w:lang w:eastAsia="sv-SE"/>
        </w:rPr>
        <w:t>I stället för att besluta om ett planföreläggande valde regeringen att tillsätta en särskild förhandlare med uppgift att utreda förutsättningarna att nå en överenskommelse mellan kommunen och Banverket. Förhandlaren lyckades få parterna att träffa en överenskommelse om fortsatt planläggning varvid Banverket förband sig att återkalla verkets hemställan om pla</w:t>
      </w:r>
      <w:r w:rsidRPr="000925A8">
        <w:rPr>
          <w:snapToGrid w:val="0"/>
          <w:lang w:eastAsia="sv-SE"/>
        </w:rPr>
        <w:t>n</w:t>
      </w:r>
      <w:r w:rsidRPr="000925A8">
        <w:rPr>
          <w:snapToGrid w:val="0"/>
          <w:lang w:eastAsia="sv-SE"/>
        </w:rPr>
        <w:t>föreläggande.</w:t>
      </w:r>
    </w:p>
    <w:p w14:paraId="7F292AB7" w14:textId="77777777" w:rsidR="00241093" w:rsidRPr="000925A8" w:rsidRDefault="00241093">
      <w:pPr>
        <w:pStyle w:val="R3"/>
      </w:pPr>
      <w:r w:rsidRPr="000925A8">
        <w:t>Planfrågor där den mellankommunala samordningen fungerar mindre bra</w:t>
      </w:r>
    </w:p>
    <w:p w14:paraId="69589DAC" w14:textId="77777777" w:rsidR="00241093" w:rsidRPr="000925A8" w:rsidRDefault="00241093">
      <w:r w:rsidRPr="000925A8">
        <w:t>Länsstyrelserna ombads att ange i vilka planfrågor i de egna länet de ansåg att den mellankommunala samordningen fungerar mindre bra. Svaren redovisas i tabell 5.4.</w:t>
      </w:r>
    </w:p>
    <w:p w14:paraId="07A5BE9B" w14:textId="77777777" w:rsidR="00241093" w:rsidRPr="000925A8" w:rsidRDefault="00241093">
      <w:pPr>
        <w:pStyle w:val="Brdtext"/>
        <w:spacing w:after="0"/>
        <w:rPr>
          <w:color w:val="auto"/>
          <w:sz w:val="20"/>
        </w:rPr>
      </w:pPr>
      <w:r w:rsidRPr="000925A8">
        <w:rPr>
          <w:b/>
          <w:color w:val="auto"/>
          <w:sz w:val="20"/>
        </w:rPr>
        <w:br w:type="page"/>
        <w:t>Tabell 5.4</w:t>
      </w:r>
      <w:r w:rsidRPr="000925A8">
        <w:rPr>
          <w:color w:val="auto"/>
          <w:sz w:val="20"/>
        </w:rPr>
        <w:t xml:space="preserve"> Länsstyrelsernas uppfattning om vilka planfrågor i det egna länet där den mella</w:t>
      </w:r>
      <w:r w:rsidRPr="000925A8">
        <w:rPr>
          <w:color w:val="auto"/>
          <w:sz w:val="20"/>
        </w:rPr>
        <w:t>n</w:t>
      </w:r>
      <w:r w:rsidRPr="000925A8">
        <w:rPr>
          <w:color w:val="auto"/>
          <w:sz w:val="20"/>
        </w:rPr>
        <w:t>kommunala samordningen fungerar mindre bra.</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BF" w:firstRow="1" w:lastRow="0" w:firstColumn="1" w:lastColumn="0" w:noHBand="0" w:noVBand="0"/>
      </w:tblPr>
      <w:tblGrid>
        <w:gridCol w:w="3543"/>
        <w:gridCol w:w="2411"/>
      </w:tblGrid>
      <w:tr w:rsidR="00000000" w:rsidRPr="000925A8" w14:paraId="04C45BE3" w14:textId="77777777">
        <w:tblPrEx>
          <w:tblCellMar>
            <w:top w:w="0" w:type="dxa"/>
            <w:bottom w:w="0" w:type="dxa"/>
          </w:tblCellMar>
        </w:tblPrEx>
        <w:tc>
          <w:tcPr>
            <w:tcW w:w="3543" w:type="dxa"/>
          </w:tcPr>
          <w:p w14:paraId="7C8E0218" w14:textId="77777777" w:rsidR="00241093" w:rsidRPr="000925A8" w:rsidRDefault="00241093">
            <w:pPr>
              <w:pStyle w:val="Innehll1"/>
              <w:spacing w:before="60" w:after="60" w:line="240" w:lineRule="auto"/>
              <w:rPr>
                <w:b/>
                <w:sz w:val="20"/>
              </w:rPr>
            </w:pPr>
            <w:r w:rsidRPr="000925A8">
              <w:rPr>
                <w:b/>
                <w:sz w:val="20"/>
              </w:rPr>
              <w:t>Planfråga</w:t>
            </w:r>
          </w:p>
        </w:tc>
        <w:tc>
          <w:tcPr>
            <w:tcW w:w="2411" w:type="dxa"/>
          </w:tcPr>
          <w:p w14:paraId="6EF33EFD" w14:textId="77777777" w:rsidR="00241093" w:rsidRPr="000925A8" w:rsidRDefault="00241093">
            <w:pPr>
              <w:spacing w:before="60" w:after="60"/>
              <w:jc w:val="left"/>
              <w:rPr>
                <w:b/>
                <w:sz w:val="20"/>
              </w:rPr>
            </w:pPr>
            <w:r w:rsidRPr="000925A8">
              <w:rPr>
                <w:b/>
                <w:sz w:val="20"/>
              </w:rPr>
              <w:t>Län som har angivit att den mellankommunala samordningen fungerar mindre bra</w:t>
            </w:r>
          </w:p>
        </w:tc>
      </w:tr>
      <w:tr w:rsidR="00000000" w:rsidRPr="000925A8" w14:paraId="1D4AE750" w14:textId="77777777">
        <w:tblPrEx>
          <w:tblCellMar>
            <w:top w:w="0" w:type="dxa"/>
            <w:bottom w:w="0" w:type="dxa"/>
          </w:tblCellMar>
        </w:tblPrEx>
        <w:tc>
          <w:tcPr>
            <w:tcW w:w="3543" w:type="dxa"/>
          </w:tcPr>
          <w:p w14:paraId="7C05BD32" w14:textId="77777777" w:rsidR="00241093" w:rsidRPr="000925A8" w:rsidRDefault="00241093">
            <w:pPr>
              <w:spacing w:before="60" w:after="60"/>
              <w:jc w:val="left"/>
              <w:rPr>
                <w:sz w:val="16"/>
              </w:rPr>
            </w:pPr>
            <w:r w:rsidRPr="000925A8">
              <w:rPr>
                <w:sz w:val="16"/>
              </w:rPr>
              <w:t>Externha</w:t>
            </w:r>
            <w:r w:rsidRPr="000925A8">
              <w:rPr>
                <w:sz w:val="16"/>
              </w:rPr>
              <w:t>n</w:t>
            </w:r>
            <w:r w:rsidRPr="000925A8">
              <w:rPr>
                <w:sz w:val="16"/>
              </w:rPr>
              <w:t>dels-/stormarknadsetableringar</w:t>
            </w:r>
          </w:p>
        </w:tc>
        <w:tc>
          <w:tcPr>
            <w:tcW w:w="2411" w:type="dxa"/>
          </w:tcPr>
          <w:p w14:paraId="03382E0A" w14:textId="77777777" w:rsidR="00241093" w:rsidRPr="000925A8" w:rsidRDefault="00241093">
            <w:pPr>
              <w:pStyle w:val="Sidfot"/>
              <w:spacing w:before="60" w:after="60"/>
              <w:jc w:val="left"/>
              <w:rPr>
                <w:sz w:val="16"/>
              </w:rPr>
            </w:pPr>
            <w:r w:rsidRPr="000925A8">
              <w:rPr>
                <w:sz w:val="16"/>
              </w:rPr>
              <w:t xml:space="preserve">AB, AC, BD, C, E, F*, K, M, N, Z, U </w:t>
            </w:r>
          </w:p>
        </w:tc>
      </w:tr>
      <w:tr w:rsidR="00000000" w:rsidRPr="000925A8" w14:paraId="15209C95" w14:textId="77777777">
        <w:tblPrEx>
          <w:tblCellMar>
            <w:top w:w="0" w:type="dxa"/>
            <w:bottom w:w="0" w:type="dxa"/>
          </w:tblCellMar>
        </w:tblPrEx>
        <w:tc>
          <w:tcPr>
            <w:tcW w:w="3543" w:type="dxa"/>
          </w:tcPr>
          <w:p w14:paraId="5D98ABF3" w14:textId="77777777" w:rsidR="00241093" w:rsidRPr="000925A8" w:rsidRDefault="00241093">
            <w:pPr>
              <w:spacing w:before="60" w:after="60"/>
              <w:jc w:val="left"/>
              <w:rPr>
                <w:sz w:val="16"/>
              </w:rPr>
            </w:pPr>
            <w:r w:rsidRPr="000925A8">
              <w:rPr>
                <w:sz w:val="16"/>
              </w:rPr>
              <w:t>Avfallsdeponier</w:t>
            </w:r>
          </w:p>
        </w:tc>
        <w:tc>
          <w:tcPr>
            <w:tcW w:w="2411" w:type="dxa"/>
          </w:tcPr>
          <w:p w14:paraId="4509697C" w14:textId="77777777" w:rsidR="00241093" w:rsidRPr="000925A8" w:rsidRDefault="00241093">
            <w:pPr>
              <w:spacing w:before="60" w:after="60"/>
              <w:jc w:val="left"/>
              <w:rPr>
                <w:sz w:val="16"/>
              </w:rPr>
            </w:pPr>
            <w:r w:rsidRPr="000925A8">
              <w:rPr>
                <w:sz w:val="16"/>
              </w:rPr>
              <w:t>AB, E, O, M</w:t>
            </w:r>
          </w:p>
        </w:tc>
      </w:tr>
      <w:tr w:rsidR="00000000" w:rsidRPr="000925A8" w14:paraId="3A06CE8E" w14:textId="77777777">
        <w:tblPrEx>
          <w:tblCellMar>
            <w:top w:w="0" w:type="dxa"/>
            <w:bottom w:w="0" w:type="dxa"/>
          </w:tblCellMar>
        </w:tblPrEx>
        <w:tc>
          <w:tcPr>
            <w:tcW w:w="3543" w:type="dxa"/>
          </w:tcPr>
          <w:p w14:paraId="1F23AE23" w14:textId="77777777" w:rsidR="00241093" w:rsidRPr="000925A8" w:rsidRDefault="00241093">
            <w:pPr>
              <w:spacing w:before="60" w:after="60"/>
              <w:jc w:val="left"/>
              <w:rPr>
                <w:sz w:val="16"/>
              </w:rPr>
            </w:pPr>
            <w:r w:rsidRPr="000925A8">
              <w:rPr>
                <w:sz w:val="16"/>
              </w:rPr>
              <w:t>Vindkraft</w:t>
            </w:r>
          </w:p>
        </w:tc>
        <w:tc>
          <w:tcPr>
            <w:tcW w:w="2411" w:type="dxa"/>
          </w:tcPr>
          <w:p w14:paraId="36DC3C6C" w14:textId="77777777" w:rsidR="00241093" w:rsidRPr="000925A8" w:rsidRDefault="00241093">
            <w:pPr>
              <w:spacing w:before="60" w:after="60"/>
              <w:jc w:val="left"/>
              <w:rPr>
                <w:sz w:val="16"/>
              </w:rPr>
            </w:pPr>
            <w:r w:rsidRPr="000925A8">
              <w:rPr>
                <w:sz w:val="16"/>
              </w:rPr>
              <w:t>C, H, K, M</w:t>
            </w:r>
          </w:p>
        </w:tc>
      </w:tr>
      <w:tr w:rsidR="00000000" w:rsidRPr="000925A8" w14:paraId="327FFB55" w14:textId="77777777">
        <w:tblPrEx>
          <w:tblCellMar>
            <w:top w:w="0" w:type="dxa"/>
            <w:bottom w:w="0" w:type="dxa"/>
          </w:tblCellMar>
        </w:tblPrEx>
        <w:tc>
          <w:tcPr>
            <w:tcW w:w="3543" w:type="dxa"/>
          </w:tcPr>
          <w:p w14:paraId="322EF6D4" w14:textId="77777777" w:rsidR="00241093" w:rsidRPr="000925A8" w:rsidRDefault="0024109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60" w:after="60"/>
              <w:rPr>
                <w:rFonts w:ascii="Times New Roman" w:hAnsi="Times New Roman"/>
                <w:snapToGrid/>
                <w:sz w:val="16"/>
              </w:rPr>
            </w:pPr>
            <w:r w:rsidRPr="000925A8">
              <w:rPr>
                <w:rFonts w:ascii="Times New Roman" w:hAnsi="Times New Roman"/>
                <w:snapToGrid/>
                <w:sz w:val="16"/>
              </w:rPr>
              <w:t>Hamnfrågor</w:t>
            </w:r>
          </w:p>
        </w:tc>
        <w:tc>
          <w:tcPr>
            <w:tcW w:w="2411" w:type="dxa"/>
          </w:tcPr>
          <w:p w14:paraId="4EBFE34E" w14:textId="77777777" w:rsidR="00241093" w:rsidRPr="000925A8" w:rsidRDefault="00241093">
            <w:pPr>
              <w:spacing w:before="60" w:after="60"/>
              <w:jc w:val="left"/>
              <w:rPr>
                <w:sz w:val="16"/>
              </w:rPr>
            </w:pPr>
            <w:r w:rsidRPr="000925A8">
              <w:rPr>
                <w:sz w:val="16"/>
              </w:rPr>
              <w:t>AB</w:t>
            </w:r>
          </w:p>
        </w:tc>
      </w:tr>
      <w:tr w:rsidR="00000000" w:rsidRPr="000925A8" w14:paraId="666EF9BC" w14:textId="77777777">
        <w:tblPrEx>
          <w:tblCellMar>
            <w:top w:w="0" w:type="dxa"/>
            <w:bottom w:w="0" w:type="dxa"/>
          </w:tblCellMar>
        </w:tblPrEx>
        <w:tc>
          <w:tcPr>
            <w:tcW w:w="3543" w:type="dxa"/>
          </w:tcPr>
          <w:p w14:paraId="72D9B71B" w14:textId="77777777" w:rsidR="00241093" w:rsidRPr="000925A8" w:rsidRDefault="00241093">
            <w:pPr>
              <w:spacing w:before="60" w:after="60"/>
              <w:jc w:val="left"/>
              <w:rPr>
                <w:sz w:val="16"/>
              </w:rPr>
            </w:pPr>
            <w:r w:rsidRPr="000925A8">
              <w:rPr>
                <w:sz w:val="16"/>
              </w:rPr>
              <w:t>Miljökvalitetsnormer</w:t>
            </w:r>
          </w:p>
        </w:tc>
        <w:tc>
          <w:tcPr>
            <w:tcW w:w="2411" w:type="dxa"/>
          </w:tcPr>
          <w:p w14:paraId="25526EBC" w14:textId="77777777" w:rsidR="00241093" w:rsidRPr="000925A8" w:rsidRDefault="00241093">
            <w:pPr>
              <w:spacing w:before="60" w:after="60"/>
              <w:jc w:val="left"/>
              <w:rPr>
                <w:sz w:val="16"/>
              </w:rPr>
            </w:pPr>
            <w:r w:rsidRPr="000925A8">
              <w:rPr>
                <w:sz w:val="16"/>
              </w:rPr>
              <w:t>N</w:t>
            </w:r>
          </w:p>
        </w:tc>
      </w:tr>
      <w:tr w:rsidR="00000000" w:rsidRPr="000925A8" w14:paraId="16A279CC" w14:textId="77777777">
        <w:tblPrEx>
          <w:tblCellMar>
            <w:top w:w="0" w:type="dxa"/>
            <w:bottom w:w="0" w:type="dxa"/>
          </w:tblCellMar>
        </w:tblPrEx>
        <w:tc>
          <w:tcPr>
            <w:tcW w:w="3543" w:type="dxa"/>
          </w:tcPr>
          <w:p w14:paraId="4A6FA086" w14:textId="77777777" w:rsidR="00241093" w:rsidRPr="000925A8" w:rsidRDefault="00241093">
            <w:pPr>
              <w:spacing w:before="60" w:after="60"/>
              <w:jc w:val="left"/>
              <w:rPr>
                <w:sz w:val="16"/>
              </w:rPr>
            </w:pPr>
            <w:r w:rsidRPr="000925A8">
              <w:rPr>
                <w:sz w:val="16"/>
              </w:rPr>
              <w:t>Vattenkvalitet eller vattenförsörjning</w:t>
            </w:r>
          </w:p>
        </w:tc>
        <w:tc>
          <w:tcPr>
            <w:tcW w:w="2411" w:type="dxa"/>
          </w:tcPr>
          <w:p w14:paraId="376E1EDB" w14:textId="77777777" w:rsidR="00241093" w:rsidRPr="000925A8" w:rsidRDefault="00241093">
            <w:pPr>
              <w:spacing w:before="60" w:after="60"/>
              <w:jc w:val="left"/>
              <w:rPr>
                <w:sz w:val="16"/>
              </w:rPr>
            </w:pPr>
            <w:r w:rsidRPr="000925A8">
              <w:rPr>
                <w:sz w:val="16"/>
              </w:rPr>
              <w:t>K, N</w:t>
            </w:r>
          </w:p>
        </w:tc>
      </w:tr>
      <w:tr w:rsidR="00000000" w:rsidRPr="000925A8" w14:paraId="591D12DF" w14:textId="77777777">
        <w:tblPrEx>
          <w:tblCellMar>
            <w:top w:w="0" w:type="dxa"/>
            <w:bottom w:w="0" w:type="dxa"/>
          </w:tblCellMar>
        </w:tblPrEx>
        <w:tc>
          <w:tcPr>
            <w:tcW w:w="3543" w:type="dxa"/>
          </w:tcPr>
          <w:p w14:paraId="72275076" w14:textId="77777777" w:rsidR="00241093" w:rsidRPr="000925A8" w:rsidRDefault="00241093">
            <w:pPr>
              <w:spacing w:before="60" w:after="60"/>
              <w:jc w:val="left"/>
              <w:rPr>
                <w:sz w:val="16"/>
              </w:rPr>
            </w:pPr>
            <w:r w:rsidRPr="000925A8">
              <w:rPr>
                <w:sz w:val="16"/>
              </w:rPr>
              <w:t>Bostadsförsörjning</w:t>
            </w:r>
          </w:p>
        </w:tc>
        <w:tc>
          <w:tcPr>
            <w:tcW w:w="2411" w:type="dxa"/>
          </w:tcPr>
          <w:p w14:paraId="6946B866" w14:textId="77777777" w:rsidR="00241093" w:rsidRPr="000925A8" w:rsidRDefault="00241093">
            <w:pPr>
              <w:spacing w:before="60" w:after="60"/>
              <w:jc w:val="left"/>
              <w:rPr>
                <w:sz w:val="16"/>
              </w:rPr>
            </w:pPr>
            <w:r w:rsidRPr="000925A8">
              <w:rPr>
                <w:sz w:val="16"/>
              </w:rPr>
              <w:t>AB</w:t>
            </w:r>
          </w:p>
        </w:tc>
      </w:tr>
      <w:tr w:rsidR="00000000" w:rsidRPr="000925A8" w14:paraId="5DE44AF5" w14:textId="77777777">
        <w:tblPrEx>
          <w:tblCellMar>
            <w:top w:w="0" w:type="dxa"/>
            <w:bottom w:w="0" w:type="dxa"/>
          </w:tblCellMar>
        </w:tblPrEx>
        <w:tc>
          <w:tcPr>
            <w:tcW w:w="3543" w:type="dxa"/>
          </w:tcPr>
          <w:p w14:paraId="4B69CB7B" w14:textId="77777777" w:rsidR="00241093" w:rsidRPr="000925A8" w:rsidRDefault="00241093">
            <w:pPr>
              <w:spacing w:before="60" w:after="60"/>
              <w:jc w:val="left"/>
              <w:rPr>
                <w:sz w:val="16"/>
              </w:rPr>
            </w:pPr>
            <w:r w:rsidRPr="000925A8">
              <w:rPr>
                <w:sz w:val="16"/>
              </w:rPr>
              <w:t>Förändrad servicenivå i olika delar av länet</w:t>
            </w:r>
          </w:p>
        </w:tc>
        <w:tc>
          <w:tcPr>
            <w:tcW w:w="2411" w:type="dxa"/>
          </w:tcPr>
          <w:p w14:paraId="34AFF8B0" w14:textId="77777777" w:rsidR="00241093" w:rsidRPr="000925A8" w:rsidRDefault="00241093">
            <w:pPr>
              <w:spacing w:before="60" w:after="60"/>
              <w:jc w:val="left"/>
              <w:rPr>
                <w:sz w:val="16"/>
              </w:rPr>
            </w:pPr>
            <w:r w:rsidRPr="000925A8">
              <w:rPr>
                <w:sz w:val="16"/>
              </w:rPr>
              <w:t>W</w:t>
            </w:r>
          </w:p>
        </w:tc>
      </w:tr>
      <w:tr w:rsidR="00000000" w:rsidRPr="000925A8" w14:paraId="1A6ACA0A" w14:textId="77777777">
        <w:tblPrEx>
          <w:tblCellMar>
            <w:top w:w="0" w:type="dxa"/>
            <w:bottom w:w="0" w:type="dxa"/>
          </w:tblCellMar>
        </w:tblPrEx>
        <w:tc>
          <w:tcPr>
            <w:tcW w:w="3543" w:type="dxa"/>
          </w:tcPr>
          <w:p w14:paraId="1A1C7CBC" w14:textId="77777777" w:rsidR="00241093" w:rsidRPr="000925A8" w:rsidRDefault="00241093">
            <w:pPr>
              <w:spacing w:before="60" w:after="60"/>
              <w:jc w:val="left"/>
              <w:rPr>
                <w:sz w:val="16"/>
              </w:rPr>
            </w:pPr>
            <w:r w:rsidRPr="000925A8">
              <w:rPr>
                <w:sz w:val="16"/>
              </w:rPr>
              <w:t>Väg- och järnväg</w:t>
            </w:r>
            <w:r w:rsidRPr="000925A8">
              <w:rPr>
                <w:sz w:val="16"/>
              </w:rPr>
              <w:t>s</w:t>
            </w:r>
            <w:r w:rsidRPr="000925A8">
              <w:rPr>
                <w:sz w:val="16"/>
              </w:rPr>
              <w:t>dragning</w:t>
            </w:r>
          </w:p>
        </w:tc>
        <w:tc>
          <w:tcPr>
            <w:tcW w:w="2411" w:type="dxa"/>
          </w:tcPr>
          <w:p w14:paraId="51EA0912" w14:textId="77777777" w:rsidR="00241093" w:rsidRPr="000925A8" w:rsidRDefault="00241093">
            <w:pPr>
              <w:spacing w:before="60" w:after="60"/>
              <w:jc w:val="left"/>
              <w:rPr>
                <w:sz w:val="16"/>
              </w:rPr>
            </w:pPr>
            <w:r w:rsidRPr="000925A8">
              <w:rPr>
                <w:sz w:val="16"/>
              </w:rPr>
              <w:t>AB</w:t>
            </w:r>
          </w:p>
        </w:tc>
      </w:tr>
      <w:tr w:rsidR="00000000" w:rsidRPr="000925A8" w14:paraId="299366A0" w14:textId="77777777">
        <w:tblPrEx>
          <w:tblCellMar>
            <w:top w:w="0" w:type="dxa"/>
            <w:bottom w:w="0" w:type="dxa"/>
          </w:tblCellMar>
        </w:tblPrEx>
        <w:tc>
          <w:tcPr>
            <w:tcW w:w="3543" w:type="dxa"/>
          </w:tcPr>
          <w:p w14:paraId="0DD59496" w14:textId="77777777" w:rsidR="00241093" w:rsidRPr="000925A8" w:rsidRDefault="00241093">
            <w:pPr>
              <w:spacing w:before="60" w:after="60"/>
              <w:jc w:val="left"/>
              <w:rPr>
                <w:sz w:val="16"/>
              </w:rPr>
            </w:pPr>
            <w:r w:rsidRPr="000925A8">
              <w:rPr>
                <w:sz w:val="16"/>
              </w:rPr>
              <w:t>Bristande översiktsplaneringsarbete i kommunerna</w:t>
            </w:r>
          </w:p>
        </w:tc>
        <w:tc>
          <w:tcPr>
            <w:tcW w:w="2411" w:type="dxa"/>
          </w:tcPr>
          <w:p w14:paraId="55B205BF" w14:textId="77777777" w:rsidR="00241093" w:rsidRPr="000925A8" w:rsidRDefault="00241093">
            <w:pPr>
              <w:pStyle w:val="Sidfot"/>
              <w:spacing w:before="60" w:after="60"/>
              <w:jc w:val="left"/>
              <w:rPr>
                <w:sz w:val="16"/>
              </w:rPr>
            </w:pPr>
            <w:r w:rsidRPr="000925A8">
              <w:rPr>
                <w:sz w:val="16"/>
              </w:rPr>
              <w:t>D</w:t>
            </w:r>
          </w:p>
        </w:tc>
      </w:tr>
      <w:tr w:rsidR="00000000" w:rsidRPr="000925A8" w14:paraId="7FD3BB94" w14:textId="77777777">
        <w:tblPrEx>
          <w:tblCellMar>
            <w:top w:w="0" w:type="dxa"/>
            <w:bottom w:w="0" w:type="dxa"/>
          </w:tblCellMar>
        </w:tblPrEx>
        <w:tc>
          <w:tcPr>
            <w:tcW w:w="3543" w:type="dxa"/>
          </w:tcPr>
          <w:p w14:paraId="16D4D3BB" w14:textId="77777777" w:rsidR="00241093" w:rsidRPr="000925A8" w:rsidRDefault="00241093">
            <w:pPr>
              <w:spacing w:before="60" w:after="60"/>
              <w:jc w:val="left"/>
              <w:rPr>
                <w:sz w:val="16"/>
              </w:rPr>
            </w:pPr>
            <w:r w:rsidRPr="000925A8">
              <w:rPr>
                <w:sz w:val="16"/>
              </w:rPr>
              <w:t>Telekommunikationsfrågor (bl.a. ma</w:t>
            </w:r>
            <w:r w:rsidRPr="000925A8">
              <w:rPr>
                <w:sz w:val="16"/>
              </w:rPr>
              <w:t>s</w:t>
            </w:r>
            <w:r w:rsidRPr="000925A8">
              <w:rPr>
                <w:sz w:val="16"/>
              </w:rPr>
              <w:t>ter)</w:t>
            </w:r>
          </w:p>
        </w:tc>
        <w:tc>
          <w:tcPr>
            <w:tcW w:w="2411" w:type="dxa"/>
          </w:tcPr>
          <w:p w14:paraId="7DCB6AF9" w14:textId="77777777" w:rsidR="00241093" w:rsidRPr="000925A8" w:rsidRDefault="00241093">
            <w:pPr>
              <w:spacing w:before="60" w:after="60"/>
              <w:jc w:val="left"/>
              <w:rPr>
                <w:sz w:val="16"/>
              </w:rPr>
            </w:pPr>
            <w:r w:rsidRPr="000925A8">
              <w:rPr>
                <w:sz w:val="16"/>
              </w:rPr>
              <w:t>K</w:t>
            </w:r>
          </w:p>
        </w:tc>
      </w:tr>
      <w:tr w:rsidR="00000000" w:rsidRPr="000925A8" w14:paraId="55A82C49" w14:textId="77777777">
        <w:tblPrEx>
          <w:tblCellMar>
            <w:top w:w="0" w:type="dxa"/>
            <w:bottom w:w="0" w:type="dxa"/>
          </w:tblCellMar>
        </w:tblPrEx>
        <w:tc>
          <w:tcPr>
            <w:tcW w:w="3543" w:type="dxa"/>
          </w:tcPr>
          <w:p w14:paraId="78D016F8" w14:textId="77777777" w:rsidR="00241093" w:rsidRPr="000925A8" w:rsidRDefault="00241093">
            <w:pPr>
              <w:spacing w:before="60" w:after="60"/>
              <w:jc w:val="left"/>
              <w:rPr>
                <w:sz w:val="16"/>
              </w:rPr>
            </w:pPr>
            <w:r w:rsidRPr="000925A8">
              <w:rPr>
                <w:sz w:val="16"/>
              </w:rPr>
              <w:t>Inga sådana planfrågor finns eller ej svar</w:t>
            </w:r>
          </w:p>
        </w:tc>
        <w:tc>
          <w:tcPr>
            <w:tcW w:w="2411" w:type="dxa"/>
          </w:tcPr>
          <w:p w14:paraId="620E322F" w14:textId="77777777" w:rsidR="00241093" w:rsidRPr="000925A8" w:rsidRDefault="00241093">
            <w:pPr>
              <w:spacing w:before="60" w:after="60"/>
              <w:jc w:val="left"/>
              <w:rPr>
                <w:sz w:val="16"/>
              </w:rPr>
            </w:pPr>
            <w:r w:rsidRPr="000925A8">
              <w:rPr>
                <w:sz w:val="16"/>
              </w:rPr>
              <w:t xml:space="preserve">G**, H***, S, T, X, Y </w:t>
            </w:r>
          </w:p>
        </w:tc>
      </w:tr>
    </w:tbl>
    <w:p w14:paraId="2FB7C5FC" w14:textId="77777777" w:rsidR="00241093" w:rsidRPr="000925A8" w:rsidRDefault="00241093">
      <w:pPr>
        <w:spacing w:before="0" w:line="200" w:lineRule="exact"/>
        <w:rPr>
          <w:sz w:val="16"/>
        </w:rPr>
      </w:pPr>
      <w:r w:rsidRPr="000925A8">
        <w:rPr>
          <w:sz w:val="16"/>
        </w:rPr>
        <w:t>* Avser utbyggnaden av A 6 köpcentrum i Jönköping. Länsstyrelsen anger dock samtidigt ”att den mella</w:t>
      </w:r>
      <w:r w:rsidRPr="000925A8">
        <w:rPr>
          <w:sz w:val="16"/>
        </w:rPr>
        <w:t>n</w:t>
      </w:r>
      <w:r w:rsidRPr="000925A8">
        <w:rPr>
          <w:sz w:val="16"/>
        </w:rPr>
        <w:t>kommunala samordning sker”.</w:t>
      </w:r>
    </w:p>
    <w:p w14:paraId="383329BE" w14:textId="77777777" w:rsidR="00241093" w:rsidRPr="000925A8" w:rsidRDefault="00241093">
      <w:pPr>
        <w:spacing w:before="0" w:line="200" w:lineRule="exact"/>
        <w:rPr>
          <w:sz w:val="16"/>
        </w:rPr>
      </w:pPr>
      <w:r w:rsidRPr="000925A8">
        <w:rPr>
          <w:sz w:val="16"/>
        </w:rPr>
        <w:t>** Anger dock att man upplever att handelsfrågor är svåra och ett problem i länsstyrelsens arbete med me</w:t>
      </w:r>
      <w:r w:rsidRPr="000925A8">
        <w:rPr>
          <w:sz w:val="16"/>
        </w:rPr>
        <w:t>l</w:t>
      </w:r>
      <w:r w:rsidRPr="000925A8">
        <w:rPr>
          <w:sz w:val="16"/>
        </w:rPr>
        <w:t xml:space="preserve">lankommunala frågor. </w:t>
      </w:r>
    </w:p>
    <w:p w14:paraId="1DD525A8" w14:textId="77777777" w:rsidR="00241093" w:rsidRPr="000925A8" w:rsidRDefault="00241093">
      <w:pPr>
        <w:spacing w:before="0" w:line="200" w:lineRule="exact"/>
        <w:rPr>
          <w:sz w:val="16"/>
        </w:rPr>
      </w:pPr>
      <w:r w:rsidRPr="000925A8">
        <w:rPr>
          <w:sz w:val="16"/>
        </w:rPr>
        <w:t>*** Länsstyrelsen anger dock även att vindkraftfrågan måste hanteras i ett större samma</w:t>
      </w:r>
      <w:r w:rsidRPr="000925A8">
        <w:rPr>
          <w:sz w:val="16"/>
        </w:rPr>
        <w:t>n</w:t>
      </w:r>
      <w:r w:rsidRPr="000925A8">
        <w:rPr>
          <w:sz w:val="16"/>
        </w:rPr>
        <w:t>hang.</w:t>
      </w:r>
    </w:p>
    <w:p w14:paraId="15126A63" w14:textId="77777777" w:rsidR="00241093" w:rsidRPr="000925A8" w:rsidRDefault="00241093">
      <w:pPr>
        <w:pStyle w:val="Normaltindrag"/>
      </w:pPr>
    </w:p>
    <w:p w14:paraId="7E880EF5" w14:textId="77777777" w:rsidR="00241093" w:rsidRPr="000925A8" w:rsidRDefault="00241093">
      <w:pPr>
        <w:spacing w:before="0" w:after="40"/>
      </w:pPr>
      <w:r w:rsidRPr="000925A8">
        <w:t>Det är utan tvekan så att frågor om externa handelsetableringar är de som upplevs som de mest problematiska ur ett mellankommunalt perspektiv. Fr</w:t>
      </w:r>
      <w:r w:rsidRPr="000925A8">
        <w:t>å</w:t>
      </w:r>
      <w:r w:rsidRPr="000925A8">
        <w:t>gor av denna karaktär förekommer över hela landet och är inte, som exempe</w:t>
      </w:r>
      <w:r w:rsidRPr="000925A8">
        <w:t>l</w:t>
      </w:r>
      <w:r w:rsidRPr="000925A8">
        <w:t>vis vindkraftfrågor och bostadsförsörjningsfrågor, koncentrerade till särskilda geografiska områden.</w:t>
      </w:r>
    </w:p>
    <w:p w14:paraId="44B2D9A5" w14:textId="77777777" w:rsidR="00241093" w:rsidRPr="000925A8" w:rsidRDefault="00241093">
      <w:pPr>
        <w:pStyle w:val="Normaltindrag"/>
      </w:pPr>
      <w:r w:rsidRPr="000925A8">
        <w:t>I sammanhanget kan det noteras att länsstyrelserna i Värmlands och D</w:t>
      </w:r>
      <w:r w:rsidRPr="000925A8">
        <w:t>a</w:t>
      </w:r>
      <w:r w:rsidRPr="000925A8">
        <w:t>larnas län inte anger att externhandelsfrågorna är problematiska. Detta trots att det sedan länge pågått intensiva diskussioner om externhandelsetableringar i båda dessa län.</w:t>
      </w:r>
      <w:r w:rsidRPr="000925A8">
        <w:rPr>
          <w:rStyle w:val="Fotnotsreferens"/>
        </w:rPr>
        <w:footnoteReference w:id="114"/>
      </w:r>
    </w:p>
    <w:p w14:paraId="1C546689" w14:textId="77777777" w:rsidR="00241093" w:rsidRPr="000925A8" w:rsidRDefault="00241093">
      <w:pPr>
        <w:pStyle w:val="Normaltindrag"/>
      </w:pPr>
      <w:r w:rsidRPr="000925A8">
        <w:t>En annan iakttagelse är att det är få länsstyrelser som anger att väg- och järnvägsfrågor är problematiska ur ett mellankommunalt perspektiv. En fö</w:t>
      </w:r>
      <w:r w:rsidRPr="000925A8">
        <w:t>r</w:t>
      </w:r>
      <w:r w:rsidRPr="000925A8">
        <w:t>klaring till detta kan vara att infrastrukturplaneringen är mer av ”uppifrånplanering” än övrig planering. Planer läggs fast på nationell och regional nivå och den mellankommunala samordningen sker till stor del redan i samband med utarbetandet av länstransportplanerna. Kommunerna är sedan i betydande utsträckning tvungna att anpassa sin egen planering till dessa planer. En intervjuperson uttryckte sig på detta sätt: ”De [väg- och järnväg</w:t>
      </w:r>
      <w:r w:rsidRPr="000925A8">
        <w:t>s</w:t>
      </w:r>
      <w:r w:rsidRPr="000925A8">
        <w:t>projekten] dimper bara ned hos kommunerna. Det finns pengar för dett</w:t>
      </w:r>
      <w:r w:rsidRPr="000925A8">
        <w:t xml:space="preserve">a och det åker bara in i de kommunala planerna.” </w:t>
      </w:r>
    </w:p>
    <w:p w14:paraId="6CEE5635" w14:textId="77777777" w:rsidR="00241093" w:rsidRPr="000925A8" w:rsidRDefault="00241093">
      <w:pPr>
        <w:pStyle w:val="Normaltindrag"/>
      </w:pPr>
      <w:r w:rsidRPr="000925A8">
        <w:t>Vidare tycks det vara så att mycket av planeringen på objektnivå sker i d</w:t>
      </w:r>
      <w:r w:rsidRPr="000925A8">
        <w:t>i</w:t>
      </w:r>
      <w:r w:rsidRPr="000925A8">
        <w:t>rekt samverkan mellan trafikverkens regionala enheter och kommunerna. Vägverket vill exempelvis vara en ”delaktig och aktiv samrådspart” och ”vill uppnå en tidig dialog med kommun och länsstyrelse i planeringsproce</w:t>
      </w:r>
      <w:r w:rsidRPr="000925A8">
        <w:t>s</w:t>
      </w:r>
      <w:r w:rsidRPr="000925A8">
        <w:t>sen”.</w:t>
      </w:r>
      <w:r w:rsidRPr="000925A8">
        <w:rPr>
          <w:rStyle w:val="Fotnotsreferens"/>
        </w:rPr>
        <w:footnoteReference w:id="115"/>
      </w:r>
      <w:r w:rsidRPr="000925A8">
        <w:t xml:space="preserve"> I denna dialog är säkerställandet av en ur infrastrukturperspektiv lämplig me</w:t>
      </w:r>
      <w:r w:rsidRPr="000925A8">
        <w:t>l</w:t>
      </w:r>
      <w:r w:rsidRPr="000925A8">
        <w:t>lankommunal samordning ett viktigt inslag.</w:t>
      </w:r>
      <w:r w:rsidRPr="000925A8">
        <w:rPr>
          <w:rStyle w:val="Fotnotsreferens"/>
        </w:rPr>
        <w:footnoteReference w:id="116"/>
      </w:r>
    </w:p>
    <w:p w14:paraId="0E6E1130" w14:textId="77777777" w:rsidR="00241093" w:rsidRPr="000925A8" w:rsidRDefault="00241093">
      <w:pPr>
        <w:pStyle w:val="R3"/>
      </w:pPr>
      <w:r w:rsidRPr="000925A8">
        <w:t>Länsstyrelsernas främsta metoder för att bidra till en lämplig mellankommunal samordning</w:t>
      </w:r>
    </w:p>
    <w:p w14:paraId="2F962180" w14:textId="77777777" w:rsidR="00241093" w:rsidRPr="000925A8" w:rsidRDefault="00241093">
      <w:pPr>
        <w:rPr>
          <w:b/>
          <w:sz w:val="20"/>
        </w:rPr>
      </w:pPr>
      <w:r w:rsidRPr="000925A8">
        <w:t>I tabell 5.5 redovisas länsstyrelsernas svar på frågan om vilka deras främsta metoder är för att verka för en lämplig mellankommunal samordning. Notera att de länsstyrelser som mer ospecificerat anger ”samråd” som en viktigt metod, sannolikt inbegriper flera av de övriga metoderna i detta begrepp.</w:t>
      </w:r>
    </w:p>
    <w:p w14:paraId="2D8FF4C8" w14:textId="77777777" w:rsidR="00241093" w:rsidRPr="000925A8" w:rsidRDefault="00241093">
      <w:pPr>
        <w:spacing w:before="0"/>
        <w:rPr>
          <w:sz w:val="20"/>
        </w:rPr>
      </w:pPr>
      <w:r w:rsidRPr="000925A8">
        <w:rPr>
          <w:b/>
          <w:sz w:val="20"/>
        </w:rPr>
        <w:t>Tabell 5.5</w:t>
      </w:r>
      <w:r w:rsidRPr="000925A8">
        <w:rPr>
          <w:sz w:val="20"/>
        </w:rPr>
        <w:t xml:space="preserve"> Länsstyrelsernas främsta metoder för att främja mellanko</w:t>
      </w:r>
      <w:r w:rsidRPr="000925A8">
        <w:rPr>
          <w:sz w:val="20"/>
        </w:rPr>
        <w:t>m</w:t>
      </w:r>
      <w:r w:rsidRPr="000925A8">
        <w:rPr>
          <w:sz w:val="20"/>
        </w:rPr>
        <w:t>munal samordning inom PBL-området</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BF" w:firstRow="1" w:lastRow="0" w:firstColumn="1" w:lastColumn="0" w:noHBand="0" w:noVBand="0"/>
      </w:tblPr>
      <w:tblGrid>
        <w:gridCol w:w="3261"/>
        <w:gridCol w:w="2693"/>
      </w:tblGrid>
      <w:tr w:rsidR="00000000" w:rsidRPr="000925A8" w14:paraId="5FFD117D" w14:textId="77777777">
        <w:tblPrEx>
          <w:tblCellMar>
            <w:top w:w="0" w:type="dxa"/>
            <w:bottom w:w="0" w:type="dxa"/>
          </w:tblCellMar>
        </w:tblPrEx>
        <w:tc>
          <w:tcPr>
            <w:tcW w:w="3261" w:type="dxa"/>
          </w:tcPr>
          <w:p w14:paraId="06AE68DD" w14:textId="77777777" w:rsidR="00241093" w:rsidRPr="000925A8" w:rsidRDefault="00241093">
            <w:pPr>
              <w:rPr>
                <w:b/>
              </w:rPr>
            </w:pPr>
            <w:r w:rsidRPr="000925A8">
              <w:rPr>
                <w:b/>
              </w:rPr>
              <w:t>Metod</w:t>
            </w:r>
          </w:p>
        </w:tc>
        <w:tc>
          <w:tcPr>
            <w:tcW w:w="2693" w:type="dxa"/>
          </w:tcPr>
          <w:p w14:paraId="6BF98F58" w14:textId="77777777" w:rsidR="00241093" w:rsidRPr="000925A8" w:rsidRDefault="00241093">
            <w:pPr>
              <w:rPr>
                <w:b/>
              </w:rPr>
            </w:pPr>
            <w:r w:rsidRPr="000925A8">
              <w:rPr>
                <w:b/>
              </w:rPr>
              <w:t>Län som angivit met</w:t>
            </w:r>
            <w:r w:rsidRPr="000925A8">
              <w:rPr>
                <w:b/>
              </w:rPr>
              <w:t>o</w:t>
            </w:r>
            <w:r w:rsidRPr="000925A8">
              <w:rPr>
                <w:b/>
              </w:rPr>
              <w:t>den</w:t>
            </w:r>
          </w:p>
        </w:tc>
      </w:tr>
      <w:tr w:rsidR="00000000" w:rsidRPr="000925A8" w14:paraId="6AC9C57F" w14:textId="77777777">
        <w:tblPrEx>
          <w:tblCellMar>
            <w:top w:w="0" w:type="dxa"/>
            <w:bottom w:w="0" w:type="dxa"/>
          </w:tblCellMar>
        </w:tblPrEx>
        <w:tc>
          <w:tcPr>
            <w:tcW w:w="3261" w:type="dxa"/>
          </w:tcPr>
          <w:p w14:paraId="0A94BF41" w14:textId="77777777" w:rsidR="00241093" w:rsidRPr="000925A8" w:rsidRDefault="00241093">
            <w:pPr>
              <w:spacing w:before="0" w:line="240" w:lineRule="exact"/>
              <w:jc w:val="left"/>
              <w:rPr>
                <w:sz w:val="16"/>
              </w:rPr>
            </w:pPr>
            <w:r w:rsidRPr="000925A8">
              <w:rPr>
                <w:sz w:val="16"/>
              </w:rPr>
              <w:t>Samråd (tidiga eller mer ospecific</w:t>
            </w:r>
            <w:r w:rsidRPr="000925A8">
              <w:rPr>
                <w:sz w:val="16"/>
              </w:rPr>
              <w:t>e</w:t>
            </w:r>
            <w:r w:rsidRPr="000925A8">
              <w:rPr>
                <w:sz w:val="16"/>
              </w:rPr>
              <w:t>rat)</w:t>
            </w:r>
          </w:p>
        </w:tc>
        <w:tc>
          <w:tcPr>
            <w:tcW w:w="2693" w:type="dxa"/>
          </w:tcPr>
          <w:p w14:paraId="0779E819" w14:textId="77777777" w:rsidR="00241093" w:rsidRPr="000925A8" w:rsidRDefault="00241093">
            <w:pPr>
              <w:spacing w:before="0" w:line="240" w:lineRule="exact"/>
              <w:jc w:val="left"/>
              <w:rPr>
                <w:sz w:val="16"/>
              </w:rPr>
            </w:pPr>
            <w:r w:rsidRPr="000925A8">
              <w:rPr>
                <w:sz w:val="16"/>
              </w:rPr>
              <w:t>AC, BD, D, E, H, K, M, N O, T, W, Z</w:t>
            </w:r>
          </w:p>
        </w:tc>
      </w:tr>
      <w:tr w:rsidR="00000000" w:rsidRPr="000925A8" w14:paraId="5F4055FF" w14:textId="77777777">
        <w:tblPrEx>
          <w:tblCellMar>
            <w:top w:w="0" w:type="dxa"/>
            <w:bottom w:w="0" w:type="dxa"/>
          </w:tblCellMar>
        </w:tblPrEx>
        <w:tc>
          <w:tcPr>
            <w:tcW w:w="3261" w:type="dxa"/>
          </w:tcPr>
          <w:p w14:paraId="59AA7EBD" w14:textId="77777777" w:rsidR="00241093" w:rsidRPr="000925A8" w:rsidRDefault="00241093">
            <w:pPr>
              <w:spacing w:before="0" w:line="240" w:lineRule="exact"/>
              <w:jc w:val="left"/>
              <w:rPr>
                <w:sz w:val="16"/>
              </w:rPr>
            </w:pPr>
            <w:r w:rsidRPr="000925A8">
              <w:rPr>
                <w:sz w:val="16"/>
              </w:rPr>
              <w:t>Regelbundna träffar med länets kommuner/ Aktiva underhandsko</w:t>
            </w:r>
            <w:r w:rsidRPr="000925A8">
              <w:rPr>
                <w:sz w:val="16"/>
              </w:rPr>
              <w:t>n</w:t>
            </w:r>
            <w:r w:rsidRPr="000925A8">
              <w:rPr>
                <w:sz w:val="16"/>
              </w:rPr>
              <w:t>takter</w:t>
            </w:r>
          </w:p>
        </w:tc>
        <w:tc>
          <w:tcPr>
            <w:tcW w:w="2693" w:type="dxa"/>
          </w:tcPr>
          <w:p w14:paraId="7CCCFE2F" w14:textId="77777777" w:rsidR="00241093" w:rsidRPr="000925A8" w:rsidRDefault="00241093">
            <w:pPr>
              <w:spacing w:before="0" w:line="240" w:lineRule="exact"/>
              <w:jc w:val="left"/>
              <w:rPr>
                <w:sz w:val="16"/>
              </w:rPr>
            </w:pPr>
            <w:r w:rsidRPr="000925A8">
              <w:rPr>
                <w:sz w:val="16"/>
              </w:rPr>
              <w:t>AB, D, F, M, W, Y</w:t>
            </w:r>
          </w:p>
        </w:tc>
      </w:tr>
      <w:tr w:rsidR="00000000" w:rsidRPr="000925A8" w14:paraId="6FC7DA8A" w14:textId="77777777">
        <w:tblPrEx>
          <w:tblCellMar>
            <w:top w:w="0" w:type="dxa"/>
            <w:bottom w:w="0" w:type="dxa"/>
          </w:tblCellMar>
        </w:tblPrEx>
        <w:tc>
          <w:tcPr>
            <w:tcW w:w="3261" w:type="dxa"/>
          </w:tcPr>
          <w:p w14:paraId="422FFA78" w14:textId="77777777" w:rsidR="00241093" w:rsidRPr="000925A8" w:rsidRDefault="00241093">
            <w:pPr>
              <w:spacing w:before="0" w:line="240" w:lineRule="exact"/>
              <w:jc w:val="left"/>
              <w:rPr>
                <w:sz w:val="16"/>
              </w:rPr>
            </w:pPr>
            <w:r w:rsidRPr="000925A8">
              <w:rPr>
                <w:sz w:val="16"/>
              </w:rPr>
              <w:t>Lyfta fram mellankommunala fr</w:t>
            </w:r>
            <w:r w:rsidRPr="000925A8">
              <w:rPr>
                <w:sz w:val="16"/>
              </w:rPr>
              <w:t>å</w:t>
            </w:r>
            <w:r w:rsidRPr="000925A8">
              <w:rPr>
                <w:sz w:val="16"/>
              </w:rPr>
              <w:t>gor</w:t>
            </w:r>
          </w:p>
        </w:tc>
        <w:tc>
          <w:tcPr>
            <w:tcW w:w="2693" w:type="dxa"/>
          </w:tcPr>
          <w:p w14:paraId="45A89779" w14:textId="77777777" w:rsidR="00241093" w:rsidRPr="000925A8" w:rsidRDefault="00241093">
            <w:pPr>
              <w:spacing w:before="0" w:line="240" w:lineRule="exact"/>
              <w:jc w:val="left"/>
              <w:rPr>
                <w:sz w:val="16"/>
              </w:rPr>
            </w:pPr>
            <w:r w:rsidRPr="000925A8">
              <w:rPr>
                <w:sz w:val="16"/>
              </w:rPr>
              <w:t>C, N, S, W</w:t>
            </w:r>
          </w:p>
        </w:tc>
      </w:tr>
      <w:tr w:rsidR="00000000" w:rsidRPr="000925A8" w14:paraId="63EF77B9" w14:textId="77777777">
        <w:tblPrEx>
          <w:tblCellMar>
            <w:top w:w="0" w:type="dxa"/>
            <w:bottom w:w="0" w:type="dxa"/>
          </w:tblCellMar>
        </w:tblPrEx>
        <w:tc>
          <w:tcPr>
            <w:tcW w:w="3261" w:type="dxa"/>
          </w:tcPr>
          <w:p w14:paraId="6117DB50" w14:textId="77777777" w:rsidR="00241093" w:rsidRPr="000925A8" w:rsidRDefault="00241093">
            <w:pPr>
              <w:spacing w:before="0" w:line="240" w:lineRule="exact"/>
              <w:jc w:val="left"/>
              <w:rPr>
                <w:sz w:val="16"/>
              </w:rPr>
            </w:pPr>
            <w:r w:rsidRPr="000925A8">
              <w:rPr>
                <w:sz w:val="16"/>
              </w:rPr>
              <w:t>Tillhandahålla underlag</w:t>
            </w:r>
          </w:p>
        </w:tc>
        <w:tc>
          <w:tcPr>
            <w:tcW w:w="2693" w:type="dxa"/>
          </w:tcPr>
          <w:p w14:paraId="6B457D94" w14:textId="77777777" w:rsidR="00241093" w:rsidRPr="000925A8" w:rsidRDefault="00241093">
            <w:pPr>
              <w:spacing w:before="0" w:line="240" w:lineRule="exact"/>
              <w:jc w:val="left"/>
              <w:rPr>
                <w:sz w:val="16"/>
              </w:rPr>
            </w:pPr>
            <w:r w:rsidRPr="000925A8">
              <w:rPr>
                <w:sz w:val="16"/>
              </w:rPr>
              <w:t>C, D, G, N</w:t>
            </w:r>
          </w:p>
        </w:tc>
      </w:tr>
      <w:tr w:rsidR="00000000" w:rsidRPr="000925A8" w14:paraId="03731DD3" w14:textId="77777777">
        <w:tblPrEx>
          <w:tblCellMar>
            <w:top w:w="0" w:type="dxa"/>
            <w:bottom w:w="0" w:type="dxa"/>
          </w:tblCellMar>
        </w:tblPrEx>
        <w:tc>
          <w:tcPr>
            <w:tcW w:w="3261" w:type="dxa"/>
          </w:tcPr>
          <w:p w14:paraId="74D0CFD7" w14:textId="77777777" w:rsidR="00241093" w:rsidRPr="000925A8" w:rsidRDefault="00241093">
            <w:pPr>
              <w:spacing w:before="0" w:line="240" w:lineRule="exact"/>
              <w:jc w:val="left"/>
              <w:rPr>
                <w:sz w:val="16"/>
              </w:rPr>
            </w:pPr>
            <w:r w:rsidRPr="000925A8">
              <w:rPr>
                <w:sz w:val="16"/>
              </w:rPr>
              <w:t>Informationsdagar och seminarier</w:t>
            </w:r>
          </w:p>
        </w:tc>
        <w:tc>
          <w:tcPr>
            <w:tcW w:w="2693" w:type="dxa"/>
          </w:tcPr>
          <w:p w14:paraId="09C270EE" w14:textId="77777777" w:rsidR="00241093" w:rsidRPr="000925A8" w:rsidRDefault="00241093">
            <w:pPr>
              <w:spacing w:before="0" w:line="240" w:lineRule="exact"/>
              <w:jc w:val="left"/>
              <w:rPr>
                <w:sz w:val="16"/>
              </w:rPr>
            </w:pPr>
            <w:r w:rsidRPr="000925A8">
              <w:rPr>
                <w:sz w:val="16"/>
              </w:rPr>
              <w:t>F, U, Y</w:t>
            </w:r>
          </w:p>
        </w:tc>
      </w:tr>
      <w:tr w:rsidR="00000000" w:rsidRPr="000925A8" w14:paraId="42526C59" w14:textId="77777777">
        <w:tblPrEx>
          <w:tblCellMar>
            <w:top w:w="0" w:type="dxa"/>
            <w:bottom w:w="0" w:type="dxa"/>
          </w:tblCellMar>
        </w:tblPrEx>
        <w:tc>
          <w:tcPr>
            <w:tcW w:w="3261" w:type="dxa"/>
          </w:tcPr>
          <w:p w14:paraId="724BE671" w14:textId="77777777" w:rsidR="00241093" w:rsidRPr="000925A8" w:rsidRDefault="00241093">
            <w:pPr>
              <w:spacing w:before="0" w:line="240" w:lineRule="exact"/>
              <w:jc w:val="left"/>
              <w:rPr>
                <w:sz w:val="16"/>
              </w:rPr>
            </w:pPr>
            <w:r w:rsidRPr="000925A8">
              <w:rPr>
                <w:sz w:val="16"/>
              </w:rPr>
              <w:t>Bevaka konsekvensbeskrivningar/ställa krav på att konsekvensb</w:t>
            </w:r>
            <w:r w:rsidRPr="000925A8">
              <w:rPr>
                <w:sz w:val="16"/>
              </w:rPr>
              <w:t>e</w:t>
            </w:r>
            <w:r w:rsidRPr="000925A8">
              <w:rPr>
                <w:sz w:val="16"/>
              </w:rPr>
              <w:t>skrivningar upprättas</w:t>
            </w:r>
          </w:p>
        </w:tc>
        <w:tc>
          <w:tcPr>
            <w:tcW w:w="2693" w:type="dxa"/>
          </w:tcPr>
          <w:p w14:paraId="64D45F21" w14:textId="77777777" w:rsidR="00241093" w:rsidRPr="000925A8" w:rsidRDefault="00241093">
            <w:pPr>
              <w:spacing w:before="0" w:line="240" w:lineRule="exact"/>
              <w:jc w:val="left"/>
              <w:rPr>
                <w:sz w:val="16"/>
              </w:rPr>
            </w:pPr>
            <w:r w:rsidRPr="000925A8">
              <w:rPr>
                <w:sz w:val="16"/>
              </w:rPr>
              <w:t>C, K</w:t>
            </w:r>
          </w:p>
        </w:tc>
      </w:tr>
      <w:tr w:rsidR="00000000" w:rsidRPr="000925A8" w14:paraId="6B8DD5B4" w14:textId="77777777">
        <w:tblPrEx>
          <w:tblCellMar>
            <w:top w:w="0" w:type="dxa"/>
            <w:bottom w:w="0" w:type="dxa"/>
          </w:tblCellMar>
        </w:tblPrEx>
        <w:tc>
          <w:tcPr>
            <w:tcW w:w="3261" w:type="dxa"/>
          </w:tcPr>
          <w:p w14:paraId="6F1379BB" w14:textId="77777777" w:rsidR="00241093" w:rsidRPr="000925A8" w:rsidRDefault="00241093">
            <w:pPr>
              <w:spacing w:before="0" w:after="60" w:line="240" w:lineRule="exact"/>
              <w:jc w:val="left"/>
              <w:rPr>
                <w:sz w:val="16"/>
              </w:rPr>
            </w:pPr>
            <w:r w:rsidRPr="000925A8">
              <w:rPr>
                <w:sz w:val="16"/>
              </w:rPr>
              <w:t>Upprättande av konsekvensanal</w:t>
            </w:r>
            <w:r w:rsidRPr="000925A8">
              <w:rPr>
                <w:sz w:val="16"/>
              </w:rPr>
              <w:t>y</w:t>
            </w:r>
            <w:r w:rsidRPr="000925A8">
              <w:rPr>
                <w:sz w:val="16"/>
              </w:rPr>
              <w:t>ser</w:t>
            </w:r>
          </w:p>
        </w:tc>
        <w:tc>
          <w:tcPr>
            <w:tcW w:w="2693" w:type="dxa"/>
          </w:tcPr>
          <w:p w14:paraId="5931EE3F" w14:textId="77777777" w:rsidR="00241093" w:rsidRPr="000925A8" w:rsidRDefault="00241093">
            <w:pPr>
              <w:spacing w:before="0" w:after="60" w:line="240" w:lineRule="exact"/>
              <w:jc w:val="left"/>
              <w:rPr>
                <w:sz w:val="16"/>
              </w:rPr>
            </w:pPr>
            <w:r w:rsidRPr="000925A8">
              <w:rPr>
                <w:sz w:val="16"/>
              </w:rPr>
              <w:t>Z</w:t>
            </w:r>
          </w:p>
        </w:tc>
      </w:tr>
      <w:tr w:rsidR="00000000" w:rsidRPr="000925A8" w14:paraId="5B4EC7BF" w14:textId="77777777">
        <w:tblPrEx>
          <w:tblCellMar>
            <w:top w:w="0" w:type="dxa"/>
            <w:bottom w:w="0" w:type="dxa"/>
          </w:tblCellMar>
        </w:tblPrEx>
        <w:tc>
          <w:tcPr>
            <w:tcW w:w="3261" w:type="dxa"/>
          </w:tcPr>
          <w:p w14:paraId="3B4C4D08" w14:textId="77777777" w:rsidR="00241093" w:rsidRPr="000925A8" w:rsidRDefault="00241093">
            <w:pPr>
              <w:spacing w:before="0" w:after="60" w:line="240" w:lineRule="exact"/>
              <w:jc w:val="left"/>
              <w:rPr>
                <w:sz w:val="16"/>
              </w:rPr>
            </w:pPr>
            <w:r w:rsidRPr="000925A8">
              <w:rPr>
                <w:sz w:val="16"/>
              </w:rPr>
              <w:t>Överprövning enligt 12 kap. PBL</w:t>
            </w:r>
          </w:p>
        </w:tc>
        <w:tc>
          <w:tcPr>
            <w:tcW w:w="2693" w:type="dxa"/>
          </w:tcPr>
          <w:p w14:paraId="79340272" w14:textId="77777777" w:rsidR="00241093" w:rsidRPr="000925A8" w:rsidRDefault="00241093">
            <w:pPr>
              <w:spacing w:before="0" w:after="60" w:line="240" w:lineRule="exact"/>
              <w:jc w:val="left"/>
              <w:rPr>
                <w:sz w:val="16"/>
              </w:rPr>
            </w:pPr>
            <w:r w:rsidRPr="000925A8">
              <w:rPr>
                <w:sz w:val="16"/>
              </w:rPr>
              <w:t>C</w:t>
            </w:r>
          </w:p>
        </w:tc>
      </w:tr>
      <w:tr w:rsidR="00000000" w:rsidRPr="000925A8" w14:paraId="3A64A854" w14:textId="77777777">
        <w:tblPrEx>
          <w:tblCellMar>
            <w:top w:w="0" w:type="dxa"/>
            <w:bottom w:w="0" w:type="dxa"/>
          </w:tblCellMar>
        </w:tblPrEx>
        <w:tc>
          <w:tcPr>
            <w:tcW w:w="3261" w:type="dxa"/>
          </w:tcPr>
          <w:p w14:paraId="7851DFCC" w14:textId="77777777" w:rsidR="00241093" w:rsidRPr="000925A8" w:rsidRDefault="00241093">
            <w:pPr>
              <w:spacing w:before="0" w:after="60" w:line="240" w:lineRule="exact"/>
              <w:jc w:val="left"/>
              <w:rPr>
                <w:sz w:val="20"/>
              </w:rPr>
            </w:pPr>
            <w:r w:rsidRPr="000925A8">
              <w:rPr>
                <w:sz w:val="20"/>
              </w:rPr>
              <w:t>Kontakter med länsstyrelser i angrä</w:t>
            </w:r>
            <w:r w:rsidRPr="000925A8">
              <w:rPr>
                <w:sz w:val="20"/>
              </w:rPr>
              <w:t>n</w:t>
            </w:r>
            <w:r w:rsidRPr="000925A8">
              <w:rPr>
                <w:sz w:val="20"/>
              </w:rPr>
              <w:t>sande län</w:t>
            </w:r>
          </w:p>
        </w:tc>
        <w:tc>
          <w:tcPr>
            <w:tcW w:w="2693" w:type="dxa"/>
          </w:tcPr>
          <w:p w14:paraId="78038726" w14:textId="77777777" w:rsidR="00241093" w:rsidRPr="000925A8" w:rsidRDefault="00241093">
            <w:pPr>
              <w:spacing w:before="0" w:after="60" w:line="240" w:lineRule="exact"/>
              <w:jc w:val="left"/>
              <w:rPr>
                <w:sz w:val="20"/>
              </w:rPr>
            </w:pPr>
            <w:r w:rsidRPr="000925A8">
              <w:rPr>
                <w:sz w:val="20"/>
              </w:rPr>
              <w:t>Y*</w:t>
            </w:r>
          </w:p>
        </w:tc>
      </w:tr>
    </w:tbl>
    <w:p w14:paraId="429A6B2B" w14:textId="77777777" w:rsidR="00241093" w:rsidRPr="000925A8" w:rsidRDefault="00241093">
      <w:pPr>
        <w:rPr>
          <w:sz w:val="16"/>
        </w:rPr>
      </w:pPr>
      <w:r w:rsidRPr="000925A8">
        <w:rPr>
          <w:sz w:val="16"/>
        </w:rPr>
        <w:t>* Avser främst infrastrukturutbyggnad (Boniabanan, E 4, E 14 m.m.)</w:t>
      </w:r>
    </w:p>
    <w:p w14:paraId="390E237E" w14:textId="77777777" w:rsidR="00241093" w:rsidRPr="000925A8" w:rsidRDefault="00241093">
      <w:r w:rsidRPr="000925A8">
        <w:t>Olika former av samråd är således den metod som länsstyrelserna främst använder för att hantera mellankommunala PBL-frågor. Dessa samråd kan ske som ett led i planprocesserna eller som regelbundet återkommande träffar med kommunerna. Det allmänna intrycket är att länsstyrelserna lyfter fram de frågor som kan ha mellankommunala dimensioner i ett tidigt skede av proce</w:t>
      </w:r>
      <w:r w:rsidRPr="000925A8">
        <w:t>s</w:t>
      </w:r>
      <w:r w:rsidRPr="000925A8">
        <w:t>serna. Det förekommer dock variationer mellan både länsstyrelser och enski</w:t>
      </w:r>
      <w:r w:rsidRPr="000925A8">
        <w:t>l</w:t>
      </w:r>
      <w:r w:rsidRPr="000925A8">
        <w:t>da tjänstemän i hur tydlig man är i dessa sammanhang. Vissa länsstyrelser hänvisar på ett tidigt stadium till överprövningsmöjligheterna i 12 kap. PBL, medan andra väljer att spara detta ”hot” till mer formella delar av planproce</w:t>
      </w:r>
      <w:r w:rsidRPr="000925A8">
        <w:t>s</w:t>
      </w:r>
      <w:r w:rsidRPr="000925A8">
        <w:t xml:space="preserve">sen. </w:t>
      </w:r>
    </w:p>
    <w:p w14:paraId="6E746E90" w14:textId="77777777" w:rsidR="00241093" w:rsidRPr="000925A8" w:rsidRDefault="00241093">
      <w:pPr>
        <w:pStyle w:val="Normaltindrag"/>
      </w:pPr>
      <w:r w:rsidRPr="000925A8">
        <w:t>En annan fråga är hur kommunerna väljer att hantera ett mer eller mindre tydligt budskap från länsstyrelserna om att en fråga bör samordnas med grannkommuner. Kommuner kan, av olika skäl, välja att dr</w:t>
      </w:r>
      <w:r w:rsidRPr="000925A8">
        <w:t>iva ett ärende vidare trots länsstyrelsens ofta allt tydligare ”hot” om prövning. I andra fall sker den mellankommunala samordningen mer eller mindre konfliktfritt utan att länsstyrelsen behöver initiera eller underlätta processen. Att vissa komm</w:t>
      </w:r>
      <w:r w:rsidRPr="000925A8">
        <w:t>u</w:t>
      </w:r>
      <w:r w:rsidRPr="000925A8">
        <w:t>ner har väl fungerande allmänna relationer, vilket också avspeglar sig inom PBL-området, lär knappast vara en nyhet. I andra fall är den kommunala grannsämjan av olika skäl mer konkurrensorienterad och frostig. I de fallen är länsstyrelsernas möjligheter att främja</w:t>
      </w:r>
      <w:r w:rsidRPr="000925A8">
        <w:t xml:space="preserve"> en lämplig mellankommunal samor</w:t>
      </w:r>
      <w:r w:rsidRPr="000925A8">
        <w:t>d</w:t>
      </w:r>
      <w:r w:rsidRPr="000925A8">
        <w:t xml:space="preserve">ning mer begränsade. Sakfrågornas karaktär har naturligtvis också betydelse för vilken grad av konflikt som uppkommer mellan två kommuner. </w:t>
      </w:r>
    </w:p>
    <w:p w14:paraId="03C289B2" w14:textId="77777777" w:rsidR="00241093" w:rsidRPr="000925A8" w:rsidRDefault="00241093">
      <w:pPr>
        <w:pStyle w:val="Normaltindrag"/>
      </w:pPr>
      <w:r w:rsidRPr="000925A8">
        <w:t>I situationer då kommunrelationerna är mindre väl fungerande kan länsst</w:t>
      </w:r>
      <w:r w:rsidRPr="000925A8">
        <w:t>y</w:t>
      </w:r>
      <w:r w:rsidRPr="000925A8">
        <w:t>relserna välja att sprida beslutsunderlag mellan kommuner. Det kan exempe</w:t>
      </w:r>
      <w:r w:rsidRPr="000925A8">
        <w:t>l</w:t>
      </w:r>
      <w:r w:rsidRPr="000925A8">
        <w:t>vis handla om fall då den planläggande kommunen inte anser att en gran</w:t>
      </w:r>
      <w:r w:rsidRPr="000925A8">
        <w:t>n</w:t>
      </w:r>
      <w:r w:rsidRPr="000925A8">
        <w:t>kommun behöver informeras om exempelvis konsekvenserna av en exter</w:t>
      </w:r>
      <w:r w:rsidRPr="000925A8">
        <w:t>n</w:t>
      </w:r>
      <w:r w:rsidRPr="000925A8">
        <w:t>handelsetablering. Det förekommer också att länsstyrelser, på egen bekos</w:t>
      </w:r>
      <w:r w:rsidRPr="000925A8">
        <w:t>t</w:t>
      </w:r>
      <w:r w:rsidRPr="000925A8">
        <w:t>nad, har genomfört analyser av exempelvis en externhandelsetablerings ko</w:t>
      </w:r>
      <w:r w:rsidRPr="000925A8">
        <w:t>n</w:t>
      </w:r>
      <w:r w:rsidRPr="000925A8">
        <w:t>sekvenser för en grannkommun. Den planläggande kommunen ansåg att en sådan analys inte var nödvändig. En annan metod är att sammankalla till gemensamma m</w:t>
      </w:r>
      <w:r w:rsidRPr="000925A8">
        <w:t xml:space="preserve">öten och vid dessa tillfällen ta på sig rollen som medlare (se vidare kapitlet om vindkraftetableringar nedan). </w:t>
      </w:r>
    </w:p>
    <w:p w14:paraId="59291D0C" w14:textId="77777777" w:rsidR="00241093" w:rsidRPr="000925A8" w:rsidRDefault="00241093">
      <w:pPr>
        <w:pStyle w:val="Normaltindrag"/>
      </w:pPr>
      <w:r w:rsidRPr="000925A8">
        <w:t>Inte särskilt många länsstyrelser nämner uttryckligen att tillhandahållande av beslutsunderlag är en viktig metod för att främja mellankommunal sa</w:t>
      </w:r>
      <w:r w:rsidRPr="000925A8">
        <w:t>m</w:t>
      </w:r>
      <w:r w:rsidRPr="000925A8">
        <w:t>ordning. En förklaring till detta kan vara att den mellankommunala dimensi</w:t>
      </w:r>
      <w:r w:rsidRPr="000925A8">
        <w:t>o</w:t>
      </w:r>
      <w:r w:rsidRPr="000925A8">
        <w:t>nen är integrerad i sådana underlag som tar sin utgångspunkt i särskilda sa</w:t>
      </w:r>
      <w:r w:rsidRPr="000925A8">
        <w:t>k</w:t>
      </w:r>
      <w:r w:rsidRPr="000925A8">
        <w:t xml:space="preserve">frågor. Det kan exempelvis handla om underlag som behandlar grönstruktur, handel, täktverksamhet etc. </w:t>
      </w:r>
    </w:p>
    <w:p w14:paraId="194C35B8" w14:textId="77777777" w:rsidR="00241093" w:rsidRPr="000925A8" w:rsidRDefault="00241093">
      <w:pPr>
        <w:pStyle w:val="Normaltindrag"/>
      </w:pPr>
      <w:r w:rsidRPr="000925A8">
        <w:t>Ett exempel på ett underlag som är direkt riktat mot mellankommunala frågor var den promemoria som upprättades i Kronobergs län 1996. Materi</w:t>
      </w:r>
      <w:r w:rsidRPr="000925A8">
        <w:t>a</w:t>
      </w:r>
      <w:r w:rsidRPr="000925A8">
        <w:t>let behandlade mellankommunala och länsövergripande frågor. Tanken var att det skulle ligga till grund för länsstyrelsens prioritering av samordningsinsa</w:t>
      </w:r>
      <w:r w:rsidRPr="000925A8">
        <w:t>t</w:t>
      </w:r>
      <w:r w:rsidRPr="000925A8">
        <w:t>ser. Materialet var dock inte avsett för spridning till de berörda kommune</w:t>
      </w:r>
      <w:r w:rsidRPr="000925A8">
        <w:t>r</w:t>
      </w:r>
      <w:r w:rsidRPr="000925A8">
        <w:t>na.</w:t>
      </w:r>
      <w:r w:rsidRPr="000925A8">
        <w:rPr>
          <w:rStyle w:val="Fotnotsreferens"/>
        </w:rPr>
        <w:footnoteReference w:id="117"/>
      </w:r>
    </w:p>
    <w:p w14:paraId="1BB59DF3" w14:textId="77777777" w:rsidR="00241093" w:rsidRPr="000925A8" w:rsidRDefault="00241093">
      <w:pPr>
        <w:pStyle w:val="R3"/>
      </w:pPr>
      <w:r w:rsidRPr="000925A8">
        <w:t>Mellankommunal samordning – länsstyrelsernas syn på problem och lösningar</w:t>
      </w:r>
    </w:p>
    <w:p w14:paraId="21793F68" w14:textId="77777777" w:rsidR="00241093" w:rsidRPr="000925A8" w:rsidRDefault="00241093">
      <w:r w:rsidRPr="000925A8">
        <w:t>Länsstyrelserna fick ange vilka problem de upplever i arbetet med mella</w:t>
      </w:r>
      <w:r w:rsidRPr="000925A8">
        <w:t>n</w:t>
      </w:r>
      <w:r w:rsidRPr="000925A8">
        <w:t>kommunala PBL-frågor och hur dessa problem kan hanteras. Några länsst</w:t>
      </w:r>
      <w:r w:rsidRPr="000925A8">
        <w:t>y</w:t>
      </w:r>
      <w:r w:rsidRPr="000925A8">
        <w:t>relser framhåller svårigheterna i att definiera vilka frågor som är att betrakta som mellankommunala. Man menar att fokus gärna läggs på frågor med tydlig geografisk utsträckning över kommungränser. En länsstyrelse menar att kommunerna kan ha svårt att inse att ett planområde ”mitt inne i” en kommun kan vara av intresse för en annan kommun även om den planerade verksa</w:t>
      </w:r>
      <w:r w:rsidRPr="000925A8">
        <w:t>m</w:t>
      </w:r>
      <w:r w:rsidRPr="000925A8">
        <w:t xml:space="preserve">heten kan ha mellankommunala konsekvenser. </w:t>
      </w:r>
    </w:p>
    <w:p w14:paraId="4382413D" w14:textId="77777777" w:rsidR="00241093" w:rsidRPr="000925A8" w:rsidRDefault="00241093">
      <w:pPr>
        <w:pStyle w:val="Normaltindrag"/>
      </w:pPr>
      <w:r w:rsidRPr="000925A8">
        <w:t>Några länsstyrelser framhå</w:t>
      </w:r>
      <w:r w:rsidRPr="000925A8">
        <w:t>ller att kommuner lätt anser att staten gör i</w:t>
      </w:r>
      <w:r w:rsidRPr="000925A8">
        <w:t>n</w:t>
      </w:r>
      <w:r w:rsidRPr="000925A8">
        <w:t>trång i det kommunala planmonopolet när de påtalar mellankommunala ko</w:t>
      </w:r>
      <w:r w:rsidRPr="000925A8">
        <w:t>n</w:t>
      </w:r>
      <w:r w:rsidRPr="000925A8">
        <w:t>sekvenser. De menar att om det föreligger en konkurrenssituation är ett tydligt beslutsunderlag inte alltid önskvärt från den planläggande kommunens sida. Problemet är, enligt en länsstyrelse, att kommunerna främst ser till sin egen fördel och inte till eventuella nackdelar i andra kommuner. En annan ko</w:t>
      </w:r>
      <w:r w:rsidRPr="000925A8">
        <w:t>m</w:t>
      </w:r>
      <w:r w:rsidRPr="000925A8">
        <w:t>mentar går ut på att stora privata exploateringsintressen i vissa fall står i mo</w:t>
      </w:r>
      <w:r w:rsidRPr="000925A8">
        <w:t>t</w:t>
      </w:r>
      <w:r w:rsidRPr="000925A8">
        <w:t xml:space="preserve">sats till </w:t>
      </w:r>
      <w:r w:rsidRPr="000925A8">
        <w:t xml:space="preserve">offentliga beslut om en lämplig utveckling. </w:t>
      </w:r>
      <w:r w:rsidRPr="000925A8">
        <w:rPr>
          <w:i/>
        </w:rPr>
        <w:t>Inom</w:t>
      </w:r>
      <w:r w:rsidRPr="000925A8">
        <w:t xml:space="preserve"> en kommun finns former för demokratiska beslut i dessa frågor. Sådana demokratiska beslut</w:t>
      </w:r>
      <w:r w:rsidRPr="000925A8">
        <w:t>s</w:t>
      </w:r>
      <w:r w:rsidRPr="000925A8">
        <w:t xml:space="preserve">former saknas i mellankommunala sammanhang. </w:t>
      </w:r>
    </w:p>
    <w:p w14:paraId="770D8D6F" w14:textId="77777777" w:rsidR="00241093" w:rsidRPr="000925A8" w:rsidRDefault="00241093">
      <w:pPr>
        <w:pStyle w:val="Normaltindrag"/>
      </w:pPr>
      <w:r w:rsidRPr="000925A8">
        <w:t xml:space="preserve">Flera länsstyrelser understryker problemet med bristande resurser för den typ av tidiga samråd som enligt lagstiftaren ska utgöra en viktig metod för att hanteringen av mellankommunala frågor. </w:t>
      </w:r>
    </w:p>
    <w:p w14:paraId="5DF7D814" w14:textId="77777777" w:rsidR="00241093" w:rsidRPr="000925A8" w:rsidRDefault="00241093">
      <w:pPr>
        <w:pStyle w:val="Normaltindrag"/>
      </w:pPr>
      <w:r w:rsidRPr="000925A8">
        <w:t>En länsstyrelse framhåller att det är kommunerna som, inom vissa gränser, avgör när detaljplan är nödvändig. Väljer kommunen att använda sig av ett lovförfarande kan inte länsstyrelsen ingripa om den mellankommunala sa</w:t>
      </w:r>
      <w:r w:rsidRPr="000925A8">
        <w:t>m</w:t>
      </w:r>
      <w:r w:rsidRPr="000925A8">
        <w:t xml:space="preserve">ordningen är bristfällig med mindre än att enskilda sakägare överklagar bygglovet eller att länsstyrelsen enligt 12 kap. 4 § PBL i förväg har förordnat om att sådan prövning ska ske. En lösning på detta vore, enligt länsstyrelsen i fråga, att skärpa detaljplanekravet så att det omfattar alla frågor som kan ha mellankommunala konsekvenser. </w:t>
      </w:r>
    </w:p>
    <w:p w14:paraId="082961BE" w14:textId="77777777" w:rsidR="00241093" w:rsidRPr="000925A8" w:rsidRDefault="00241093">
      <w:pPr>
        <w:pStyle w:val="Normaltindrag"/>
      </w:pPr>
      <w:r w:rsidRPr="000925A8">
        <w:t>Några länsstyrelser menar att planprocesserna ofta har kommit långt innan programskedet inträder och länsstyrelsen formellt ska ges möjlighet att delta. Det kan innebära</w:t>
      </w:r>
      <w:r w:rsidRPr="000925A8">
        <w:t xml:space="preserve"> svårigheter för länsstyrelsen att få gehör för krav på mella</w:t>
      </w:r>
      <w:r w:rsidRPr="000925A8">
        <w:t>n</w:t>
      </w:r>
      <w:r w:rsidRPr="000925A8">
        <w:t>kommunal samordning som riskerar att hota överenskommelser som på ett informellt plan redan har träffats mellan kommunen och andra aktörer. I något fall antyds att sådana ”tidiga” överenskommelser även kan ha skett med andra statliga myndigheter, exempelvis trafikverken. I dessa fall har länsstyrelsen inte ”bjudits in” till de tidiga informella samtal som har förts. Att detta inte har skett anges sammanhänga med att länsstyrelsen har svårt att ”a</w:t>
      </w:r>
      <w:r w:rsidRPr="000925A8">
        <w:t>gera i</w:t>
      </w:r>
      <w:r w:rsidRPr="000925A8">
        <w:t>n</w:t>
      </w:r>
      <w:r w:rsidRPr="000925A8">
        <w:t>formellt”. Med detta åsyftades en svårighet för länsstyrelsen att föra en öppen och förutsättningslös diskussion utan direkt koppling till rollen som bevakare av olika nationella intressen med därtill hörande krav på omfattande ku</w:t>
      </w:r>
      <w:r w:rsidRPr="000925A8">
        <w:t>n</w:t>
      </w:r>
      <w:r w:rsidRPr="000925A8">
        <w:t xml:space="preserve">skapsunderlag. Det bör dock betonas att denna beskrivning tycks tillhöra ett undantagsfall. </w:t>
      </w:r>
    </w:p>
    <w:p w14:paraId="36976DC5" w14:textId="77777777" w:rsidR="00241093" w:rsidRPr="000925A8" w:rsidRDefault="00241093">
      <w:pPr>
        <w:pStyle w:val="Normaltindrag"/>
      </w:pPr>
      <w:r w:rsidRPr="000925A8">
        <w:t>En länsstyrelse saknar samordnade statliga regionala perspektiv som grund för länsstyrelsens agerande i mellankommunala frågor. Lösningen på detta kunde vara att lagstiftaren förtyd</w:t>
      </w:r>
      <w:r w:rsidRPr="000925A8">
        <w:t>ligar vilka grundläggande mellankommunala frågor länsstyrelserna ska behandla. Centrala sektorsmyndigheter och länsst</w:t>
      </w:r>
      <w:r w:rsidRPr="000925A8">
        <w:t>y</w:t>
      </w:r>
      <w:r w:rsidRPr="000925A8">
        <w:t>relser bör även ta fram regionala statliga perspektiv där det framgår vilka strukturer och värden som länsstyrelserna ska bevaka i den kommunala plan</w:t>
      </w:r>
      <w:r w:rsidRPr="000925A8">
        <w:t>e</w:t>
      </w:r>
      <w:r w:rsidRPr="000925A8">
        <w:t xml:space="preserve">ringen. </w:t>
      </w:r>
    </w:p>
    <w:p w14:paraId="6A5AFDCC" w14:textId="77777777" w:rsidR="00241093" w:rsidRPr="000925A8" w:rsidRDefault="00241093">
      <w:pPr>
        <w:pStyle w:val="Normaltindrag"/>
      </w:pPr>
      <w:r w:rsidRPr="000925A8">
        <w:t>Några länsstyrelser i mer glesbefolkade län med ytstora kommuner anger svårigheter att över huvud taget intressera kommunerna för mellankomm</w:t>
      </w:r>
      <w:r w:rsidRPr="000925A8">
        <w:t>u</w:t>
      </w:r>
      <w:r w:rsidRPr="000925A8">
        <w:t>nala frågor. De menar att sådana frågor helt enkelt inte existerar. Detta beror dels på att planverksamheten i allmänhet är låg i dessa läns kommuner, dels på att den planverksamhet som förekommer ofta sker i anslutning till ko</w:t>
      </w:r>
      <w:r w:rsidRPr="000925A8">
        <w:t>m</w:t>
      </w:r>
      <w:r w:rsidRPr="000925A8">
        <w:t>munala centralorter som ligger långt från kommungrä</w:t>
      </w:r>
      <w:r w:rsidRPr="000925A8">
        <w:t>n</w:t>
      </w:r>
      <w:r w:rsidRPr="000925A8">
        <w:t>sen.</w:t>
      </w:r>
    </w:p>
    <w:p w14:paraId="3FC77624" w14:textId="77777777" w:rsidR="00241093" w:rsidRPr="000925A8" w:rsidRDefault="00241093">
      <w:pPr>
        <w:pStyle w:val="R3"/>
      </w:pPr>
      <w:r w:rsidRPr="000925A8">
        <w:t>Länsstyrelsen och regionplaneringen</w:t>
      </w:r>
    </w:p>
    <w:p w14:paraId="620C26A8" w14:textId="77777777" w:rsidR="00241093" w:rsidRPr="000925A8" w:rsidRDefault="00241093">
      <w:r w:rsidRPr="000925A8">
        <w:t>Som tidigare har angivits är formell regionplanering enligt 7 kap. PBL en sällsynt företeelse i Sverige. Den förekommer endast i Stockholms län och i Göteborgsområdet. I Stockholm regleras dessutom verksamheten genom en särskild lag.</w:t>
      </w:r>
      <w:r w:rsidRPr="000925A8">
        <w:rPr>
          <w:rStyle w:val="Fotnotsreferens"/>
        </w:rPr>
        <w:footnoteReference w:id="118"/>
      </w:r>
      <w:r w:rsidRPr="000925A8">
        <w:t xml:space="preserve"> I Göteborgsområdet blev Göteborgsregionens kommunalfö</w:t>
      </w:r>
      <w:r w:rsidRPr="000925A8">
        <w:t>r</w:t>
      </w:r>
      <w:r w:rsidRPr="000925A8">
        <w:t xml:space="preserve">bund formellt regionplaneorgan enligt PBL år 1988. </w:t>
      </w:r>
    </w:p>
    <w:p w14:paraId="0733E43C" w14:textId="77777777" w:rsidR="00241093" w:rsidRPr="000925A8" w:rsidRDefault="00241093">
      <w:pPr>
        <w:pStyle w:val="Normaltindrag"/>
      </w:pPr>
      <w:r w:rsidRPr="000925A8">
        <w:t>Beträffande regionplaneringen i Stockholms län så har den bedrivits i regi av ett kommunalförbund sedan 1952 och sedan början av 1970-talet i land</w:t>
      </w:r>
      <w:r w:rsidRPr="000925A8">
        <w:t>s</w:t>
      </w:r>
      <w:r w:rsidRPr="000925A8">
        <w:t>tingets regi.. Regionplaner har presenterats ungefär vart tionde år, nämligen 1958, 1973, 1978 och 1991. Den senaste är den regionala utvecklingsplan för stockholmsregionen (RUFS 2001) som nyligen varit  utställd och som land</w:t>
      </w:r>
      <w:r w:rsidRPr="000925A8">
        <w:t>s</w:t>
      </w:r>
      <w:r w:rsidRPr="000925A8">
        <w:t xml:space="preserve">tingsfullmäktige förväntas ta ställning till under våren 2002. </w:t>
      </w:r>
    </w:p>
    <w:p w14:paraId="6CC7862B" w14:textId="77777777" w:rsidR="00241093" w:rsidRPr="000925A8" w:rsidRDefault="00241093">
      <w:pPr>
        <w:pStyle w:val="Normaltindrag"/>
      </w:pPr>
      <w:r w:rsidRPr="000925A8">
        <w:t>Flera av de intervjuade med anknytning till Stockholmsområdet menar att regionplaneringen inte resulterar i riktlinjer som binder upp kommunerna i deras planeringsverksamhet. Å andra sidan framhåller man att arbetet med r</w:t>
      </w:r>
      <w:r w:rsidRPr="000925A8">
        <w:t>egionplaner lyfter fram många mellankommunala frågor på ett bra sätt, inte minst genom de olika planeringsunderlag som tas fram av landstingets Reg</w:t>
      </w:r>
      <w:r w:rsidRPr="000925A8">
        <w:t>i</w:t>
      </w:r>
      <w:r w:rsidRPr="000925A8">
        <w:t>on- och trafikplanekontor (RTK). Dessa frågor kan sedan samordnas mellan en eller flera kommuner i deras översikts- eller detaljplanearbete.</w:t>
      </w:r>
      <w:r w:rsidRPr="000925A8">
        <w:rPr>
          <w:rStyle w:val="Fotnotsreferens"/>
        </w:rPr>
        <w:footnoteReference w:id="119"/>
      </w:r>
      <w:r w:rsidRPr="000925A8">
        <w:t xml:space="preserve"> </w:t>
      </w:r>
    </w:p>
    <w:p w14:paraId="3D731E8D" w14:textId="77777777" w:rsidR="00241093" w:rsidRPr="000925A8" w:rsidRDefault="00241093">
      <w:pPr>
        <w:pStyle w:val="Normaltindrag"/>
      </w:pPr>
      <w:r w:rsidRPr="000925A8">
        <w:t>RTK och Länsstyrelsen i Stockholm har under det halvsekel som regio</w:t>
      </w:r>
      <w:r w:rsidRPr="000925A8">
        <w:t>n</w:t>
      </w:r>
      <w:r w:rsidRPr="000925A8">
        <w:t>planering har bedrivits i Stockholm utvecklat en förhållandevis väl fungera</w:t>
      </w:r>
      <w:r w:rsidRPr="000925A8">
        <w:t>n</w:t>
      </w:r>
      <w:r w:rsidRPr="000925A8">
        <w:t>de ansvarsfördelning när det gäller de regionala och mellankommunala fr</w:t>
      </w:r>
      <w:r w:rsidRPr="000925A8">
        <w:t>å</w:t>
      </w:r>
      <w:r w:rsidRPr="000925A8">
        <w:t xml:space="preserve">gor. Relationerna betecknas emellertid också som ett </w:t>
      </w:r>
      <w:r w:rsidRPr="000925A8">
        <w:rPr>
          <w:i/>
        </w:rPr>
        <w:t>Modus Vivendi,</w:t>
      </w:r>
      <w:r w:rsidRPr="000925A8">
        <w:t xml:space="preserve"> dvs. ett provisoriskt ordnande av ett komplicerat förhållande.  </w:t>
      </w:r>
    </w:p>
    <w:p w14:paraId="0467D5AD" w14:textId="77777777" w:rsidR="00241093" w:rsidRPr="000925A8" w:rsidRDefault="00241093">
      <w:pPr>
        <w:pStyle w:val="Normaltindrag"/>
      </w:pPr>
      <w:r w:rsidRPr="000925A8">
        <w:t>RTK uppfattar sig som ett regionalt expertorgan som, i enlighet med PBL, tillhandahåller underlag som behandlar regionala frågor. Man anordnar sem</w:t>
      </w:r>
      <w:r w:rsidRPr="000925A8">
        <w:t>i</w:t>
      </w:r>
      <w:r w:rsidRPr="000925A8">
        <w:t>narier och konferenser kring regionala frågor. Kommunerna ska, enligt PBL, samråda med RTK i samband med sin översiktsplanering. RTK ser sig som något mer orienterat åt regionala utvecklingsfrågor än länsstyrelsen som uppfattas som mer bevarandeinriktat. Ett exempel som nämns här är synen på strandskyddsfrågor. RTK anser sig också oftare gå på kommunernas linje än vad länsstyrelsen gör. Vanligen tycks de båda myndigheterna dock kunna enas om en gemensam linje i olika frågor eller att man åtminstone inte ak</w:t>
      </w:r>
      <w:r w:rsidRPr="000925A8">
        <w:t xml:space="preserve">tivt motarbetar varandra i situationer då man har delade uppfattningar. </w:t>
      </w:r>
    </w:p>
    <w:p w14:paraId="1E7D0825" w14:textId="77777777" w:rsidR="00241093" w:rsidRPr="000925A8" w:rsidRDefault="00241093">
      <w:pPr>
        <w:pStyle w:val="Normaltindrag"/>
      </w:pPr>
      <w:r w:rsidRPr="000925A8">
        <w:t>Någon enstaka gång har RTK påkallat att en plan bör prövas av länsstyre</w:t>
      </w:r>
      <w:r w:rsidRPr="000925A8">
        <w:t>l</w:t>
      </w:r>
      <w:r w:rsidRPr="000925A8">
        <w:t>sen på grund av bristande mellankommunal samordning. Det gällde t.ex. föreslagna områdesbestämmelser i strid med ett regionalt vägreservat. Någon gång har det också hänt att RTK har framfört önskemål till Länsstyrelsen om att vissa synpunkter bör tas med i länsstyrelsen granskningsyttrande. RTK poängterar att man försöker lyfta fram de regionala frågorna tidigt i de ko</w:t>
      </w:r>
      <w:r w:rsidRPr="000925A8">
        <w:t>m</w:t>
      </w:r>
      <w:r w:rsidRPr="000925A8">
        <w:t>munala planprocesserna och har för detta ändamål bl.a. en särskild kontak</w:t>
      </w:r>
      <w:r w:rsidRPr="000925A8">
        <w:t>t</w:t>
      </w:r>
      <w:r w:rsidRPr="000925A8">
        <w:t xml:space="preserve">person i var och en av länets kommuner. </w:t>
      </w:r>
    </w:p>
    <w:p w14:paraId="3DAE330E" w14:textId="77777777" w:rsidR="00241093" w:rsidRPr="000925A8" w:rsidRDefault="00241093">
      <w:pPr>
        <w:pStyle w:val="Normaltindrag"/>
      </w:pPr>
      <w:r w:rsidRPr="000925A8">
        <w:t>När det gäller mellankom</w:t>
      </w:r>
      <w:r w:rsidRPr="000925A8">
        <w:t>munal samordning betonar både RTK och Län</w:t>
      </w:r>
      <w:r w:rsidRPr="000925A8">
        <w:t>s</w:t>
      </w:r>
      <w:r w:rsidRPr="000925A8">
        <w:t>styrelsen i Stockholms län betydelsen av de delregionala samarbeten som finns på flera håll i stockholmsregionen. Dessa kommunala samverkansfo</w:t>
      </w:r>
      <w:r w:rsidRPr="000925A8">
        <w:t>r</w:t>
      </w:r>
      <w:r w:rsidRPr="000925A8">
        <w:t>mer gör att de regionala frågornas betydelse stärks i den kommunala plan</w:t>
      </w:r>
      <w:r w:rsidRPr="000925A8">
        <w:t>e</w:t>
      </w:r>
      <w:r w:rsidRPr="000925A8">
        <w:t xml:space="preserve">ringen och att förståelsen för RTK:s arbete ökar. </w:t>
      </w:r>
    </w:p>
    <w:p w14:paraId="5EE98217" w14:textId="77777777" w:rsidR="00241093" w:rsidRPr="000925A8" w:rsidRDefault="00241093">
      <w:pPr>
        <w:pStyle w:val="Normaltindrag"/>
      </w:pPr>
      <w:r w:rsidRPr="000925A8">
        <w:t>I Göteborgsområdet antogs den senaste regionplanen 1982. Den utarbet</w:t>
      </w:r>
      <w:r w:rsidRPr="000925A8">
        <w:t>a</w:t>
      </w:r>
      <w:r w:rsidRPr="000925A8">
        <w:t>des då inte i regi av ett formellt regionplaneorgan. Regionplaneringen i Göt</w:t>
      </w:r>
      <w:r w:rsidRPr="000925A8">
        <w:t>e</w:t>
      </w:r>
      <w:r w:rsidRPr="000925A8">
        <w:t>borgsområdet har intensifierats på senare tid, men drivs enligt uppgift inte med den uttalade målsättningen att ta fram en särskild regionplan. Regionpl</w:t>
      </w:r>
      <w:r w:rsidRPr="000925A8">
        <w:t>a</w:t>
      </w:r>
      <w:r w:rsidRPr="000925A8">
        <w:t>neorganet GR fungerar mer som ”samtalspartner” med kommunerna kring regionala spörsmål. Liksom RTK i Stockholm anordnar man seminarier, konferenser och tar fram olika regionala planeringsu</w:t>
      </w:r>
      <w:r w:rsidRPr="000925A8">
        <w:t>n</w:t>
      </w:r>
      <w:r w:rsidRPr="000925A8">
        <w:t>derlag.</w:t>
      </w:r>
    </w:p>
    <w:p w14:paraId="3F309CAC" w14:textId="77777777" w:rsidR="00241093" w:rsidRPr="000925A8" w:rsidRDefault="00241093">
      <w:pPr>
        <w:pStyle w:val="Rubrik2"/>
        <w:spacing w:before="0"/>
      </w:pPr>
      <w:bookmarkStart w:id="94" w:name="Temp"/>
      <w:bookmarkEnd w:id="94"/>
      <w:r w:rsidRPr="000925A8">
        <w:br w:type="page"/>
      </w:r>
      <w:bookmarkStart w:id="95" w:name="_Toc4898247"/>
      <w:r w:rsidRPr="000925A8">
        <w:t>6 Några kommuners syn på länsstyrelsernas roll i den mellankommunala samor</w:t>
      </w:r>
      <w:r w:rsidRPr="000925A8">
        <w:t>d</w:t>
      </w:r>
      <w:r w:rsidRPr="000925A8">
        <w:t>ningen</w:t>
      </w:r>
      <w:bookmarkEnd w:id="95"/>
    </w:p>
    <w:p w14:paraId="46F7570A" w14:textId="77777777" w:rsidR="00241093" w:rsidRPr="000925A8" w:rsidRDefault="00241093">
      <w:pPr>
        <w:pStyle w:val="R3"/>
        <w:spacing w:before="125"/>
      </w:pPr>
      <w:r w:rsidRPr="000925A8">
        <w:t>Inledning</w:t>
      </w:r>
    </w:p>
    <w:p w14:paraId="19D2EB55" w14:textId="77777777" w:rsidR="00241093" w:rsidRPr="000925A8" w:rsidRDefault="00241093">
      <w:r w:rsidRPr="000925A8">
        <w:t>För att få en uppfattning om hur kommunerna ser på länsstyrelsernas arbete med mellankommunal samordning inom PBL-området har en enkät skickats till ett urval av landets kommuner (enkäten återfinns i bilaga två). I urvalet finns minst två kommuner från varje län. I de tre storstadslänen har fyra kommuner valts. Urvalet har också gjorts på ett sådant sätt att samtliga ko</w:t>
      </w:r>
      <w:r w:rsidRPr="000925A8">
        <w:t>m</w:t>
      </w:r>
      <w:r w:rsidRPr="000925A8">
        <w:t>muntyper enligt Kommunförbundets typologi finns representerade. Samma</w:t>
      </w:r>
      <w:r w:rsidRPr="000925A8">
        <w:t>n</w:t>
      </w:r>
      <w:r w:rsidRPr="000925A8">
        <w:t>lagt har 46 kommuner fått enkäten. De kommuner som ingår i urvalet av kommuner samt vilken kommuntyp de representerar listas i bilaga tre. Enk</w:t>
      </w:r>
      <w:r w:rsidRPr="000925A8">
        <w:t>ä</w:t>
      </w:r>
      <w:r w:rsidRPr="000925A8">
        <w:t>ten besvarades av 39 kommuner vilket motsvarar ca 85 % av urvalet.</w:t>
      </w:r>
    </w:p>
    <w:p w14:paraId="4B9AE768" w14:textId="77777777" w:rsidR="00241093" w:rsidRPr="000925A8" w:rsidRDefault="00241093">
      <w:pPr>
        <w:pStyle w:val="R3"/>
        <w:spacing w:before="235"/>
      </w:pPr>
      <w:r w:rsidRPr="000925A8">
        <w:t>Översiktsplaneringen</w:t>
      </w:r>
    </w:p>
    <w:p w14:paraId="10AC5E38" w14:textId="77777777" w:rsidR="00241093" w:rsidRPr="000925A8" w:rsidRDefault="00241093">
      <w:r w:rsidRPr="000925A8">
        <w:t>I enkäten ombads kommunerna att redovisa sin syn på länsstyrelsernas arbete med mellankommunal samordning under översiktsplaneprocessen. Komm</w:t>
      </w:r>
      <w:r w:rsidRPr="000925A8">
        <w:t>u</w:t>
      </w:r>
      <w:r w:rsidRPr="000925A8">
        <w:t>nerna fick ange sin uppfattning på skalor mellan ett och sju. I tabell 6.1 red</w:t>
      </w:r>
      <w:r w:rsidRPr="000925A8">
        <w:t>o</w:t>
      </w:r>
      <w:r w:rsidRPr="000925A8">
        <w:t>visas resultatet från ko</w:t>
      </w:r>
      <w:r w:rsidRPr="000925A8">
        <w:t>m</w:t>
      </w:r>
      <w:r w:rsidRPr="000925A8">
        <w:t>munernas svar.</w:t>
      </w:r>
    </w:p>
    <w:p w14:paraId="3FA7513A" w14:textId="77777777" w:rsidR="00241093" w:rsidRPr="000925A8" w:rsidRDefault="00241093">
      <w:pPr>
        <w:pStyle w:val="Normaltindrag"/>
      </w:pPr>
    </w:p>
    <w:p w14:paraId="10E3F178" w14:textId="77777777" w:rsidR="00241093" w:rsidRPr="000925A8" w:rsidRDefault="00241093">
      <w:pPr>
        <w:pStyle w:val="Brdtext"/>
        <w:spacing w:after="0"/>
        <w:rPr>
          <w:color w:val="auto"/>
          <w:sz w:val="20"/>
        </w:rPr>
      </w:pPr>
      <w:r w:rsidRPr="000925A8">
        <w:rPr>
          <w:b/>
          <w:color w:val="auto"/>
          <w:sz w:val="20"/>
        </w:rPr>
        <w:t>Tabell 6.1</w:t>
      </w:r>
      <w:r w:rsidRPr="000925A8">
        <w:rPr>
          <w:color w:val="auto"/>
          <w:sz w:val="20"/>
        </w:rPr>
        <w:t xml:space="preserve"> Kommunernas syn på länsstyrelsens arbete för att främja en lämplig kommunal samordning i den kommunala </w:t>
      </w:r>
      <w:r w:rsidRPr="000925A8">
        <w:rPr>
          <w:i/>
          <w:color w:val="auto"/>
          <w:sz w:val="20"/>
        </w:rPr>
        <w:t>översiktplan</w:t>
      </w:r>
      <w:r w:rsidRPr="000925A8">
        <w:rPr>
          <w:i/>
          <w:color w:val="auto"/>
          <w:sz w:val="20"/>
        </w:rPr>
        <w:t>e</w:t>
      </w:r>
      <w:r w:rsidRPr="000925A8">
        <w:rPr>
          <w:i/>
          <w:color w:val="auto"/>
          <w:sz w:val="20"/>
        </w:rPr>
        <w:t>ringen</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BF" w:firstRow="1" w:lastRow="0" w:firstColumn="1" w:lastColumn="0" w:noHBand="0" w:noVBand="0"/>
      </w:tblPr>
      <w:tblGrid>
        <w:gridCol w:w="3402"/>
        <w:gridCol w:w="709"/>
        <w:gridCol w:w="709"/>
        <w:gridCol w:w="567"/>
        <w:gridCol w:w="567"/>
      </w:tblGrid>
      <w:tr w:rsidR="00000000" w:rsidRPr="000925A8" w14:paraId="2A9800B8" w14:textId="77777777">
        <w:tblPrEx>
          <w:tblCellMar>
            <w:top w:w="0" w:type="dxa"/>
            <w:bottom w:w="0" w:type="dxa"/>
          </w:tblCellMar>
        </w:tblPrEx>
        <w:tc>
          <w:tcPr>
            <w:tcW w:w="3402" w:type="dxa"/>
          </w:tcPr>
          <w:p w14:paraId="13B34271" w14:textId="77777777" w:rsidR="00241093" w:rsidRPr="000925A8" w:rsidRDefault="00241093">
            <w:pPr>
              <w:spacing w:before="60" w:after="60"/>
              <w:jc w:val="left"/>
              <w:rPr>
                <w:sz w:val="16"/>
              </w:rPr>
            </w:pPr>
            <w:r w:rsidRPr="000925A8">
              <w:rPr>
                <w:sz w:val="16"/>
              </w:rPr>
              <w:t xml:space="preserve">Hur upplever kommunen länsstyrelsens arbete för att främja en lämplig kommunal samordning i den kommunala </w:t>
            </w:r>
            <w:r w:rsidRPr="000925A8">
              <w:rPr>
                <w:i/>
                <w:sz w:val="16"/>
              </w:rPr>
              <w:t>översiktplan</w:t>
            </w:r>
            <w:r w:rsidRPr="000925A8">
              <w:rPr>
                <w:i/>
                <w:sz w:val="16"/>
              </w:rPr>
              <w:t>e</w:t>
            </w:r>
            <w:r w:rsidRPr="000925A8">
              <w:rPr>
                <w:i/>
                <w:sz w:val="16"/>
              </w:rPr>
              <w:t>processen</w:t>
            </w:r>
            <w:r w:rsidRPr="000925A8">
              <w:rPr>
                <w:sz w:val="16"/>
              </w:rPr>
              <w:t>?</w:t>
            </w:r>
          </w:p>
        </w:tc>
        <w:tc>
          <w:tcPr>
            <w:tcW w:w="709" w:type="dxa"/>
          </w:tcPr>
          <w:p w14:paraId="5F08A537" w14:textId="77777777" w:rsidR="00241093" w:rsidRPr="000925A8" w:rsidRDefault="00241093">
            <w:pPr>
              <w:rPr>
                <w:b/>
                <w:sz w:val="16"/>
              </w:rPr>
            </w:pPr>
            <w:r w:rsidRPr="000925A8">
              <w:rPr>
                <w:b/>
                <w:sz w:val="16"/>
              </w:rPr>
              <w:t>Mede</w:t>
            </w:r>
            <w:r w:rsidRPr="000925A8">
              <w:rPr>
                <w:b/>
                <w:sz w:val="16"/>
              </w:rPr>
              <w:t>l</w:t>
            </w:r>
          </w:p>
        </w:tc>
        <w:tc>
          <w:tcPr>
            <w:tcW w:w="709" w:type="dxa"/>
          </w:tcPr>
          <w:p w14:paraId="69B729B6" w14:textId="77777777" w:rsidR="00241093" w:rsidRPr="000925A8" w:rsidRDefault="00241093">
            <w:pPr>
              <w:rPr>
                <w:b/>
                <w:sz w:val="16"/>
              </w:rPr>
            </w:pPr>
            <w:r w:rsidRPr="000925A8">
              <w:rPr>
                <w:b/>
                <w:sz w:val="16"/>
              </w:rPr>
              <w:t>Min</w:t>
            </w:r>
          </w:p>
        </w:tc>
        <w:tc>
          <w:tcPr>
            <w:tcW w:w="567" w:type="dxa"/>
          </w:tcPr>
          <w:p w14:paraId="32C81930" w14:textId="77777777" w:rsidR="00241093" w:rsidRPr="000925A8" w:rsidRDefault="00241093">
            <w:pPr>
              <w:rPr>
                <w:b/>
                <w:sz w:val="16"/>
              </w:rPr>
            </w:pPr>
            <w:r w:rsidRPr="000925A8">
              <w:rPr>
                <w:b/>
                <w:sz w:val="16"/>
              </w:rPr>
              <w:t>Max</w:t>
            </w:r>
          </w:p>
        </w:tc>
        <w:tc>
          <w:tcPr>
            <w:tcW w:w="567" w:type="dxa"/>
          </w:tcPr>
          <w:p w14:paraId="417B19C2" w14:textId="77777777" w:rsidR="00241093" w:rsidRPr="000925A8" w:rsidRDefault="00241093">
            <w:pPr>
              <w:rPr>
                <w:b/>
                <w:sz w:val="16"/>
              </w:rPr>
            </w:pPr>
            <w:r w:rsidRPr="000925A8">
              <w:rPr>
                <w:b/>
                <w:sz w:val="16"/>
              </w:rPr>
              <w:t>A</w:t>
            </w:r>
            <w:r w:rsidRPr="000925A8">
              <w:rPr>
                <w:b/>
                <w:sz w:val="16"/>
              </w:rPr>
              <w:t>n</w:t>
            </w:r>
            <w:r w:rsidRPr="000925A8">
              <w:rPr>
                <w:b/>
                <w:sz w:val="16"/>
              </w:rPr>
              <w:t>tal</w:t>
            </w:r>
          </w:p>
        </w:tc>
      </w:tr>
      <w:tr w:rsidR="00000000" w:rsidRPr="000925A8" w14:paraId="382BF7EC" w14:textId="77777777">
        <w:tblPrEx>
          <w:tblCellMar>
            <w:top w:w="0" w:type="dxa"/>
            <w:bottom w:w="0" w:type="dxa"/>
          </w:tblCellMar>
        </w:tblPrEx>
        <w:tc>
          <w:tcPr>
            <w:tcW w:w="3402" w:type="dxa"/>
          </w:tcPr>
          <w:p w14:paraId="24605322" w14:textId="77777777" w:rsidR="00241093" w:rsidRPr="000925A8" w:rsidRDefault="00241093">
            <w:pPr>
              <w:spacing w:before="60" w:after="60"/>
              <w:jc w:val="left"/>
              <w:rPr>
                <w:sz w:val="16"/>
              </w:rPr>
            </w:pPr>
            <w:r w:rsidRPr="000925A8">
              <w:rPr>
                <w:b/>
                <w:sz w:val="16"/>
              </w:rPr>
              <w:t>Betydelse</w:t>
            </w:r>
            <w:r w:rsidRPr="000925A8">
              <w:rPr>
                <w:sz w:val="16"/>
              </w:rPr>
              <w:t xml:space="preserve"> (inte alls viktigt – mycket viktigt)</w:t>
            </w:r>
          </w:p>
        </w:tc>
        <w:tc>
          <w:tcPr>
            <w:tcW w:w="709" w:type="dxa"/>
          </w:tcPr>
          <w:p w14:paraId="1E621359" w14:textId="77777777" w:rsidR="00241093" w:rsidRPr="000925A8" w:rsidRDefault="00241093">
            <w:pPr>
              <w:pStyle w:val="Punkter"/>
              <w:spacing w:before="60" w:after="60"/>
              <w:jc w:val="center"/>
              <w:rPr>
                <w:sz w:val="16"/>
              </w:rPr>
            </w:pPr>
            <w:r w:rsidRPr="000925A8">
              <w:rPr>
                <w:sz w:val="16"/>
              </w:rPr>
              <w:t>4,5</w:t>
            </w:r>
          </w:p>
        </w:tc>
        <w:tc>
          <w:tcPr>
            <w:tcW w:w="709" w:type="dxa"/>
          </w:tcPr>
          <w:p w14:paraId="338D0890" w14:textId="77777777" w:rsidR="00241093" w:rsidRPr="000925A8" w:rsidRDefault="00241093">
            <w:pPr>
              <w:spacing w:before="60" w:after="60"/>
              <w:jc w:val="center"/>
              <w:rPr>
                <w:sz w:val="16"/>
              </w:rPr>
            </w:pPr>
            <w:r w:rsidRPr="000925A8">
              <w:rPr>
                <w:sz w:val="16"/>
              </w:rPr>
              <w:t>1 (1)*</w:t>
            </w:r>
          </w:p>
        </w:tc>
        <w:tc>
          <w:tcPr>
            <w:tcW w:w="567" w:type="dxa"/>
          </w:tcPr>
          <w:p w14:paraId="448E3DE0" w14:textId="77777777" w:rsidR="00241093" w:rsidRPr="000925A8" w:rsidRDefault="00241093">
            <w:pPr>
              <w:spacing w:before="60" w:after="60"/>
              <w:jc w:val="center"/>
              <w:rPr>
                <w:sz w:val="16"/>
              </w:rPr>
            </w:pPr>
            <w:r w:rsidRPr="000925A8">
              <w:rPr>
                <w:sz w:val="16"/>
              </w:rPr>
              <w:t>7 (4)</w:t>
            </w:r>
          </w:p>
        </w:tc>
        <w:tc>
          <w:tcPr>
            <w:tcW w:w="567" w:type="dxa"/>
          </w:tcPr>
          <w:p w14:paraId="1FE891BE" w14:textId="77777777" w:rsidR="00241093" w:rsidRPr="000925A8" w:rsidRDefault="00241093">
            <w:pPr>
              <w:spacing w:before="60" w:after="60"/>
              <w:jc w:val="center"/>
              <w:rPr>
                <w:sz w:val="16"/>
              </w:rPr>
            </w:pPr>
            <w:r w:rsidRPr="000925A8">
              <w:rPr>
                <w:sz w:val="16"/>
              </w:rPr>
              <w:t>37</w:t>
            </w:r>
          </w:p>
        </w:tc>
      </w:tr>
      <w:tr w:rsidR="00000000" w:rsidRPr="000925A8" w14:paraId="57C8D83C" w14:textId="77777777">
        <w:tblPrEx>
          <w:tblCellMar>
            <w:top w:w="0" w:type="dxa"/>
            <w:bottom w:w="0" w:type="dxa"/>
          </w:tblCellMar>
        </w:tblPrEx>
        <w:tc>
          <w:tcPr>
            <w:tcW w:w="3402" w:type="dxa"/>
          </w:tcPr>
          <w:p w14:paraId="09D2E0AB" w14:textId="77777777" w:rsidR="00241093" w:rsidRPr="000925A8" w:rsidRDefault="00241093">
            <w:pPr>
              <w:spacing w:before="60" w:after="60"/>
              <w:jc w:val="left"/>
              <w:rPr>
                <w:sz w:val="16"/>
              </w:rPr>
            </w:pPr>
            <w:r w:rsidRPr="000925A8">
              <w:rPr>
                <w:b/>
                <w:sz w:val="16"/>
              </w:rPr>
              <w:t>Omfattning</w:t>
            </w:r>
            <w:r w:rsidRPr="000925A8">
              <w:rPr>
                <w:sz w:val="16"/>
              </w:rPr>
              <w:t xml:space="preserve"> (inte alls omfattande – mycket o</w:t>
            </w:r>
            <w:r w:rsidRPr="000925A8">
              <w:rPr>
                <w:sz w:val="16"/>
              </w:rPr>
              <w:t>m</w:t>
            </w:r>
            <w:r w:rsidRPr="000925A8">
              <w:rPr>
                <w:sz w:val="16"/>
              </w:rPr>
              <w:t>fattande)</w:t>
            </w:r>
          </w:p>
        </w:tc>
        <w:tc>
          <w:tcPr>
            <w:tcW w:w="709" w:type="dxa"/>
          </w:tcPr>
          <w:p w14:paraId="7A01C1FB" w14:textId="77777777" w:rsidR="00241093" w:rsidRPr="000925A8" w:rsidRDefault="00241093">
            <w:pPr>
              <w:spacing w:before="60" w:after="60"/>
              <w:jc w:val="center"/>
              <w:rPr>
                <w:sz w:val="16"/>
              </w:rPr>
            </w:pPr>
            <w:r w:rsidRPr="000925A8">
              <w:rPr>
                <w:sz w:val="16"/>
              </w:rPr>
              <w:t>3,1</w:t>
            </w:r>
          </w:p>
        </w:tc>
        <w:tc>
          <w:tcPr>
            <w:tcW w:w="709" w:type="dxa"/>
          </w:tcPr>
          <w:p w14:paraId="307BAD6D" w14:textId="77777777" w:rsidR="00241093" w:rsidRPr="000925A8" w:rsidRDefault="00241093">
            <w:pPr>
              <w:spacing w:before="60" w:after="60"/>
              <w:jc w:val="center"/>
              <w:rPr>
                <w:sz w:val="16"/>
              </w:rPr>
            </w:pPr>
            <w:r w:rsidRPr="000925A8">
              <w:rPr>
                <w:sz w:val="16"/>
              </w:rPr>
              <w:t>1 (2)</w:t>
            </w:r>
          </w:p>
        </w:tc>
        <w:tc>
          <w:tcPr>
            <w:tcW w:w="567" w:type="dxa"/>
          </w:tcPr>
          <w:p w14:paraId="13B8F02A" w14:textId="77777777" w:rsidR="00241093" w:rsidRPr="000925A8" w:rsidRDefault="00241093">
            <w:pPr>
              <w:spacing w:before="60" w:after="60"/>
              <w:jc w:val="center"/>
              <w:rPr>
                <w:sz w:val="16"/>
              </w:rPr>
            </w:pPr>
            <w:r w:rsidRPr="000925A8">
              <w:rPr>
                <w:sz w:val="16"/>
              </w:rPr>
              <w:t>7 (1)</w:t>
            </w:r>
          </w:p>
        </w:tc>
        <w:tc>
          <w:tcPr>
            <w:tcW w:w="567" w:type="dxa"/>
          </w:tcPr>
          <w:p w14:paraId="38E22C43" w14:textId="77777777" w:rsidR="00241093" w:rsidRPr="000925A8" w:rsidRDefault="00241093">
            <w:pPr>
              <w:spacing w:before="60" w:after="60"/>
              <w:jc w:val="center"/>
              <w:rPr>
                <w:sz w:val="16"/>
              </w:rPr>
            </w:pPr>
            <w:r w:rsidRPr="000925A8">
              <w:rPr>
                <w:sz w:val="16"/>
              </w:rPr>
              <w:t>37</w:t>
            </w:r>
          </w:p>
        </w:tc>
      </w:tr>
      <w:tr w:rsidR="00000000" w:rsidRPr="000925A8" w14:paraId="1DE4BC5E" w14:textId="77777777">
        <w:tblPrEx>
          <w:tblCellMar>
            <w:top w:w="0" w:type="dxa"/>
            <w:bottom w:w="0" w:type="dxa"/>
          </w:tblCellMar>
        </w:tblPrEx>
        <w:tc>
          <w:tcPr>
            <w:tcW w:w="3402" w:type="dxa"/>
          </w:tcPr>
          <w:p w14:paraId="4F1C6417" w14:textId="77777777" w:rsidR="00241093" w:rsidRPr="000925A8" w:rsidRDefault="00241093">
            <w:pPr>
              <w:spacing w:before="60" w:after="60"/>
              <w:jc w:val="left"/>
              <w:rPr>
                <w:b/>
                <w:sz w:val="16"/>
              </w:rPr>
            </w:pPr>
            <w:r w:rsidRPr="000925A8">
              <w:rPr>
                <w:b/>
                <w:sz w:val="16"/>
              </w:rPr>
              <w:t xml:space="preserve">Tillräckligt </w:t>
            </w:r>
            <w:r w:rsidRPr="000925A8">
              <w:rPr>
                <w:sz w:val="16"/>
              </w:rPr>
              <w:t xml:space="preserve">(inte alls tillräckligt – fullt tillräckligt) </w:t>
            </w:r>
          </w:p>
        </w:tc>
        <w:tc>
          <w:tcPr>
            <w:tcW w:w="709" w:type="dxa"/>
          </w:tcPr>
          <w:p w14:paraId="0F38AE96" w14:textId="77777777" w:rsidR="00241093" w:rsidRPr="000925A8" w:rsidRDefault="00241093">
            <w:pPr>
              <w:spacing w:before="60" w:after="60"/>
              <w:jc w:val="center"/>
              <w:rPr>
                <w:sz w:val="16"/>
              </w:rPr>
            </w:pPr>
            <w:r w:rsidRPr="000925A8">
              <w:rPr>
                <w:sz w:val="16"/>
              </w:rPr>
              <w:t>3,9</w:t>
            </w:r>
          </w:p>
        </w:tc>
        <w:tc>
          <w:tcPr>
            <w:tcW w:w="709" w:type="dxa"/>
          </w:tcPr>
          <w:p w14:paraId="0C8E5702" w14:textId="77777777" w:rsidR="00241093" w:rsidRPr="000925A8" w:rsidRDefault="00241093">
            <w:pPr>
              <w:spacing w:before="60" w:after="60"/>
              <w:jc w:val="center"/>
              <w:rPr>
                <w:sz w:val="16"/>
              </w:rPr>
            </w:pPr>
            <w:r w:rsidRPr="000925A8">
              <w:rPr>
                <w:sz w:val="16"/>
              </w:rPr>
              <w:t>2 (8)</w:t>
            </w:r>
          </w:p>
        </w:tc>
        <w:tc>
          <w:tcPr>
            <w:tcW w:w="567" w:type="dxa"/>
          </w:tcPr>
          <w:p w14:paraId="4BACA923" w14:textId="77777777" w:rsidR="00241093" w:rsidRPr="000925A8" w:rsidRDefault="00241093">
            <w:pPr>
              <w:spacing w:before="60" w:after="60"/>
              <w:jc w:val="center"/>
              <w:rPr>
                <w:sz w:val="16"/>
              </w:rPr>
            </w:pPr>
            <w:r w:rsidRPr="000925A8">
              <w:rPr>
                <w:sz w:val="16"/>
              </w:rPr>
              <w:t>7 (1)</w:t>
            </w:r>
          </w:p>
        </w:tc>
        <w:tc>
          <w:tcPr>
            <w:tcW w:w="567" w:type="dxa"/>
          </w:tcPr>
          <w:p w14:paraId="39E19382" w14:textId="77777777" w:rsidR="00241093" w:rsidRPr="000925A8" w:rsidRDefault="00241093">
            <w:pPr>
              <w:spacing w:before="60" w:after="60"/>
              <w:jc w:val="center"/>
              <w:rPr>
                <w:sz w:val="16"/>
              </w:rPr>
            </w:pPr>
            <w:r w:rsidRPr="000925A8">
              <w:rPr>
                <w:sz w:val="16"/>
              </w:rPr>
              <w:t>37</w:t>
            </w:r>
          </w:p>
        </w:tc>
      </w:tr>
      <w:tr w:rsidR="00000000" w:rsidRPr="000925A8" w14:paraId="206B86BB" w14:textId="77777777">
        <w:tblPrEx>
          <w:tblCellMar>
            <w:top w:w="0" w:type="dxa"/>
            <w:bottom w:w="0" w:type="dxa"/>
          </w:tblCellMar>
        </w:tblPrEx>
        <w:tc>
          <w:tcPr>
            <w:tcW w:w="3402" w:type="dxa"/>
          </w:tcPr>
          <w:p w14:paraId="6B1B2954" w14:textId="77777777" w:rsidR="00241093" w:rsidRPr="000925A8" w:rsidRDefault="00241093">
            <w:pPr>
              <w:spacing w:before="60" w:after="60"/>
              <w:jc w:val="left"/>
              <w:rPr>
                <w:sz w:val="16"/>
              </w:rPr>
            </w:pPr>
            <w:r w:rsidRPr="000925A8">
              <w:rPr>
                <w:b/>
                <w:sz w:val="16"/>
              </w:rPr>
              <w:t>Relevans</w:t>
            </w:r>
            <w:r w:rsidRPr="000925A8">
              <w:rPr>
                <w:sz w:val="16"/>
              </w:rPr>
              <w:t xml:space="preserve"> (inte alls relevant för planeringsfrågorna i vår kommun – mycket relevant för planering</w:t>
            </w:r>
            <w:r w:rsidRPr="000925A8">
              <w:rPr>
                <w:sz w:val="16"/>
              </w:rPr>
              <w:t>s</w:t>
            </w:r>
            <w:r w:rsidRPr="000925A8">
              <w:rPr>
                <w:sz w:val="16"/>
              </w:rPr>
              <w:t>frågorna i vår kommun)</w:t>
            </w:r>
          </w:p>
        </w:tc>
        <w:tc>
          <w:tcPr>
            <w:tcW w:w="709" w:type="dxa"/>
          </w:tcPr>
          <w:p w14:paraId="0C0D6ACA" w14:textId="77777777" w:rsidR="00241093" w:rsidRPr="000925A8" w:rsidRDefault="00241093">
            <w:pPr>
              <w:spacing w:before="60" w:after="60"/>
              <w:jc w:val="center"/>
              <w:rPr>
                <w:sz w:val="16"/>
              </w:rPr>
            </w:pPr>
            <w:r w:rsidRPr="000925A8">
              <w:rPr>
                <w:sz w:val="16"/>
              </w:rPr>
              <w:t>4,6</w:t>
            </w:r>
          </w:p>
        </w:tc>
        <w:tc>
          <w:tcPr>
            <w:tcW w:w="709" w:type="dxa"/>
          </w:tcPr>
          <w:p w14:paraId="79C670D1" w14:textId="77777777" w:rsidR="00241093" w:rsidRPr="000925A8" w:rsidRDefault="00241093">
            <w:pPr>
              <w:spacing w:before="60" w:after="60"/>
              <w:jc w:val="center"/>
              <w:rPr>
                <w:sz w:val="16"/>
              </w:rPr>
            </w:pPr>
            <w:r w:rsidRPr="000925A8">
              <w:rPr>
                <w:sz w:val="16"/>
              </w:rPr>
              <w:t>1 (1)</w:t>
            </w:r>
          </w:p>
        </w:tc>
        <w:tc>
          <w:tcPr>
            <w:tcW w:w="567" w:type="dxa"/>
          </w:tcPr>
          <w:p w14:paraId="4CE2ECEC" w14:textId="77777777" w:rsidR="00241093" w:rsidRPr="000925A8" w:rsidRDefault="00241093">
            <w:pPr>
              <w:spacing w:before="60" w:after="60"/>
              <w:jc w:val="center"/>
              <w:rPr>
                <w:sz w:val="16"/>
              </w:rPr>
            </w:pPr>
            <w:r w:rsidRPr="000925A8">
              <w:rPr>
                <w:sz w:val="16"/>
              </w:rPr>
              <w:t>7 (4)</w:t>
            </w:r>
          </w:p>
        </w:tc>
        <w:tc>
          <w:tcPr>
            <w:tcW w:w="567" w:type="dxa"/>
          </w:tcPr>
          <w:p w14:paraId="38A80243" w14:textId="77777777" w:rsidR="00241093" w:rsidRPr="000925A8" w:rsidRDefault="00241093">
            <w:pPr>
              <w:spacing w:before="60" w:after="60"/>
              <w:jc w:val="center"/>
              <w:rPr>
                <w:sz w:val="16"/>
              </w:rPr>
            </w:pPr>
            <w:r w:rsidRPr="000925A8">
              <w:rPr>
                <w:sz w:val="16"/>
              </w:rPr>
              <w:t>37</w:t>
            </w:r>
          </w:p>
        </w:tc>
      </w:tr>
    </w:tbl>
    <w:p w14:paraId="581C64DC" w14:textId="77777777" w:rsidR="00241093" w:rsidRPr="000925A8" w:rsidRDefault="00241093">
      <w:pPr>
        <w:rPr>
          <w:sz w:val="16"/>
        </w:rPr>
      </w:pPr>
      <w:r w:rsidRPr="000925A8">
        <w:rPr>
          <w:sz w:val="16"/>
        </w:rPr>
        <w:t xml:space="preserve">* Siffrorna inom parentes anger antalet kommuner som har angivit max- eller minvärdet. </w:t>
      </w:r>
    </w:p>
    <w:p w14:paraId="54563D36" w14:textId="77777777" w:rsidR="00241093" w:rsidRPr="000925A8" w:rsidRDefault="00241093">
      <w:pPr>
        <w:spacing w:before="0"/>
      </w:pPr>
      <w:r w:rsidRPr="000925A8">
        <w:t>Tabellen visar att kommunernas genomsnittliga svar i samtliga fall hamnar relativt nära det ”neutrala” svarsalternativet fyra. Medelvärdet för betydelsen av länsstyrelsernas arbete för att främja en mellankommunal samordning och arbetets relevans för planeringsfrågorna hamnar något över fyra, medan vä</w:t>
      </w:r>
      <w:r w:rsidRPr="000925A8">
        <w:t>r</w:t>
      </w:r>
      <w:r w:rsidRPr="000925A8">
        <w:t>det för arbetets omfattning och tillräcklighet hamnar något under. Den sa</w:t>
      </w:r>
      <w:r w:rsidRPr="000925A8">
        <w:t>m</w:t>
      </w:r>
      <w:r w:rsidRPr="000925A8">
        <w:t xml:space="preserve">manfattande slutsatsen kan därmed vara att ”medelkommunen” anser att länsstyrelsens arbete för att främja mellankommunal samordning har en viss betydelse och relevans, men att arbetets omfattning inte är så stor och på gränsen till otillräckligt. </w:t>
      </w:r>
    </w:p>
    <w:p w14:paraId="0B773309" w14:textId="77777777" w:rsidR="00241093" w:rsidRPr="000925A8" w:rsidRDefault="00241093">
      <w:pPr>
        <w:pStyle w:val="Normaltindrag"/>
      </w:pPr>
      <w:r w:rsidRPr="000925A8">
        <w:t>En sambandsanalys visar ett relativt starkt positivt samband mellan de två första variablerna. Det innebär att de kommuner som anser att omfattningen på länsstyrelsens arbete för att främja</w:t>
      </w:r>
      <w:r w:rsidRPr="000925A8">
        <w:t xml:space="preserve"> mellankommunal samordning är stor också anser att detta arbete har betydelse.</w:t>
      </w:r>
      <w:r w:rsidRPr="000925A8">
        <w:rPr>
          <w:rStyle w:val="Fotnotsreferens"/>
        </w:rPr>
        <w:footnoteReference w:id="120"/>
      </w:r>
      <w:r w:rsidRPr="000925A8">
        <w:t xml:space="preserve"> Mellan variablerna Omfattning och Tillräckligt är sambandet något svagare, men inte obetydligt.</w:t>
      </w:r>
      <w:r w:rsidRPr="000925A8">
        <w:rPr>
          <w:rStyle w:val="Fotnotsreferens"/>
        </w:rPr>
        <w:footnoteReference w:id="121"/>
      </w:r>
      <w:r w:rsidRPr="000925A8">
        <w:t xml:space="preserve"> Man kan alltså med visst fog hävda att kommuner som anger att omfattningen är stor också menar att den är tillräcklig. Mellan variablerna Betydelse och Tillräc</w:t>
      </w:r>
      <w:r w:rsidRPr="000925A8">
        <w:t>k</w:t>
      </w:r>
      <w:r w:rsidRPr="000925A8">
        <w:t>ligt är sambandet svagt negativt, dvs. de kommuner som anger att betydelsen är stor har en tendens att mena att länsstyrelsens arbete för att främja mella</w:t>
      </w:r>
      <w:r w:rsidRPr="000925A8">
        <w:t>n</w:t>
      </w:r>
      <w:r w:rsidRPr="000925A8">
        <w:t>kommunal samordning inte är tillräckligt.</w:t>
      </w:r>
      <w:r w:rsidRPr="000925A8">
        <w:rPr>
          <w:rStyle w:val="Fotnotsreferens"/>
        </w:rPr>
        <w:footnoteReference w:id="122"/>
      </w:r>
      <w:r w:rsidRPr="000925A8">
        <w:t xml:space="preserve"> </w:t>
      </w:r>
    </w:p>
    <w:p w14:paraId="76EDA1C1" w14:textId="77777777" w:rsidR="00241093" w:rsidRPr="000925A8" w:rsidRDefault="00241093">
      <w:pPr>
        <w:pStyle w:val="Normaltindrag"/>
      </w:pPr>
      <w:r w:rsidRPr="000925A8">
        <w:t>I kommentarer till denna fråga har några av Stockholmskommunerna ang</w:t>
      </w:r>
      <w:r w:rsidRPr="000925A8">
        <w:t>i</w:t>
      </w:r>
      <w:r w:rsidRPr="000925A8">
        <w:t xml:space="preserve">vit att mycket av den mellankommunala samordningen sker inom ramen för Region- och trafikplanekontorets arbete. En kommun menar dock att detta inte hindrar att länsstyrelsen borde kunna ta ett större ansvar och spela en större roll. </w:t>
      </w:r>
    </w:p>
    <w:p w14:paraId="15635FE1" w14:textId="77777777" w:rsidR="00241093" w:rsidRPr="000925A8" w:rsidRDefault="00241093">
      <w:pPr>
        <w:pStyle w:val="Normaltindrag"/>
      </w:pPr>
      <w:r w:rsidRPr="000925A8">
        <w:t>Någon kommun anger att det för deras del handlar mycket om mella</w:t>
      </w:r>
      <w:r w:rsidRPr="000925A8">
        <w:t>n</w:t>
      </w:r>
      <w:r w:rsidRPr="000925A8">
        <w:t>kommunal samordning över länsgränsen och att man i det sammanhanget har fått föredömligt stöd från län</w:t>
      </w:r>
      <w:r w:rsidRPr="000925A8">
        <w:t>s</w:t>
      </w:r>
      <w:r w:rsidRPr="000925A8">
        <w:t>styrelsen i det egna länet (F län).</w:t>
      </w:r>
    </w:p>
    <w:p w14:paraId="2061EA78" w14:textId="77777777" w:rsidR="00241093" w:rsidRPr="000925A8" w:rsidRDefault="00241093">
      <w:pPr>
        <w:pStyle w:val="R4"/>
      </w:pPr>
      <w:r w:rsidRPr="000925A8">
        <w:t>Variationen mellan kommunerna i olika län</w:t>
      </w:r>
    </w:p>
    <w:p w14:paraId="676CCC1E" w14:textId="77777777" w:rsidR="00241093" w:rsidRPr="000925A8" w:rsidRDefault="00241093">
      <w:pPr>
        <w:spacing w:before="0"/>
      </w:pPr>
      <w:r w:rsidRPr="000925A8">
        <w:t>Antalet kommuner i urvalet är litet, men om man ändå tittar närmare på hur kommunerna i respektive län har svarat finner man att medelvärdena varierar på det sätt som anges i tabell 6.2.</w:t>
      </w:r>
    </w:p>
    <w:p w14:paraId="53DF8286" w14:textId="77777777" w:rsidR="00241093" w:rsidRPr="000925A8" w:rsidRDefault="00241093">
      <w:pPr>
        <w:rPr>
          <w:sz w:val="20"/>
        </w:rPr>
      </w:pPr>
      <w:r w:rsidRPr="000925A8">
        <w:rPr>
          <w:b/>
          <w:sz w:val="20"/>
        </w:rPr>
        <w:t>Tabell 6.2</w:t>
      </w:r>
      <w:r w:rsidRPr="000925A8">
        <w:rPr>
          <w:sz w:val="20"/>
        </w:rPr>
        <w:t xml:space="preserve"> Länsvisa variationer i kommunernas syn på länsstyrelsens arbete för att främja en lämplig kommunal samordning i den kommunala </w:t>
      </w:r>
      <w:r w:rsidRPr="000925A8">
        <w:rPr>
          <w:i/>
          <w:sz w:val="20"/>
        </w:rPr>
        <w:t>översiktplaneproce</w:t>
      </w:r>
      <w:r w:rsidRPr="000925A8">
        <w:rPr>
          <w:i/>
          <w:sz w:val="20"/>
        </w:rPr>
        <w:t>s</w:t>
      </w:r>
      <w:r w:rsidRPr="000925A8">
        <w:rPr>
          <w:i/>
          <w:sz w:val="20"/>
        </w:rPr>
        <w:t>sen</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BF" w:firstRow="1" w:lastRow="0" w:firstColumn="1" w:lastColumn="0" w:noHBand="0" w:noVBand="0"/>
      </w:tblPr>
      <w:tblGrid>
        <w:gridCol w:w="3261"/>
        <w:gridCol w:w="708"/>
        <w:gridCol w:w="1276"/>
        <w:gridCol w:w="709"/>
      </w:tblGrid>
      <w:tr w:rsidR="00000000" w:rsidRPr="000925A8" w14:paraId="7BEBEAD6" w14:textId="77777777">
        <w:tblPrEx>
          <w:tblCellMar>
            <w:top w:w="0" w:type="dxa"/>
            <w:bottom w:w="0" w:type="dxa"/>
          </w:tblCellMar>
        </w:tblPrEx>
        <w:trPr>
          <w:cantSplit/>
          <w:trHeight w:val="959"/>
        </w:trPr>
        <w:tc>
          <w:tcPr>
            <w:tcW w:w="3261" w:type="dxa"/>
          </w:tcPr>
          <w:p w14:paraId="409F3089" w14:textId="77777777" w:rsidR="00241093" w:rsidRPr="000925A8" w:rsidRDefault="00241093">
            <w:pPr>
              <w:spacing w:before="60" w:after="60"/>
              <w:jc w:val="left"/>
              <w:rPr>
                <w:sz w:val="16"/>
              </w:rPr>
            </w:pPr>
            <w:r w:rsidRPr="000925A8">
              <w:rPr>
                <w:sz w:val="16"/>
              </w:rPr>
              <w:t>Hur upplever kommunen länsstyrelsens arbete för att främja en lämplig kommunal samordning i den kommunala översiktplaneproce</w:t>
            </w:r>
            <w:r w:rsidRPr="000925A8">
              <w:rPr>
                <w:sz w:val="16"/>
              </w:rPr>
              <w:t>s</w:t>
            </w:r>
            <w:r w:rsidRPr="000925A8">
              <w:rPr>
                <w:sz w:val="16"/>
              </w:rPr>
              <w:t>sen?</w:t>
            </w:r>
          </w:p>
        </w:tc>
        <w:tc>
          <w:tcPr>
            <w:tcW w:w="708" w:type="dxa"/>
          </w:tcPr>
          <w:p w14:paraId="3615DA27" w14:textId="77777777" w:rsidR="00241093" w:rsidRPr="000925A8" w:rsidRDefault="00241093">
            <w:pPr>
              <w:rPr>
                <w:b/>
                <w:sz w:val="16"/>
              </w:rPr>
            </w:pPr>
            <w:r w:rsidRPr="000925A8">
              <w:rPr>
                <w:b/>
                <w:sz w:val="16"/>
              </w:rPr>
              <w:t>Mede</w:t>
            </w:r>
            <w:r w:rsidRPr="000925A8">
              <w:rPr>
                <w:b/>
                <w:sz w:val="16"/>
              </w:rPr>
              <w:t>l</w:t>
            </w:r>
          </w:p>
        </w:tc>
        <w:tc>
          <w:tcPr>
            <w:tcW w:w="1276" w:type="dxa"/>
          </w:tcPr>
          <w:p w14:paraId="7F5ED099" w14:textId="77777777" w:rsidR="00241093" w:rsidRPr="000925A8" w:rsidRDefault="00241093">
            <w:pPr>
              <w:jc w:val="left"/>
              <w:rPr>
                <w:b/>
                <w:sz w:val="16"/>
              </w:rPr>
            </w:pPr>
            <w:r w:rsidRPr="000925A8">
              <w:rPr>
                <w:b/>
                <w:sz w:val="16"/>
              </w:rPr>
              <w:t>Länsmedelvä</w:t>
            </w:r>
            <w:r w:rsidRPr="000925A8">
              <w:rPr>
                <w:b/>
                <w:sz w:val="16"/>
              </w:rPr>
              <w:t>r</w:t>
            </w:r>
            <w:r w:rsidRPr="000925A8">
              <w:rPr>
                <w:b/>
                <w:sz w:val="16"/>
              </w:rPr>
              <w:t>denas vari</w:t>
            </w:r>
            <w:r w:rsidRPr="000925A8">
              <w:rPr>
                <w:b/>
                <w:sz w:val="16"/>
              </w:rPr>
              <w:t>a</w:t>
            </w:r>
            <w:r w:rsidRPr="000925A8">
              <w:rPr>
                <w:b/>
                <w:sz w:val="16"/>
              </w:rPr>
              <w:t>tionsi</w:t>
            </w:r>
            <w:r w:rsidRPr="000925A8">
              <w:rPr>
                <w:b/>
                <w:sz w:val="16"/>
              </w:rPr>
              <w:t>n</w:t>
            </w:r>
            <w:r w:rsidRPr="000925A8">
              <w:rPr>
                <w:b/>
                <w:sz w:val="16"/>
              </w:rPr>
              <w:t>tervall</w:t>
            </w:r>
          </w:p>
        </w:tc>
        <w:tc>
          <w:tcPr>
            <w:tcW w:w="709" w:type="dxa"/>
          </w:tcPr>
          <w:p w14:paraId="737573E4" w14:textId="77777777" w:rsidR="00241093" w:rsidRPr="000925A8" w:rsidRDefault="00241093">
            <w:pPr>
              <w:rPr>
                <w:b/>
                <w:sz w:val="16"/>
              </w:rPr>
            </w:pPr>
            <w:r w:rsidRPr="000925A8">
              <w:rPr>
                <w:b/>
                <w:sz w:val="16"/>
              </w:rPr>
              <w:t>Antal län*</w:t>
            </w:r>
          </w:p>
        </w:tc>
      </w:tr>
      <w:tr w:rsidR="00000000" w:rsidRPr="000925A8" w14:paraId="498CF6F7" w14:textId="77777777">
        <w:tblPrEx>
          <w:tblCellMar>
            <w:top w:w="0" w:type="dxa"/>
            <w:bottom w:w="0" w:type="dxa"/>
          </w:tblCellMar>
        </w:tblPrEx>
        <w:trPr>
          <w:cantSplit/>
        </w:trPr>
        <w:tc>
          <w:tcPr>
            <w:tcW w:w="3261" w:type="dxa"/>
          </w:tcPr>
          <w:p w14:paraId="249CFB12" w14:textId="77777777" w:rsidR="00241093" w:rsidRPr="000925A8" w:rsidRDefault="00241093">
            <w:pPr>
              <w:spacing w:before="60" w:after="60"/>
              <w:jc w:val="left"/>
              <w:rPr>
                <w:sz w:val="16"/>
              </w:rPr>
            </w:pPr>
            <w:r w:rsidRPr="000925A8">
              <w:rPr>
                <w:sz w:val="16"/>
              </w:rPr>
              <w:t>Betydelse (inte alls viktigt – mycket viktigt)</w:t>
            </w:r>
          </w:p>
        </w:tc>
        <w:tc>
          <w:tcPr>
            <w:tcW w:w="708" w:type="dxa"/>
          </w:tcPr>
          <w:p w14:paraId="3558A799" w14:textId="77777777" w:rsidR="00241093" w:rsidRPr="000925A8" w:rsidRDefault="00241093">
            <w:pPr>
              <w:pStyle w:val="Punkter"/>
              <w:spacing w:before="60" w:after="60"/>
              <w:jc w:val="center"/>
              <w:rPr>
                <w:sz w:val="16"/>
              </w:rPr>
            </w:pPr>
            <w:r w:rsidRPr="000925A8">
              <w:rPr>
                <w:sz w:val="16"/>
              </w:rPr>
              <w:t>4,5</w:t>
            </w:r>
          </w:p>
        </w:tc>
        <w:tc>
          <w:tcPr>
            <w:tcW w:w="1276" w:type="dxa"/>
          </w:tcPr>
          <w:p w14:paraId="25226C0E" w14:textId="77777777" w:rsidR="00241093" w:rsidRPr="000925A8" w:rsidRDefault="00241093">
            <w:pPr>
              <w:spacing w:before="60" w:after="60"/>
              <w:jc w:val="center"/>
              <w:rPr>
                <w:sz w:val="16"/>
              </w:rPr>
            </w:pPr>
            <w:r w:rsidRPr="000925A8">
              <w:rPr>
                <w:sz w:val="16"/>
              </w:rPr>
              <w:t>2,5–6,0</w:t>
            </w:r>
          </w:p>
        </w:tc>
        <w:tc>
          <w:tcPr>
            <w:tcW w:w="709" w:type="dxa"/>
          </w:tcPr>
          <w:p w14:paraId="349815E6" w14:textId="77777777" w:rsidR="00241093" w:rsidRPr="000925A8" w:rsidRDefault="00241093">
            <w:pPr>
              <w:spacing w:before="60" w:after="60"/>
              <w:jc w:val="center"/>
              <w:rPr>
                <w:sz w:val="16"/>
              </w:rPr>
            </w:pPr>
            <w:r w:rsidRPr="000925A8">
              <w:rPr>
                <w:sz w:val="16"/>
              </w:rPr>
              <w:t>13</w:t>
            </w:r>
          </w:p>
        </w:tc>
      </w:tr>
      <w:tr w:rsidR="00000000" w:rsidRPr="000925A8" w14:paraId="1CDE79CE" w14:textId="77777777">
        <w:tblPrEx>
          <w:tblCellMar>
            <w:top w:w="0" w:type="dxa"/>
            <w:bottom w:w="0" w:type="dxa"/>
          </w:tblCellMar>
        </w:tblPrEx>
        <w:trPr>
          <w:cantSplit/>
        </w:trPr>
        <w:tc>
          <w:tcPr>
            <w:tcW w:w="3261" w:type="dxa"/>
          </w:tcPr>
          <w:p w14:paraId="3FEB367A" w14:textId="77777777" w:rsidR="00241093" w:rsidRPr="000925A8" w:rsidRDefault="00241093">
            <w:pPr>
              <w:spacing w:before="60" w:after="60"/>
              <w:jc w:val="left"/>
              <w:rPr>
                <w:sz w:val="16"/>
              </w:rPr>
            </w:pPr>
            <w:r w:rsidRPr="000925A8">
              <w:rPr>
                <w:sz w:val="16"/>
              </w:rPr>
              <w:t>Omfattning (inte alls omfattande – mycket omfa</w:t>
            </w:r>
            <w:r w:rsidRPr="000925A8">
              <w:rPr>
                <w:sz w:val="16"/>
              </w:rPr>
              <w:t>t</w:t>
            </w:r>
            <w:r w:rsidRPr="000925A8">
              <w:rPr>
                <w:sz w:val="16"/>
              </w:rPr>
              <w:t>tande)</w:t>
            </w:r>
          </w:p>
        </w:tc>
        <w:tc>
          <w:tcPr>
            <w:tcW w:w="708" w:type="dxa"/>
          </w:tcPr>
          <w:p w14:paraId="3D95AA81" w14:textId="77777777" w:rsidR="00241093" w:rsidRPr="000925A8" w:rsidRDefault="00241093">
            <w:pPr>
              <w:spacing w:before="60" w:after="60"/>
              <w:jc w:val="center"/>
              <w:rPr>
                <w:sz w:val="16"/>
              </w:rPr>
            </w:pPr>
            <w:r w:rsidRPr="000925A8">
              <w:rPr>
                <w:sz w:val="16"/>
              </w:rPr>
              <w:t>3,1</w:t>
            </w:r>
          </w:p>
        </w:tc>
        <w:tc>
          <w:tcPr>
            <w:tcW w:w="1276" w:type="dxa"/>
          </w:tcPr>
          <w:p w14:paraId="31BAFBF1" w14:textId="77777777" w:rsidR="00241093" w:rsidRPr="000925A8" w:rsidRDefault="00241093">
            <w:pPr>
              <w:spacing w:before="60" w:after="60"/>
              <w:jc w:val="center"/>
              <w:rPr>
                <w:sz w:val="16"/>
              </w:rPr>
            </w:pPr>
            <w:r w:rsidRPr="000925A8">
              <w:rPr>
                <w:sz w:val="16"/>
              </w:rPr>
              <w:t>2,0–5,5</w:t>
            </w:r>
          </w:p>
        </w:tc>
        <w:tc>
          <w:tcPr>
            <w:tcW w:w="709" w:type="dxa"/>
          </w:tcPr>
          <w:p w14:paraId="6D6027A9" w14:textId="77777777" w:rsidR="00241093" w:rsidRPr="000925A8" w:rsidRDefault="00241093">
            <w:pPr>
              <w:spacing w:before="60" w:after="60"/>
              <w:jc w:val="center"/>
              <w:rPr>
                <w:sz w:val="16"/>
              </w:rPr>
            </w:pPr>
            <w:r w:rsidRPr="000925A8">
              <w:rPr>
                <w:sz w:val="16"/>
              </w:rPr>
              <w:t>14</w:t>
            </w:r>
          </w:p>
        </w:tc>
      </w:tr>
      <w:tr w:rsidR="00000000" w:rsidRPr="000925A8" w14:paraId="4E5DA201" w14:textId="77777777">
        <w:tblPrEx>
          <w:tblCellMar>
            <w:top w:w="0" w:type="dxa"/>
            <w:bottom w:w="0" w:type="dxa"/>
          </w:tblCellMar>
        </w:tblPrEx>
        <w:trPr>
          <w:cantSplit/>
        </w:trPr>
        <w:tc>
          <w:tcPr>
            <w:tcW w:w="3261" w:type="dxa"/>
          </w:tcPr>
          <w:p w14:paraId="1DF38D9C" w14:textId="77777777" w:rsidR="00241093" w:rsidRPr="000925A8" w:rsidRDefault="00241093">
            <w:pPr>
              <w:pStyle w:val="Innehll1"/>
              <w:spacing w:before="60" w:after="60" w:line="240" w:lineRule="auto"/>
              <w:rPr>
                <w:sz w:val="16"/>
              </w:rPr>
            </w:pPr>
            <w:r w:rsidRPr="000925A8">
              <w:rPr>
                <w:sz w:val="16"/>
              </w:rPr>
              <w:t>Tillräckligt (inte alls tillräckligt – fullt tillräc</w:t>
            </w:r>
            <w:r w:rsidRPr="000925A8">
              <w:rPr>
                <w:sz w:val="16"/>
              </w:rPr>
              <w:t>k</w:t>
            </w:r>
            <w:r w:rsidRPr="000925A8">
              <w:rPr>
                <w:sz w:val="16"/>
              </w:rPr>
              <w:t>ligt)</w:t>
            </w:r>
          </w:p>
        </w:tc>
        <w:tc>
          <w:tcPr>
            <w:tcW w:w="708" w:type="dxa"/>
          </w:tcPr>
          <w:p w14:paraId="238C4EDF" w14:textId="77777777" w:rsidR="00241093" w:rsidRPr="000925A8" w:rsidRDefault="00241093">
            <w:pPr>
              <w:spacing w:before="60" w:after="60"/>
              <w:jc w:val="center"/>
              <w:rPr>
                <w:sz w:val="16"/>
              </w:rPr>
            </w:pPr>
            <w:r w:rsidRPr="000925A8">
              <w:rPr>
                <w:sz w:val="16"/>
              </w:rPr>
              <w:t>3,9</w:t>
            </w:r>
          </w:p>
        </w:tc>
        <w:tc>
          <w:tcPr>
            <w:tcW w:w="1276" w:type="dxa"/>
          </w:tcPr>
          <w:p w14:paraId="58BA9980" w14:textId="77777777" w:rsidR="00241093" w:rsidRPr="000925A8" w:rsidRDefault="00241093">
            <w:pPr>
              <w:spacing w:before="60" w:after="60"/>
              <w:jc w:val="center"/>
              <w:rPr>
                <w:sz w:val="16"/>
              </w:rPr>
            </w:pPr>
            <w:r w:rsidRPr="000925A8">
              <w:rPr>
                <w:sz w:val="16"/>
              </w:rPr>
              <w:t>2,5–6,0</w:t>
            </w:r>
          </w:p>
        </w:tc>
        <w:tc>
          <w:tcPr>
            <w:tcW w:w="709" w:type="dxa"/>
          </w:tcPr>
          <w:p w14:paraId="099FB133" w14:textId="77777777" w:rsidR="00241093" w:rsidRPr="000925A8" w:rsidRDefault="00241093">
            <w:pPr>
              <w:spacing w:before="60" w:after="60"/>
              <w:jc w:val="center"/>
              <w:rPr>
                <w:sz w:val="16"/>
              </w:rPr>
            </w:pPr>
            <w:r w:rsidRPr="000925A8">
              <w:rPr>
                <w:sz w:val="16"/>
              </w:rPr>
              <w:t>14</w:t>
            </w:r>
          </w:p>
        </w:tc>
      </w:tr>
      <w:tr w:rsidR="00000000" w:rsidRPr="000925A8" w14:paraId="35346890" w14:textId="77777777">
        <w:tblPrEx>
          <w:tblCellMar>
            <w:top w:w="0" w:type="dxa"/>
            <w:bottom w:w="0" w:type="dxa"/>
          </w:tblCellMar>
        </w:tblPrEx>
        <w:trPr>
          <w:cantSplit/>
        </w:trPr>
        <w:tc>
          <w:tcPr>
            <w:tcW w:w="3261" w:type="dxa"/>
          </w:tcPr>
          <w:p w14:paraId="791CEE34" w14:textId="77777777" w:rsidR="00241093" w:rsidRPr="000925A8" w:rsidRDefault="00241093">
            <w:pPr>
              <w:spacing w:before="60" w:after="60"/>
              <w:jc w:val="left"/>
              <w:rPr>
                <w:sz w:val="16"/>
              </w:rPr>
            </w:pPr>
            <w:r w:rsidRPr="000925A8">
              <w:rPr>
                <w:sz w:val="16"/>
              </w:rPr>
              <w:t>Relevans (Inte alls relevant för planeringsfr</w:t>
            </w:r>
            <w:r w:rsidRPr="000925A8">
              <w:rPr>
                <w:sz w:val="16"/>
              </w:rPr>
              <w:t>å</w:t>
            </w:r>
            <w:r w:rsidRPr="000925A8">
              <w:rPr>
                <w:sz w:val="16"/>
              </w:rPr>
              <w:t>gorna i vår kommun – Mycket relevant för planeringsfrågorna i vår kommun)</w:t>
            </w:r>
          </w:p>
        </w:tc>
        <w:tc>
          <w:tcPr>
            <w:tcW w:w="708" w:type="dxa"/>
          </w:tcPr>
          <w:p w14:paraId="65EB4C08" w14:textId="77777777" w:rsidR="00241093" w:rsidRPr="000925A8" w:rsidRDefault="00241093">
            <w:pPr>
              <w:spacing w:before="60" w:after="60"/>
              <w:jc w:val="center"/>
              <w:rPr>
                <w:sz w:val="16"/>
              </w:rPr>
            </w:pPr>
            <w:r w:rsidRPr="000925A8">
              <w:rPr>
                <w:sz w:val="16"/>
              </w:rPr>
              <w:t>4,6</w:t>
            </w:r>
          </w:p>
        </w:tc>
        <w:tc>
          <w:tcPr>
            <w:tcW w:w="1276" w:type="dxa"/>
          </w:tcPr>
          <w:p w14:paraId="0ED0B496" w14:textId="77777777" w:rsidR="00241093" w:rsidRPr="000925A8" w:rsidRDefault="00241093">
            <w:pPr>
              <w:spacing w:before="60" w:after="60"/>
              <w:jc w:val="center"/>
              <w:rPr>
                <w:sz w:val="16"/>
              </w:rPr>
            </w:pPr>
            <w:r w:rsidRPr="000925A8">
              <w:rPr>
                <w:sz w:val="16"/>
              </w:rPr>
              <w:t>1,5–6,5</w:t>
            </w:r>
          </w:p>
        </w:tc>
        <w:tc>
          <w:tcPr>
            <w:tcW w:w="709" w:type="dxa"/>
          </w:tcPr>
          <w:p w14:paraId="77ACA49F" w14:textId="77777777" w:rsidR="00241093" w:rsidRPr="000925A8" w:rsidRDefault="00241093">
            <w:pPr>
              <w:spacing w:before="60" w:after="60"/>
              <w:jc w:val="center"/>
              <w:rPr>
                <w:sz w:val="16"/>
              </w:rPr>
            </w:pPr>
            <w:r w:rsidRPr="000925A8">
              <w:rPr>
                <w:sz w:val="16"/>
              </w:rPr>
              <w:t>13</w:t>
            </w:r>
          </w:p>
        </w:tc>
      </w:tr>
    </w:tbl>
    <w:p w14:paraId="369C3F72" w14:textId="77777777" w:rsidR="00241093" w:rsidRPr="000925A8" w:rsidRDefault="00241093">
      <w:pPr>
        <w:spacing w:before="0"/>
        <w:rPr>
          <w:sz w:val="16"/>
        </w:rPr>
      </w:pPr>
      <w:r w:rsidRPr="000925A8">
        <w:rPr>
          <w:sz w:val="16"/>
        </w:rPr>
        <w:t>* Länsmedelvärden har endast beräknats för län där fler än en kommun i urvalet har tagit ställning till respe</w:t>
      </w:r>
      <w:r w:rsidRPr="000925A8">
        <w:rPr>
          <w:sz w:val="16"/>
        </w:rPr>
        <w:t>k</w:t>
      </w:r>
      <w:r w:rsidRPr="000925A8">
        <w:rPr>
          <w:sz w:val="16"/>
        </w:rPr>
        <w:t>tive påstående.</w:t>
      </w:r>
    </w:p>
    <w:p w14:paraId="233AB7CE" w14:textId="77777777" w:rsidR="00241093" w:rsidRPr="000925A8" w:rsidRDefault="00241093">
      <w:r w:rsidRPr="000925A8">
        <w:t>Av tabellen framgår att variationen är relativt stor mellan hur kommunerna i olika län ser på län</w:t>
      </w:r>
      <w:r w:rsidRPr="000925A8">
        <w:t>s</w:t>
      </w:r>
      <w:r w:rsidRPr="000925A8">
        <w:t>styrelsens arbete.</w:t>
      </w:r>
      <w:r w:rsidRPr="000925A8">
        <w:rPr>
          <w:rStyle w:val="Fotnotsreferens"/>
        </w:rPr>
        <w:footnoteReference w:id="123"/>
      </w:r>
    </w:p>
    <w:p w14:paraId="1EAA26F1" w14:textId="77777777" w:rsidR="00241093" w:rsidRPr="000925A8" w:rsidRDefault="00241093">
      <w:pPr>
        <w:pStyle w:val="R4"/>
      </w:pPr>
      <w:r w:rsidRPr="000925A8">
        <w:t>Variationen mellan olika kommuntyper</w:t>
      </w:r>
    </w:p>
    <w:p w14:paraId="00A49B82" w14:textId="77777777" w:rsidR="00241093" w:rsidRPr="000925A8" w:rsidRDefault="00241093">
      <w:pPr>
        <w:spacing w:before="0"/>
      </w:pPr>
      <w:r w:rsidRPr="000925A8">
        <w:t>På motsvarande sätt kan man analysera hur kommuner av olika typ ser på länsstyrelsernas arbete under översiktsplaneprocessen. Medelvärdena för de olika kommuntyperna redovisas i tabell 6.3.</w:t>
      </w:r>
    </w:p>
    <w:p w14:paraId="45EE874B" w14:textId="77777777" w:rsidR="00241093" w:rsidRPr="000925A8" w:rsidRDefault="00241093">
      <w:pPr>
        <w:pStyle w:val="Normaltindrag"/>
      </w:pPr>
    </w:p>
    <w:p w14:paraId="6AC92382" w14:textId="77777777" w:rsidR="00241093" w:rsidRPr="000925A8" w:rsidRDefault="00241093">
      <w:pPr>
        <w:pStyle w:val="Brdtext"/>
        <w:spacing w:after="0"/>
        <w:rPr>
          <w:color w:val="auto"/>
        </w:rPr>
      </w:pPr>
      <w:r w:rsidRPr="000925A8">
        <w:rPr>
          <w:b/>
          <w:color w:val="auto"/>
          <w:sz w:val="20"/>
        </w:rPr>
        <w:t>Tabell 6.3</w:t>
      </w:r>
      <w:r w:rsidRPr="000925A8">
        <w:rPr>
          <w:color w:val="auto"/>
          <w:sz w:val="20"/>
        </w:rPr>
        <w:t xml:space="preserve"> Olika kommuntypers syn på länsstyrelsens arbete för att främja en lämplig kommunal samordning i den kommunala </w:t>
      </w:r>
      <w:r w:rsidRPr="000925A8">
        <w:rPr>
          <w:i/>
          <w:color w:val="auto"/>
          <w:sz w:val="20"/>
        </w:rPr>
        <w:t>översiktpl</w:t>
      </w:r>
      <w:r w:rsidRPr="000925A8">
        <w:rPr>
          <w:i/>
          <w:color w:val="auto"/>
          <w:sz w:val="20"/>
        </w:rPr>
        <w:t>a</w:t>
      </w:r>
      <w:r w:rsidRPr="000925A8">
        <w:rPr>
          <w:i/>
          <w:color w:val="auto"/>
          <w:sz w:val="20"/>
        </w:rPr>
        <w:t>neringen*</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BF" w:firstRow="1" w:lastRow="0" w:firstColumn="1" w:lastColumn="0" w:noHBand="0" w:noVBand="0"/>
      </w:tblPr>
      <w:tblGrid>
        <w:gridCol w:w="910"/>
        <w:gridCol w:w="650"/>
        <w:gridCol w:w="425"/>
        <w:gridCol w:w="567"/>
        <w:gridCol w:w="567"/>
        <w:gridCol w:w="425"/>
        <w:gridCol w:w="567"/>
        <w:gridCol w:w="567"/>
        <w:gridCol w:w="709"/>
        <w:gridCol w:w="567"/>
      </w:tblGrid>
      <w:tr w:rsidR="00000000" w:rsidRPr="000925A8" w14:paraId="2F0F7249" w14:textId="77777777">
        <w:tblPrEx>
          <w:tblCellMar>
            <w:top w:w="0" w:type="dxa"/>
            <w:bottom w:w="0" w:type="dxa"/>
          </w:tblCellMar>
        </w:tblPrEx>
        <w:tc>
          <w:tcPr>
            <w:tcW w:w="910" w:type="dxa"/>
          </w:tcPr>
          <w:p w14:paraId="416420AC" w14:textId="77777777" w:rsidR="00241093" w:rsidRPr="000925A8" w:rsidRDefault="00241093">
            <w:pPr>
              <w:jc w:val="left"/>
              <w:rPr>
                <w:b/>
                <w:sz w:val="16"/>
              </w:rPr>
            </w:pPr>
          </w:p>
        </w:tc>
        <w:tc>
          <w:tcPr>
            <w:tcW w:w="650" w:type="dxa"/>
          </w:tcPr>
          <w:p w14:paraId="3946366F" w14:textId="77777777" w:rsidR="00241093" w:rsidRPr="000925A8" w:rsidRDefault="00241093">
            <w:pPr>
              <w:pStyle w:val="Brdtext"/>
              <w:spacing w:after="0"/>
              <w:jc w:val="center"/>
              <w:rPr>
                <w:b/>
                <w:color w:val="auto"/>
                <w:sz w:val="16"/>
              </w:rPr>
            </w:pPr>
            <w:r w:rsidRPr="000925A8">
              <w:rPr>
                <w:b/>
                <w:color w:val="auto"/>
                <w:sz w:val="16"/>
              </w:rPr>
              <w:t>Alla</w:t>
            </w:r>
          </w:p>
          <w:p w14:paraId="55A312E5" w14:textId="77777777" w:rsidR="00241093" w:rsidRPr="000925A8" w:rsidRDefault="00241093">
            <w:pPr>
              <w:pStyle w:val="Brdtext"/>
              <w:spacing w:after="0"/>
              <w:jc w:val="center"/>
              <w:rPr>
                <w:color w:val="auto"/>
                <w:sz w:val="16"/>
              </w:rPr>
            </w:pPr>
            <w:r w:rsidRPr="000925A8">
              <w:rPr>
                <w:color w:val="auto"/>
                <w:sz w:val="16"/>
              </w:rPr>
              <w:t>(37)**</w:t>
            </w:r>
          </w:p>
        </w:tc>
        <w:tc>
          <w:tcPr>
            <w:tcW w:w="425" w:type="dxa"/>
          </w:tcPr>
          <w:p w14:paraId="6C18BB79" w14:textId="77777777" w:rsidR="00241093" w:rsidRPr="000925A8" w:rsidRDefault="00241093">
            <w:pPr>
              <w:pStyle w:val="Brdtext"/>
              <w:spacing w:after="0"/>
              <w:jc w:val="center"/>
              <w:rPr>
                <w:b/>
                <w:color w:val="auto"/>
                <w:sz w:val="16"/>
              </w:rPr>
            </w:pPr>
            <w:r w:rsidRPr="000925A8">
              <w:rPr>
                <w:b/>
                <w:color w:val="auto"/>
                <w:sz w:val="16"/>
              </w:rPr>
              <w:t>S</w:t>
            </w:r>
          </w:p>
          <w:p w14:paraId="0BDCFA76" w14:textId="77777777" w:rsidR="00241093" w:rsidRPr="000925A8" w:rsidRDefault="00241093">
            <w:pPr>
              <w:pStyle w:val="Brdtext"/>
              <w:spacing w:after="0"/>
              <w:jc w:val="center"/>
              <w:rPr>
                <w:color w:val="auto"/>
                <w:sz w:val="16"/>
              </w:rPr>
            </w:pPr>
            <w:r w:rsidRPr="000925A8">
              <w:rPr>
                <w:color w:val="auto"/>
                <w:sz w:val="16"/>
              </w:rPr>
              <w:t>(3)</w:t>
            </w:r>
          </w:p>
        </w:tc>
        <w:tc>
          <w:tcPr>
            <w:tcW w:w="567" w:type="dxa"/>
          </w:tcPr>
          <w:p w14:paraId="37812AC1" w14:textId="77777777" w:rsidR="00241093" w:rsidRPr="000925A8" w:rsidRDefault="00241093">
            <w:pPr>
              <w:pStyle w:val="Brdtext"/>
              <w:spacing w:after="0"/>
              <w:jc w:val="center"/>
              <w:rPr>
                <w:b/>
                <w:color w:val="auto"/>
                <w:sz w:val="16"/>
              </w:rPr>
            </w:pPr>
            <w:r w:rsidRPr="000925A8">
              <w:rPr>
                <w:b/>
                <w:color w:val="auto"/>
                <w:sz w:val="16"/>
              </w:rPr>
              <w:t>SS</w:t>
            </w:r>
          </w:p>
          <w:p w14:paraId="7151F631" w14:textId="77777777" w:rsidR="00241093" w:rsidRPr="000925A8" w:rsidRDefault="00241093">
            <w:pPr>
              <w:pStyle w:val="Brdtext"/>
              <w:spacing w:after="0"/>
              <w:jc w:val="center"/>
              <w:rPr>
                <w:color w:val="auto"/>
                <w:sz w:val="16"/>
              </w:rPr>
            </w:pPr>
            <w:r w:rsidRPr="000925A8">
              <w:rPr>
                <w:color w:val="auto"/>
                <w:sz w:val="16"/>
              </w:rPr>
              <w:t>(8)</w:t>
            </w:r>
          </w:p>
        </w:tc>
        <w:tc>
          <w:tcPr>
            <w:tcW w:w="567" w:type="dxa"/>
          </w:tcPr>
          <w:p w14:paraId="705EABF6" w14:textId="77777777" w:rsidR="00241093" w:rsidRPr="000925A8" w:rsidRDefault="00241093">
            <w:pPr>
              <w:pStyle w:val="Brdtext"/>
              <w:spacing w:after="0"/>
              <w:jc w:val="center"/>
              <w:rPr>
                <w:b/>
                <w:color w:val="auto"/>
                <w:sz w:val="16"/>
              </w:rPr>
            </w:pPr>
            <w:r w:rsidRPr="000925A8">
              <w:rPr>
                <w:b/>
                <w:color w:val="auto"/>
                <w:sz w:val="16"/>
              </w:rPr>
              <w:t>MS</w:t>
            </w:r>
          </w:p>
          <w:p w14:paraId="7AF7E770" w14:textId="77777777" w:rsidR="00241093" w:rsidRPr="000925A8" w:rsidRDefault="00241093">
            <w:pPr>
              <w:pStyle w:val="Brdtext"/>
              <w:spacing w:after="0"/>
              <w:jc w:val="center"/>
              <w:rPr>
                <w:color w:val="auto"/>
                <w:sz w:val="16"/>
              </w:rPr>
            </w:pPr>
            <w:r w:rsidRPr="000925A8">
              <w:rPr>
                <w:color w:val="auto"/>
                <w:sz w:val="16"/>
              </w:rPr>
              <w:t>(7)</w:t>
            </w:r>
          </w:p>
        </w:tc>
        <w:tc>
          <w:tcPr>
            <w:tcW w:w="425" w:type="dxa"/>
          </w:tcPr>
          <w:p w14:paraId="1376A342" w14:textId="77777777" w:rsidR="00241093" w:rsidRPr="000925A8" w:rsidRDefault="00241093">
            <w:pPr>
              <w:pStyle w:val="Brdtext"/>
              <w:spacing w:after="0"/>
              <w:jc w:val="center"/>
              <w:rPr>
                <w:b/>
                <w:color w:val="auto"/>
                <w:sz w:val="16"/>
              </w:rPr>
            </w:pPr>
            <w:r w:rsidRPr="000925A8">
              <w:rPr>
                <w:b/>
                <w:color w:val="auto"/>
                <w:sz w:val="16"/>
              </w:rPr>
              <w:t>FK</w:t>
            </w:r>
          </w:p>
          <w:p w14:paraId="4961E049" w14:textId="77777777" w:rsidR="00241093" w:rsidRPr="000925A8" w:rsidRDefault="00241093">
            <w:pPr>
              <w:pStyle w:val="Brdtext"/>
              <w:spacing w:after="0"/>
              <w:jc w:val="center"/>
              <w:rPr>
                <w:color w:val="auto"/>
                <w:sz w:val="16"/>
              </w:rPr>
            </w:pPr>
            <w:r w:rsidRPr="000925A8">
              <w:rPr>
                <w:color w:val="auto"/>
                <w:sz w:val="16"/>
              </w:rPr>
              <w:t>(5)</w:t>
            </w:r>
          </w:p>
        </w:tc>
        <w:tc>
          <w:tcPr>
            <w:tcW w:w="567" w:type="dxa"/>
          </w:tcPr>
          <w:p w14:paraId="4AE62B08" w14:textId="77777777" w:rsidR="00241093" w:rsidRPr="000925A8" w:rsidRDefault="00241093">
            <w:pPr>
              <w:pStyle w:val="Brdtext"/>
              <w:spacing w:after="0"/>
              <w:jc w:val="center"/>
              <w:rPr>
                <w:b/>
                <w:color w:val="auto"/>
                <w:sz w:val="16"/>
              </w:rPr>
            </w:pPr>
            <w:r w:rsidRPr="000925A8">
              <w:rPr>
                <w:b/>
                <w:color w:val="auto"/>
                <w:sz w:val="16"/>
              </w:rPr>
              <w:t>ÖSK</w:t>
            </w:r>
          </w:p>
          <w:p w14:paraId="7B0DBBED" w14:textId="77777777" w:rsidR="00241093" w:rsidRPr="000925A8" w:rsidRDefault="00241093">
            <w:pPr>
              <w:pStyle w:val="Brdtext"/>
              <w:spacing w:after="0"/>
              <w:jc w:val="center"/>
              <w:rPr>
                <w:color w:val="auto"/>
                <w:sz w:val="16"/>
              </w:rPr>
            </w:pPr>
            <w:r w:rsidRPr="000925A8">
              <w:rPr>
                <w:color w:val="auto"/>
                <w:sz w:val="16"/>
              </w:rPr>
              <w:t>(5)</w:t>
            </w:r>
          </w:p>
        </w:tc>
        <w:tc>
          <w:tcPr>
            <w:tcW w:w="567" w:type="dxa"/>
          </w:tcPr>
          <w:p w14:paraId="58EF741F" w14:textId="77777777" w:rsidR="00241093" w:rsidRPr="000925A8" w:rsidRDefault="00241093">
            <w:pPr>
              <w:pStyle w:val="Brdtext"/>
              <w:spacing w:after="0"/>
              <w:jc w:val="center"/>
              <w:rPr>
                <w:b/>
                <w:color w:val="auto"/>
                <w:sz w:val="16"/>
              </w:rPr>
            </w:pPr>
            <w:r w:rsidRPr="000925A8">
              <w:rPr>
                <w:b/>
                <w:color w:val="auto"/>
                <w:sz w:val="16"/>
              </w:rPr>
              <w:t>LBK</w:t>
            </w:r>
          </w:p>
          <w:p w14:paraId="7546C15E" w14:textId="77777777" w:rsidR="00241093" w:rsidRPr="000925A8" w:rsidRDefault="00241093">
            <w:pPr>
              <w:pStyle w:val="Brdtext"/>
              <w:spacing w:after="0"/>
              <w:jc w:val="center"/>
              <w:rPr>
                <w:color w:val="auto"/>
                <w:sz w:val="16"/>
              </w:rPr>
            </w:pPr>
            <w:r w:rsidRPr="000925A8">
              <w:rPr>
                <w:color w:val="auto"/>
                <w:sz w:val="16"/>
              </w:rPr>
              <w:t>(4)</w:t>
            </w:r>
          </w:p>
        </w:tc>
        <w:tc>
          <w:tcPr>
            <w:tcW w:w="709" w:type="dxa"/>
          </w:tcPr>
          <w:p w14:paraId="367539DF" w14:textId="77777777" w:rsidR="00241093" w:rsidRPr="000925A8" w:rsidRDefault="00241093">
            <w:pPr>
              <w:pStyle w:val="Brdtext"/>
              <w:spacing w:after="0"/>
              <w:jc w:val="center"/>
              <w:rPr>
                <w:b/>
                <w:color w:val="auto"/>
                <w:sz w:val="16"/>
              </w:rPr>
            </w:pPr>
            <w:r w:rsidRPr="000925A8">
              <w:rPr>
                <w:b/>
                <w:color w:val="auto"/>
                <w:sz w:val="16"/>
              </w:rPr>
              <w:t>S</w:t>
            </w:r>
          </w:p>
          <w:p w14:paraId="4A39EA44" w14:textId="77777777" w:rsidR="00241093" w:rsidRPr="000925A8" w:rsidRDefault="00241093">
            <w:pPr>
              <w:pStyle w:val="Brdtext"/>
              <w:spacing w:after="0"/>
              <w:jc w:val="center"/>
              <w:rPr>
                <w:b/>
                <w:color w:val="auto"/>
                <w:sz w:val="16"/>
              </w:rPr>
            </w:pPr>
            <w:r w:rsidRPr="000925A8">
              <w:rPr>
                <w:b/>
                <w:color w:val="auto"/>
                <w:sz w:val="16"/>
              </w:rPr>
              <w:t>SS</w:t>
            </w:r>
          </w:p>
          <w:p w14:paraId="2ADD0CC5" w14:textId="77777777" w:rsidR="00241093" w:rsidRPr="000925A8" w:rsidRDefault="00241093">
            <w:pPr>
              <w:pStyle w:val="Brdtext"/>
              <w:spacing w:after="0"/>
              <w:jc w:val="center"/>
              <w:rPr>
                <w:b/>
                <w:color w:val="auto"/>
                <w:sz w:val="16"/>
              </w:rPr>
            </w:pPr>
            <w:r w:rsidRPr="000925A8">
              <w:rPr>
                <w:b/>
                <w:color w:val="auto"/>
                <w:sz w:val="16"/>
              </w:rPr>
              <w:t>MS</w:t>
            </w:r>
          </w:p>
          <w:p w14:paraId="7D3FA1C7" w14:textId="77777777" w:rsidR="00241093" w:rsidRPr="000925A8" w:rsidRDefault="00241093">
            <w:pPr>
              <w:pStyle w:val="Brdtext"/>
              <w:spacing w:after="0"/>
              <w:jc w:val="center"/>
              <w:rPr>
                <w:color w:val="auto"/>
                <w:sz w:val="16"/>
              </w:rPr>
            </w:pPr>
            <w:r w:rsidRPr="000925A8">
              <w:rPr>
                <w:color w:val="auto"/>
                <w:sz w:val="16"/>
              </w:rPr>
              <w:t>(18)</w:t>
            </w:r>
          </w:p>
        </w:tc>
        <w:tc>
          <w:tcPr>
            <w:tcW w:w="567" w:type="dxa"/>
          </w:tcPr>
          <w:p w14:paraId="0D2E42B0" w14:textId="77777777" w:rsidR="00241093" w:rsidRPr="000925A8" w:rsidRDefault="00241093">
            <w:pPr>
              <w:pStyle w:val="Brdtext"/>
              <w:spacing w:after="0"/>
              <w:jc w:val="center"/>
              <w:rPr>
                <w:b/>
                <w:color w:val="auto"/>
                <w:sz w:val="16"/>
              </w:rPr>
            </w:pPr>
            <w:r w:rsidRPr="000925A8">
              <w:rPr>
                <w:b/>
                <w:color w:val="auto"/>
                <w:sz w:val="16"/>
              </w:rPr>
              <w:t>GBK</w:t>
            </w:r>
          </w:p>
          <w:p w14:paraId="42C102EC" w14:textId="77777777" w:rsidR="00241093" w:rsidRPr="000925A8" w:rsidRDefault="00241093">
            <w:pPr>
              <w:pStyle w:val="Brdtext"/>
              <w:spacing w:after="0"/>
              <w:jc w:val="center"/>
              <w:rPr>
                <w:b/>
                <w:color w:val="auto"/>
                <w:sz w:val="16"/>
              </w:rPr>
            </w:pPr>
            <w:r w:rsidRPr="000925A8">
              <w:rPr>
                <w:b/>
                <w:color w:val="auto"/>
                <w:sz w:val="16"/>
              </w:rPr>
              <w:t>LBK</w:t>
            </w:r>
          </w:p>
          <w:p w14:paraId="0199FF4A" w14:textId="77777777" w:rsidR="00241093" w:rsidRPr="000925A8" w:rsidRDefault="00241093">
            <w:pPr>
              <w:pStyle w:val="Brdtext"/>
              <w:spacing w:after="0"/>
              <w:jc w:val="center"/>
              <w:rPr>
                <w:b/>
                <w:color w:val="auto"/>
                <w:sz w:val="16"/>
              </w:rPr>
            </w:pPr>
            <w:r w:rsidRPr="000925A8">
              <w:rPr>
                <w:b/>
                <w:color w:val="auto"/>
                <w:sz w:val="16"/>
              </w:rPr>
              <w:t>ÖMK</w:t>
            </w:r>
          </w:p>
          <w:p w14:paraId="0BE36E69" w14:textId="77777777" w:rsidR="00241093" w:rsidRPr="000925A8" w:rsidRDefault="00241093">
            <w:pPr>
              <w:pStyle w:val="Brdtext"/>
              <w:spacing w:after="0"/>
              <w:jc w:val="center"/>
              <w:rPr>
                <w:color w:val="auto"/>
                <w:sz w:val="16"/>
              </w:rPr>
            </w:pPr>
            <w:r w:rsidRPr="000925A8">
              <w:rPr>
                <w:color w:val="auto"/>
                <w:sz w:val="16"/>
              </w:rPr>
              <w:t>(7)</w:t>
            </w:r>
          </w:p>
        </w:tc>
      </w:tr>
      <w:tr w:rsidR="00000000" w:rsidRPr="000925A8" w14:paraId="5930A04A" w14:textId="77777777">
        <w:tblPrEx>
          <w:tblCellMar>
            <w:top w:w="0" w:type="dxa"/>
            <w:bottom w:w="0" w:type="dxa"/>
          </w:tblCellMar>
        </w:tblPrEx>
        <w:tc>
          <w:tcPr>
            <w:tcW w:w="910" w:type="dxa"/>
          </w:tcPr>
          <w:p w14:paraId="7EA02C13" w14:textId="77777777" w:rsidR="00241093" w:rsidRPr="000925A8" w:rsidRDefault="00241093">
            <w:pPr>
              <w:spacing w:before="60" w:after="60"/>
              <w:jc w:val="left"/>
              <w:rPr>
                <w:b/>
                <w:sz w:val="16"/>
              </w:rPr>
            </w:pPr>
            <w:r w:rsidRPr="000925A8">
              <w:rPr>
                <w:b/>
                <w:sz w:val="16"/>
              </w:rPr>
              <w:t>Bet</w:t>
            </w:r>
            <w:r w:rsidRPr="000925A8">
              <w:rPr>
                <w:b/>
                <w:sz w:val="16"/>
              </w:rPr>
              <w:t>y</w:t>
            </w:r>
            <w:r w:rsidRPr="000925A8">
              <w:rPr>
                <w:b/>
                <w:sz w:val="16"/>
              </w:rPr>
              <w:t xml:space="preserve">delse </w:t>
            </w:r>
          </w:p>
        </w:tc>
        <w:tc>
          <w:tcPr>
            <w:tcW w:w="650" w:type="dxa"/>
          </w:tcPr>
          <w:p w14:paraId="61C7DD62" w14:textId="77777777" w:rsidR="00241093" w:rsidRPr="000925A8" w:rsidRDefault="00241093">
            <w:pPr>
              <w:pStyle w:val="Punkter"/>
              <w:spacing w:before="60" w:after="60"/>
              <w:jc w:val="center"/>
              <w:rPr>
                <w:sz w:val="16"/>
              </w:rPr>
            </w:pPr>
            <w:r w:rsidRPr="000925A8">
              <w:rPr>
                <w:sz w:val="16"/>
              </w:rPr>
              <w:t>4,5</w:t>
            </w:r>
          </w:p>
        </w:tc>
        <w:tc>
          <w:tcPr>
            <w:tcW w:w="425" w:type="dxa"/>
          </w:tcPr>
          <w:p w14:paraId="4B84E03A" w14:textId="77777777" w:rsidR="00241093" w:rsidRPr="000925A8" w:rsidRDefault="00241093">
            <w:pPr>
              <w:pStyle w:val="Brdtext"/>
              <w:spacing w:before="60" w:after="60"/>
              <w:jc w:val="center"/>
              <w:rPr>
                <w:color w:val="auto"/>
                <w:sz w:val="16"/>
              </w:rPr>
            </w:pPr>
            <w:r w:rsidRPr="000925A8">
              <w:rPr>
                <w:color w:val="auto"/>
                <w:sz w:val="16"/>
              </w:rPr>
              <w:t>5,3</w:t>
            </w:r>
          </w:p>
        </w:tc>
        <w:tc>
          <w:tcPr>
            <w:tcW w:w="567" w:type="dxa"/>
          </w:tcPr>
          <w:p w14:paraId="439AF2ED" w14:textId="77777777" w:rsidR="00241093" w:rsidRPr="000925A8" w:rsidRDefault="00241093">
            <w:pPr>
              <w:pStyle w:val="Brdtext"/>
              <w:spacing w:before="60" w:after="60"/>
              <w:jc w:val="center"/>
              <w:rPr>
                <w:color w:val="auto"/>
                <w:sz w:val="16"/>
              </w:rPr>
            </w:pPr>
            <w:r w:rsidRPr="000925A8">
              <w:rPr>
                <w:color w:val="auto"/>
                <w:sz w:val="16"/>
              </w:rPr>
              <w:t>4,0</w:t>
            </w:r>
          </w:p>
        </w:tc>
        <w:tc>
          <w:tcPr>
            <w:tcW w:w="567" w:type="dxa"/>
          </w:tcPr>
          <w:p w14:paraId="2A66507B" w14:textId="77777777" w:rsidR="00241093" w:rsidRPr="000925A8" w:rsidRDefault="00241093">
            <w:pPr>
              <w:pStyle w:val="Brdtext"/>
              <w:spacing w:before="60" w:after="60"/>
              <w:jc w:val="center"/>
              <w:rPr>
                <w:color w:val="auto"/>
                <w:sz w:val="16"/>
              </w:rPr>
            </w:pPr>
            <w:r w:rsidRPr="000925A8">
              <w:rPr>
                <w:color w:val="auto"/>
                <w:sz w:val="16"/>
              </w:rPr>
              <w:t>4,4</w:t>
            </w:r>
          </w:p>
        </w:tc>
        <w:tc>
          <w:tcPr>
            <w:tcW w:w="425" w:type="dxa"/>
          </w:tcPr>
          <w:p w14:paraId="322A451E" w14:textId="77777777" w:rsidR="00241093" w:rsidRPr="000925A8" w:rsidRDefault="00241093">
            <w:pPr>
              <w:pStyle w:val="Brdtext"/>
              <w:spacing w:before="60" w:after="60"/>
              <w:jc w:val="center"/>
              <w:rPr>
                <w:color w:val="auto"/>
                <w:sz w:val="16"/>
              </w:rPr>
            </w:pPr>
            <w:r w:rsidRPr="000925A8">
              <w:rPr>
                <w:color w:val="auto"/>
                <w:sz w:val="16"/>
              </w:rPr>
              <w:t>4,4</w:t>
            </w:r>
          </w:p>
        </w:tc>
        <w:tc>
          <w:tcPr>
            <w:tcW w:w="567" w:type="dxa"/>
          </w:tcPr>
          <w:p w14:paraId="1AAA5FD9" w14:textId="77777777" w:rsidR="00241093" w:rsidRPr="000925A8" w:rsidRDefault="00241093">
            <w:pPr>
              <w:pStyle w:val="Brdtext"/>
              <w:spacing w:before="60" w:after="60"/>
              <w:jc w:val="center"/>
              <w:rPr>
                <w:color w:val="auto"/>
                <w:sz w:val="16"/>
              </w:rPr>
            </w:pPr>
            <w:r w:rsidRPr="000925A8">
              <w:rPr>
                <w:color w:val="auto"/>
                <w:sz w:val="16"/>
              </w:rPr>
              <w:t>5,0</w:t>
            </w:r>
          </w:p>
        </w:tc>
        <w:tc>
          <w:tcPr>
            <w:tcW w:w="567" w:type="dxa"/>
          </w:tcPr>
          <w:p w14:paraId="152BDA68" w14:textId="77777777" w:rsidR="00241093" w:rsidRPr="000925A8" w:rsidRDefault="00241093">
            <w:pPr>
              <w:pStyle w:val="Brdtext"/>
              <w:spacing w:before="60" w:after="60"/>
              <w:jc w:val="center"/>
              <w:rPr>
                <w:color w:val="auto"/>
                <w:sz w:val="16"/>
              </w:rPr>
            </w:pPr>
            <w:r w:rsidRPr="000925A8">
              <w:rPr>
                <w:color w:val="auto"/>
                <w:sz w:val="16"/>
              </w:rPr>
              <w:t>4,25</w:t>
            </w:r>
          </w:p>
        </w:tc>
        <w:tc>
          <w:tcPr>
            <w:tcW w:w="709" w:type="dxa"/>
          </w:tcPr>
          <w:p w14:paraId="4E6681B3" w14:textId="77777777" w:rsidR="00241093" w:rsidRPr="000925A8" w:rsidRDefault="00241093">
            <w:pPr>
              <w:pStyle w:val="Brdtext"/>
              <w:spacing w:before="60" w:after="60"/>
              <w:jc w:val="center"/>
              <w:rPr>
                <w:color w:val="auto"/>
                <w:sz w:val="16"/>
              </w:rPr>
            </w:pPr>
            <w:r w:rsidRPr="000925A8">
              <w:rPr>
                <w:color w:val="auto"/>
                <w:sz w:val="16"/>
              </w:rPr>
              <w:t>4,4</w:t>
            </w:r>
          </w:p>
        </w:tc>
        <w:tc>
          <w:tcPr>
            <w:tcW w:w="567" w:type="dxa"/>
          </w:tcPr>
          <w:p w14:paraId="4D8A9987" w14:textId="77777777" w:rsidR="00241093" w:rsidRPr="000925A8" w:rsidRDefault="00241093">
            <w:pPr>
              <w:pStyle w:val="Brdtext"/>
              <w:spacing w:before="60" w:after="60"/>
              <w:jc w:val="center"/>
              <w:rPr>
                <w:color w:val="auto"/>
                <w:sz w:val="16"/>
              </w:rPr>
            </w:pPr>
            <w:r w:rsidRPr="000925A8">
              <w:rPr>
                <w:color w:val="auto"/>
                <w:sz w:val="16"/>
              </w:rPr>
              <w:t>4,7</w:t>
            </w:r>
          </w:p>
        </w:tc>
      </w:tr>
      <w:tr w:rsidR="00000000" w:rsidRPr="000925A8" w14:paraId="31DC5E68" w14:textId="77777777">
        <w:tblPrEx>
          <w:tblCellMar>
            <w:top w:w="0" w:type="dxa"/>
            <w:bottom w:w="0" w:type="dxa"/>
          </w:tblCellMar>
        </w:tblPrEx>
        <w:tc>
          <w:tcPr>
            <w:tcW w:w="910" w:type="dxa"/>
          </w:tcPr>
          <w:p w14:paraId="39822554" w14:textId="77777777" w:rsidR="00241093" w:rsidRPr="000925A8" w:rsidRDefault="00241093">
            <w:pPr>
              <w:spacing w:before="60" w:after="60"/>
              <w:jc w:val="left"/>
              <w:rPr>
                <w:b/>
                <w:sz w:val="16"/>
              </w:rPr>
            </w:pPr>
            <w:r w:rsidRPr="000925A8">
              <w:rPr>
                <w:b/>
                <w:sz w:val="16"/>
              </w:rPr>
              <w:t>Omfat</w:t>
            </w:r>
            <w:r w:rsidRPr="000925A8">
              <w:rPr>
                <w:b/>
                <w:sz w:val="16"/>
              </w:rPr>
              <w:t>t</w:t>
            </w:r>
            <w:r w:rsidRPr="000925A8">
              <w:rPr>
                <w:b/>
                <w:sz w:val="16"/>
              </w:rPr>
              <w:t>ning</w:t>
            </w:r>
          </w:p>
        </w:tc>
        <w:tc>
          <w:tcPr>
            <w:tcW w:w="650" w:type="dxa"/>
          </w:tcPr>
          <w:p w14:paraId="50DED750" w14:textId="77777777" w:rsidR="00241093" w:rsidRPr="000925A8" w:rsidRDefault="00241093">
            <w:pPr>
              <w:spacing w:before="60" w:after="60"/>
              <w:jc w:val="center"/>
              <w:rPr>
                <w:sz w:val="16"/>
              </w:rPr>
            </w:pPr>
            <w:r w:rsidRPr="000925A8">
              <w:rPr>
                <w:sz w:val="16"/>
              </w:rPr>
              <w:t>3,1</w:t>
            </w:r>
          </w:p>
        </w:tc>
        <w:tc>
          <w:tcPr>
            <w:tcW w:w="425" w:type="dxa"/>
          </w:tcPr>
          <w:p w14:paraId="0FF70310" w14:textId="77777777" w:rsidR="00241093" w:rsidRPr="000925A8" w:rsidRDefault="00241093">
            <w:pPr>
              <w:pStyle w:val="Brdtext"/>
              <w:spacing w:before="60" w:after="60"/>
              <w:jc w:val="center"/>
              <w:rPr>
                <w:color w:val="auto"/>
                <w:sz w:val="16"/>
              </w:rPr>
            </w:pPr>
            <w:r w:rsidRPr="000925A8">
              <w:rPr>
                <w:color w:val="auto"/>
                <w:sz w:val="16"/>
              </w:rPr>
              <w:t>2,0</w:t>
            </w:r>
          </w:p>
        </w:tc>
        <w:tc>
          <w:tcPr>
            <w:tcW w:w="567" w:type="dxa"/>
          </w:tcPr>
          <w:p w14:paraId="123D3EFA" w14:textId="77777777" w:rsidR="00241093" w:rsidRPr="000925A8" w:rsidRDefault="00241093">
            <w:pPr>
              <w:pStyle w:val="Brdtext"/>
              <w:spacing w:before="60" w:after="60"/>
              <w:jc w:val="center"/>
              <w:rPr>
                <w:color w:val="auto"/>
                <w:sz w:val="16"/>
              </w:rPr>
            </w:pPr>
            <w:r w:rsidRPr="000925A8">
              <w:rPr>
                <w:color w:val="auto"/>
                <w:sz w:val="16"/>
              </w:rPr>
              <w:t>2,5</w:t>
            </w:r>
          </w:p>
        </w:tc>
        <w:tc>
          <w:tcPr>
            <w:tcW w:w="567" w:type="dxa"/>
          </w:tcPr>
          <w:p w14:paraId="52A5BF35" w14:textId="77777777" w:rsidR="00241093" w:rsidRPr="000925A8" w:rsidRDefault="00241093">
            <w:pPr>
              <w:pStyle w:val="Brdtext"/>
              <w:spacing w:before="60" w:after="60"/>
              <w:jc w:val="center"/>
              <w:rPr>
                <w:color w:val="auto"/>
                <w:sz w:val="16"/>
              </w:rPr>
            </w:pPr>
            <w:r w:rsidRPr="000925A8">
              <w:rPr>
                <w:color w:val="auto"/>
                <w:sz w:val="16"/>
              </w:rPr>
              <w:t>3,6</w:t>
            </w:r>
          </w:p>
        </w:tc>
        <w:tc>
          <w:tcPr>
            <w:tcW w:w="425" w:type="dxa"/>
          </w:tcPr>
          <w:p w14:paraId="3BA52B8C" w14:textId="77777777" w:rsidR="00241093" w:rsidRPr="000925A8" w:rsidRDefault="00241093">
            <w:pPr>
              <w:pStyle w:val="Brdtext"/>
              <w:spacing w:before="60" w:after="60"/>
              <w:jc w:val="center"/>
              <w:rPr>
                <w:color w:val="auto"/>
                <w:sz w:val="16"/>
              </w:rPr>
            </w:pPr>
            <w:r w:rsidRPr="000925A8">
              <w:rPr>
                <w:color w:val="auto"/>
                <w:sz w:val="16"/>
              </w:rPr>
              <w:t>3,4</w:t>
            </w:r>
          </w:p>
        </w:tc>
        <w:tc>
          <w:tcPr>
            <w:tcW w:w="567" w:type="dxa"/>
          </w:tcPr>
          <w:p w14:paraId="4A8464CA" w14:textId="77777777" w:rsidR="00241093" w:rsidRPr="000925A8" w:rsidRDefault="00241093">
            <w:pPr>
              <w:pStyle w:val="Brdtext"/>
              <w:spacing w:before="60" w:after="60"/>
              <w:jc w:val="center"/>
              <w:rPr>
                <w:color w:val="auto"/>
                <w:sz w:val="16"/>
              </w:rPr>
            </w:pPr>
            <w:r w:rsidRPr="000925A8">
              <w:rPr>
                <w:color w:val="auto"/>
                <w:sz w:val="16"/>
              </w:rPr>
              <w:t>3,0</w:t>
            </w:r>
          </w:p>
        </w:tc>
        <w:tc>
          <w:tcPr>
            <w:tcW w:w="567" w:type="dxa"/>
          </w:tcPr>
          <w:p w14:paraId="541B656F" w14:textId="77777777" w:rsidR="00241093" w:rsidRPr="000925A8" w:rsidRDefault="00241093">
            <w:pPr>
              <w:pStyle w:val="Brdtext"/>
              <w:spacing w:before="60" w:after="60"/>
              <w:jc w:val="center"/>
              <w:rPr>
                <w:color w:val="auto"/>
                <w:sz w:val="16"/>
              </w:rPr>
            </w:pPr>
            <w:r w:rsidRPr="000925A8">
              <w:rPr>
                <w:color w:val="auto"/>
                <w:sz w:val="16"/>
              </w:rPr>
              <w:t>3,5</w:t>
            </w:r>
          </w:p>
        </w:tc>
        <w:tc>
          <w:tcPr>
            <w:tcW w:w="709" w:type="dxa"/>
          </w:tcPr>
          <w:p w14:paraId="3A0F3B2D" w14:textId="77777777" w:rsidR="00241093" w:rsidRPr="000925A8" w:rsidRDefault="00241093">
            <w:pPr>
              <w:pStyle w:val="Brdtext"/>
              <w:spacing w:before="60" w:after="60"/>
              <w:jc w:val="center"/>
              <w:rPr>
                <w:color w:val="auto"/>
                <w:sz w:val="16"/>
              </w:rPr>
            </w:pPr>
            <w:r w:rsidRPr="000925A8">
              <w:rPr>
                <w:color w:val="auto"/>
                <w:sz w:val="16"/>
              </w:rPr>
              <w:t>2,8</w:t>
            </w:r>
          </w:p>
        </w:tc>
        <w:tc>
          <w:tcPr>
            <w:tcW w:w="567" w:type="dxa"/>
          </w:tcPr>
          <w:p w14:paraId="755DFDBE" w14:textId="77777777" w:rsidR="00241093" w:rsidRPr="000925A8" w:rsidRDefault="00241093">
            <w:pPr>
              <w:pStyle w:val="Brdtext"/>
              <w:spacing w:before="60" w:after="60"/>
              <w:jc w:val="center"/>
              <w:rPr>
                <w:color w:val="auto"/>
                <w:sz w:val="16"/>
              </w:rPr>
            </w:pPr>
            <w:r w:rsidRPr="000925A8">
              <w:rPr>
                <w:color w:val="auto"/>
                <w:sz w:val="16"/>
              </w:rPr>
              <w:t>3,9</w:t>
            </w:r>
          </w:p>
        </w:tc>
      </w:tr>
      <w:tr w:rsidR="00000000" w:rsidRPr="000925A8" w14:paraId="3D89A5E7" w14:textId="77777777">
        <w:tblPrEx>
          <w:tblCellMar>
            <w:top w:w="0" w:type="dxa"/>
            <w:bottom w:w="0" w:type="dxa"/>
          </w:tblCellMar>
        </w:tblPrEx>
        <w:tc>
          <w:tcPr>
            <w:tcW w:w="910" w:type="dxa"/>
          </w:tcPr>
          <w:p w14:paraId="6E1E8356" w14:textId="77777777" w:rsidR="00241093" w:rsidRPr="000925A8" w:rsidRDefault="00241093">
            <w:pPr>
              <w:pStyle w:val="Innehll1"/>
              <w:spacing w:before="60" w:after="60" w:line="240" w:lineRule="auto"/>
              <w:ind w:right="-11"/>
              <w:rPr>
                <w:b/>
                <w:sz w:val="16"/>
              </w:rPr>
            </w:pPr>
            <w:r w:rsidRPr="000925A8">
              <w:rPr>
                <w:b/>
                <w:sz w:val="16"/>
              </w:rPr>
              <w:t>Tillräc</w:t>
            </w:r>
            <w:r w:rsidRPr="000925A8">
              <w:rPr>
                <w:b/>
                <w:sz w:val="16"/>
              </w:rPr>
              <w:t>k</w:t>
            </w:r>
            <w:r w:rsidRPr="000925A8">
              <w:rPr>
                <w:b/>
                <w:sz w:val="16"/>
              </w:rPr>
              <w:t xml:space="preserve">ligt </w:t>
            </w:r>
          </w:p>
        </w:tc>
        <w:tc>
          <w:tcPr>
            <w:tcW w:w="650" w:type="dxa"/>
          </w:tcPr>
          <w:p w14:paraId="23A165FE" w14:textId="77777777" w:rsidR="00241093" w:rsidRPr="000925A8" w:rsidRDefault="00241093">
            <w:pPr>
              <w:spacing w:before="60" w:after="60"/>
              <w:jc w:val="center"/>
              <w:rPr>
                <w:sz w:val="16"/>
              </w:rPr>
            </w:pPr>
            <w:r w:rsidRPr="000925A8">
              <w:rPr>
                <w:sz w:val="16"/>
              </w:rPr>
              <w:t>3,9</w:t>
            </w:r>
          </w:p>
        </w:tc>
        <w:tc>
          <w:tcPr>
            <w:tcW w:w="425" w:type="dxa"/>
          </w:tcPr>
          <w:p w14:paraId="01D27C8C" w14:textId="77777777" w:rsidR="00241093" w:rsidRPr="000925A8" w:rsidRDefault="00241093">
            <w:pPr>
              <w:pStyle w:val="Brdtext"/>
              <w:spacing w:before="60" w:after="60"/>
              <w:jc w:val="center"/>
              <w:rPr>
                <w:color w:val="auto"/>
                <w:sz w:val="16"/>
              </w:rPr>
            </w:pPr>
            <w:r w:rsidRPr="000925A8">
              <w:rPr>
                <w:color w:val="auto"/>
                <w:sz w:val="16"/>
              </w:rPr>
              <w:t>3,3</w:t>
            </w:r>
          </w:p>
        </w:tc>
        <w:tc>
          <w:tcPr>
            <w:tcW w:w="567" w:type="dxa"/>
          </w:tcPr>
          <w:p w14:paraId="0300ADFA" w14:textId="77777777" w:rsidR="00241093" w:rsidRPr="000925A8" w:rsidRDefault="00241093">
            <w:pPr>
              <w:pStyle w:val="Brdtext"/>
              <w:spacing w:before="60" w:after="60"/>
              <w:jc w:val="center"/>
              <w:rPr>
                <w:color w:val="auto"/>
                <w:sz w:val="16"/>
              </w:rPr>
            </w:pPr>
            <w:r w:rsidRPr="000925A8">
              <w:rPr>
                <w:color w:val="auto"/>
                <w:sz w:val="16"/>
              </w:rPr>
              <w:t>3,5</w:t>
            </w:r>
          </w:p>
        </w:tc>
        <w:tc>
          <w:tcPr>
            <w:tcW w:w="567" w:type="dxa"/>
          </w:tcPr>
          <w:p w14:paraId="4C1EFC41" w14:textId="77777777" w:rsidR="00241093" w:rsidRPr="000925A8" w:rsidRDefault="00241093">
            <w:pPr>
              <w:pStyle w:val="Brdtext"/>
              <w:spacing w:before="60" w:after="60"/>
              <w:jc w:val="center"/>
              <w:rPr>
                <w:color w:val="auto"/>
                <w:sz w:val="16"/>
              </w:rPr>
            </w:pPr>
            <w:r w:rsidRPr="000925A8">
              <w:rPr>
                <w:color w:val="auto"/>
                <w:sz w:val="16"/>
              </w:rPr>
              <w:t>4,3</w:t>
            </w:r>
          </w:p>
        </w:tc>
        <w:tc>
          <w:tcPr>
            <w:tcW w:w="425" w:type="dxa"/>
          </w:tcPr>
          <w:p w14:paraId="5BC02F6F" w14:textId="77777777" w:rsidR="00241093" w:rsidRPr="000925A8" w:rsidRDefault="00241093">
            <w:pPr>
              <w:pStyle w:val="Brdtext"/>
              <w:spacing w:before="60" w:after="60"/>
              <w:jc w:val="center"/>
              <w:rPr>
                <w:color w:val="auto"/>
                <w:sz w:val="16"/>
              </w:rPr>
            </w:pPr>
            <w:r w:rsidRPr="000925A8">
              <w:rPr>
                <w:color w:val="auto"/>
                <w:sz w:val="16"/>
              </w:rPr>
              <w:t>4,0</w:t>
            </w:r>
          </w:p>
        </w:tc>
        <w:tc>
          <w:tcPr>
            <w:tcW w:w="567" w:type="dxa"/>
          </w:tcPr>
          <w:p w14:paraId="76E8A81D" w14:textId="77777777" w:rsidR="00241093" w:rsidRPr="000925A8" w:rsidRDefault="00241093">
            <w:pPr>
              <w:pStyle w:val="Brdtext"/>
              <w:spacing w:before="60" w:after="60"/>
              <w:jc w:val="center"/>
              <w:rPr>
                <w:color w:val="auto"/>
                <w:sz w:val="16"/>
              </w:rPr>
            </w:pPr>
            <w:r w:rsidRPr="000925A8">
              <w:rPr>
                <w:color w:val="auto"/>
                <w:sz w:val="16"/>
              </w:rPr>
              <w:t>3,0</w:t>
            </w:r>
          </w:p>
        </w:tc>
        <w:tc>
          <w:tcPr>
            <w:tcW w:w="567" w:type="dxa"/>
          </w:tcPr>
          <w:p w14:paraId="568644DD" w14:textId="77777777" w:rsidR="00241093" w:rsidRPr="000925A8" w:rsidRDefault="00241093">
            <w:pPr>
              <w:pStyle w:val="Brdtext"/>
              <w:spacing w:before="60" w:after="60"/>
              <w:jc w:val="center"/>
              <w:rPr>
                <w:color w:val="auto"/>
                <w:sz w:val="16"/>
              </w:rPr>
            </w:pPr>
            <w:r w:rsidRPr="000925A8">
              <w:rPr>
                <w:color w:val="auto"/>
                <w:sz w:val="16"/>
              </w:rPr>
              <w:t>4,5</w:t>
            </w:r>
          </w:p>
        </w:tc>
        <w:tc>
          <w:tcPr>
            <w:tcW w:w="709" w:type="dxa"/>
          </w:tcPr>
          <w:p w14:paraId="780CB483" w14:textId="77777777" w:rsidR="00241093" w:rsidRPr="000925A8" w:rsidRDefault="00241093">
            <w:pPr>
              <w:pStyle w:val="Brdtext"/>
              <w:spacing w:before="60" w:after="60"/>
              <w:jc w:val="center"/>
              <w:rPr>
                <w:color w:val="auto"/>
                <w:sz w:val="16"/>
              </w:rPr>
            </w:pPr>
            <w:r w:rsidRPr="000925A8">
              <w:rPr>
                <w:color w:val="auto"/>
                <w:sz w:val="16"/>
              </w:rPr>
              <w:t>3,8</w:t>
            </w:r>
          </w:p>
        </w:tc>
        <w:tc>
          <w:tcPr>
            <w:tcW w:w="567" w:type="dxa"/>
          </w:tcPr>
          <w:p w14:paraId="1A760AD1" w14:textId="77777777" w:rsidR="00241093" w:rsidRPr="000925A8" w:rsidRDefault="00241093">
            <w:pPr>
              <w:pStyle w:val="Brdtext"/>
              <w:spacing w:before="60" w:after="60"/>
              <w:jc w:val="center"/>
              <w:rPr>
                <w:color w:val="auto"/>
                <w:sz w:val="16"/>
              </w:rPr>
            </w:pPr>
            <w:r w:rsidRPr="000925A8">
              <w:rPr>
                <w:color w:val="auto"/>
                <w:sz w:val="16"/>
              </w:rPr>
              <w:t>4,7</w:t>
            </w:r>
          </w:p>
        </w:tc>
      </w:tr>
      <w:tr w:rsidR="00000000" w:rsidRPr="000925A8" w14:paraId="2FA4DFE5" w14:textId="77777777">
        <w:tblPrEx>
          <w:tblCellMar>
            <w:top w:w="0" w:type="dxa"/>
            <w:bottom w:w="0" w:type="dxa"/>
          </w:tblCellMar>
        </w:tblPrEx>
        <w:tc>
          <w:tcPr>
            <w:tcW w:w="910" w:type="dxa"/>
          </w:tcPr>
          <w:p w14:paraId="64AE6EAD" w14:textId="77777777" w:rsidR="00241093" w:rsidRPr="000925A8" w:rsidRDefault="00241093">
            <w:pPr>
              <w:spacing w:before="60" w:after="60"/>
              <w:jc w:val="left"/>
              <w:rPr>
                <w:b/>
                <w:sz w:val="16"/>
              </w:rPr>
            </w:pPr>
            <w:r w:rsidRPr="000925A8">
              <w:rPr>
                <w:b/>
                <w:sz w:val="16"/>
              </w:rPr>
              <w:t>Rel</w:t>
            </w:r>
            <w:r w:rsidRPr="000925A8">
              <w:rPr>
                <w:b/>
                <w:sz w:val="16"/>
              </w:rPr>
              <w:t>e</w:t>
            </w:r>
            <w:r w:rsidRPr="000925A8">
              <w:rPr>
                <w:b/>
                <w:sz w:val="16"/>
              </w:rPr>
              <w:t>vans</w:t>
            </w:r>
          </w:p>
        </w:tc>
        <w:tc>
          <w:tcPr>
            <w:tcW w:w="650" w:type="dxa"/>
          </w:tcPr>
          <w:p w14:paraId="12D8C1EF" w14:textId="77777777" w:rsidR="00241093" w:rsidRPr="000925A8" w:rsidRDefault="00241093">
            <w:pPr>
              <w:spacing w:before="60" w:after="60"/>
              <w:jc w:val="center"/>
              <w:rPr>
                <w:sz w:val="16"/>
              </w:rPr>
            </w:pPr>
            <w:r w:rsidRPr="000925A8">
              <w:rPr>
                <w:sz w:val="16"/>
              </w:rPr>
              <w:t>4,6</w:t>
            </w:r>
          </w:p>
        </w:tc>
        <w:tc>
          <w:tcPr>
            <w:tcW w:w="425" w:type="dxa"/>
          </w:tcPr>
          <w:p w14:paraId="2094B48F" w14:textId="77777777" w:rsidR="00241093" w:rsidRPr="000925A8" w:rsidRDefault="00241093">
            <w:pPr>
              <w:pStyle w:val="Brdtext"/>
              <w:spacing w:before="60" w:after="60"/>
              <w:jc w:val="center"/>
              <w:rPr>
                <w:color w:val="auto"/>
                <w:sz w:val="16"/>
              </w:rPr>
            </w:pPr>
            <w:r w:rsidRPr="000925A8">
              <w:rPr>
                <w:color w:val="auto"/>
                <w:sz w:val="16"/>
              </w:rPr>
              <w:t>5,3</w:t>
            </w:r>
          </w:p>
        </w:tc>
        <w:tc>
          <w:tcPr>
            <w:tcW w:w="567" w:type="dxa"/>
          </w:tcPr>
          <w:p w14:paraId="03DF9769" w14:textId="77777777" w:rsidR="00241093" w:rsidRPr="000925A8" w:rsidRDefault="00241093">
            <w:pPr>
              <w:pStyle w:val="Brdtext"/>
              <w:spacing w:before="60" w:after="60"/>
              <w:jc w:val="center"/>
              <w:rPr>
                <w:color w:val="auto"/>
                <w:sz w:val="16"/>
              </w:rPr>
            </w:pPr>
            <w:r w:rsidRPr="000925A8">
              <w:rPr>
                <w:color w:val="auto"/>
                <w:sz w:val="16"/>
              </w:rPr>
              <w:t>3,6</w:t>
            </w:r>
          </w:p>
        </w:tc>
        <w:tc>
          <w:tcPr>
            <w:tcW w:w="567" w:type="dxa"/>
          </w:tcPr>
          <w:p w14:paraId="33C0593B" w14:textId="77777777" w:rsidR="00241093" w:rsidRPr="000925A8" w:rsidRDefault="00241093">
            <w:pPr>
              <w:pStyle w:val="Brdtext"/>
              <w:spacing w:before="60" w:after="60"/>
              <w:jc w:val="center"/>
              <w:rPr>
                <w:color w:val="auto"/>
                <w:sz w:val="16"/>
              </w:rPr>
            </w:pPr>
            <w:r w:rsidRPr="000925A8">
              <w:rPr>
                <w:color w:val="auto"/>
                <w:sz w:val="16"/>
              </w:rPr>
              <w:t>4,9</w:t>
            </w:r>
          </w:p>
        </w:tc>
        <w:tc>
          <w:tcPr>
            <w:tcW w:w="425" w:type="dxa"/>
          </w:tcPr>
          <w:p w14:paraId="752C0E36" w14:textId="77777777" w:rsidR="00241093" w:rsidRPr="000925A8" w:rsidRDefault="00241093">
            <w:pPr>
              <w:pStyle w:val="Brdtext"/>
              <w:spacing w:before="60" w:after="60"/>
              <w:jc w:val="center"/>
              <w:rPr>
                <w:color w:val="auto"/>
                <w:sz w:val="16"/>
              </w:rPr>
            </w:pPr>
            <w:r w:rsidRPr="000925A8">
              <w:rPr>
                <w:color w:val="auto"/>
                <w:sz w:val="16"/>
              </w:rPr>
              <w:t>5,2</w:t>
            </w:r>
          </w:p>
        </w:tc>
        <w:tc>
          <w:tcPr>
            <w:tcW w:w="567" w:type="dxa"/>
          </w:tcPr>
          <w:p w14:paraId="362A2F65" w14:textId="77777777" w:rsidR="00241093" w:rsidRPr="000925A8" w:rsidRDefault="00241093">
            <w:pPr>
              <w:pStyle w:val="Brdtext"/>
              <w:spacing w:before="60" w:after="60"/>
              <w:jc w:val="center"/>
              <w:rPr>
                <w:color w:val="auto"/>
                <w:sz w:val="16"/>
              </w:rPr>
            </w:pPr>
            <w:r w:rsidRPr="000925A8">
              <w:rPr>
                <w:color w:val="auto"/>
                <w:sz w:val="16"/>
              </w:rPr>
              <w:t>5,0</w:t>
            </w:r>
          </w:p>
        </w:tc>
        <w:tc>
          <w:tcPr>
            <w:tcW w:w="567" w:type="dxa"/>
          </w:tcPr>
          <w:p w14:paraId="0B690040" w14:textId="77777777" w:rsidR="00241093" w:rsidRPr="000925A8" w:rsidRDefault="00241093">
            <w:pPr>
              <w:pStyle w:val="Brdtext"/>
              <w:spacing w:before="60" w:after="60"/>
              <w:jc w:val="center"/>
              <w:rPr>
                <w:color w:val="auto"/>
                <w:sz w:val="16"/>
              </w:rPr>
            </w:pPr>
            <w:r w:rsidRPr="000925A8">
              <w:rPr>
                <w:color w:val="auto"/>
                <w:sz w:val="16"/>
              </w:rPr>
              <w:t>3,75</w:t>
            </w:r>
          </w:p>
        </w:tc>
        <w:tc>
          <w:tcPr>
            <w:tcW w:w="709" w:type="dxa"/>
          </w:tcPr>
          <w:p w14:paraId="563B4076" w14:textId="77777777" w:rsidR="00241093" w:rsidRPr="000925A8" w:rsidRDefault="00241093">
            <w:pPr>
              <w:pStyle w:val="Brdtext"/>
              <w:spacing w:before="60" w:after="60"/>
              <w:jc w:val="center"/>
              <w:rPr>
                <w:color w:val="auto"/>
                <w:sz w:val="16"/>
              </w:rPr>
            </w:pPr>
            <w:r w:rsidRPr="000925A8">
              <w:rPr>
                <w:color w:val="auto"/>
                <w:sz w:val="16"/>
              </w:rPr>
              <w:t>4,4</w:t>
            </w:r>
          </w:p>
        </w:tc>
        <w:tc>
          <w:tcPr>
            <w:tcW w:w="567" w:type="dxa"/>
          </w:tcPr>
          <w:p w14:paraId="3A24C4F6" w14:textId="77777777" w:rsidR="00241093" w:rsidRPr="000925A8" w:rsidRDefault="00241093">
            <w:pPr>
              <w:pStyle w:val="Brdtext"/>
              <w:spacing w:before="60" w:after="60"/>
              <w:jc w:val="center"/>
              <w:rPr>
                <w:color w:val="auto"/>
                <w:sz w:val="16"/>
              </w:rPr>
            </w:pPr>
            <w:r w:rsidRPr="000925A8">
              <w:rPr>
                <w:color w:val="auto"/>
                <w:sz w:val="16"/>
              </w:rPr>
              <w:t>4,6</w:t>
            </w:r>
          </w:p>
        </w:tc>
      </w:tr>
    </w:tbl>
    <w:p w14:paraId="632E1574" w14:textId="77777777" w:rsidR="00241093" w:rsidRPr="000925A8" w:rsidRDefault="00241093">
      <w:pPr>
        <w:rPr>
          <w:sz w:val="16"/>
        </w:rPr>
      </w:pPr>
      <w:r w:rsidRPr="000925A8">
        <w:rPr>
          <w:sz w:val="16"/>
        </w:rPr>
        <w:t>* Förkortningarna i tabellen förklaras i bilaga tre.</w:t>
      </w:r>
    </w:p>
    <w:p w14:paraId="79F9E4FE" w14:textId="77777777" w:rsidR="00241093" w:rsidRPr="000925A8" w:rsidRDefault="00241093">
      <w:pPr>
        <w:spacing w:before="0"/>
        <w:rPr>
          <w:sz w:val="16"/>
        </w:rPr>
      </w:pPr>
      <w:r w:rsidRPr="000925A8">
        <w:rPr>
          <w:sz w:val="16"/>
        </w:rPr>
        <w:t>** Siffrorna inom parentes anger antalet kommuner i kategorin som har besvarat frågorna.</w:t>
      </w:r>
    </w:p>
    <w:p w14:paraId="02D2ED06" w14:textId="77777777" w:rsidR="00241093" w:rsidRPr="000925A8" w:rsidRDefault="00241093">
      <w:r w:rsidRPr="000925A8">
        <w:t>Av tabellen kan man utläsa att kommunerna i de tre storstäderna (S) anser att betydelsen av länsstyrelsens arbete för att främja mellankommunal samor</w:t>
      </w:r>
      <w:r w:rsidRPr="000925A8">
        <w:t>d</w:t>
      </w:r>
      <w:r w:rsidRPr="000925A8">
        <w:t>ning är större än för genomsnittet för samtliga kommuner och kommuntyper. Samtidigt anger storstäderna låga värden för variablerna Omfattning och Tillräckligt. I storstäderna anser man såldes att länsstyrelsens arbete är viktigt men av en liten och otillräcklig omfattning. Ett liknande men inte lika tydligt mönster finner man för de större städerna (SS). Betydelsevariabeln får exe</w:t>
      </w:r>
      <w:r w:rsidRPr="000925A8">
        <w:t>m</w:t>
      </w:r>
      <w:r w:rsidRPr="000925A8">
        <w:t xml:space="preserve">pelvis ett lägre medelvärde än genomsnittet för samtliga kommuner som har besvarat enkäten. </w:t>
      </w:r>
    </w:p>
    <w:p w14:paraId="70DB9F52" w14:textId="77777777" w:rsidR="00241093" w:rsidRPr="000925A8" w:rsidRDefault="00241093">
      <w:pPr>
        <w:pStyle w:val="Normaltindrag"/>
      </w:pPr>
      <w:r w:rsidRPr="000925A8">
        <w:t>I tabellens två sista kolumner red</w:t>
      </w:r>
      <w:r w:rsidRPr="000925A8">
        <w:t>ovisas medelvärden för en aggregering av ”städer” respektive ”landsortskommuner”. På detta sätt kan dimensionen ”stad–land” analyseras. Det framgår att ”landsortskommunerna” anger ett högre medelvärde för betydelsen av länsstyrelsens arbete än vad ”stads</w:t>
      </w:r>
      <w:r w:rsidRPr="000925A8">
        <w:softHyphen/>
        <w:t>kommunerna” gör. Detta kan möjligen sammanhänga med att de mindre kommunerna är i större behov av stöd från länsstyrelsen för att få gehör för sina synpunkter i mellankommunala frågor än de större kommunerna. Mo</w:t>
      </w:r>
      <w:r w:rsidRPr="000925A8">
        <w:t>t</w:t>
      </w:r>
      <w:r w:rsidRPr="000925A8">
        <w:t xml:space="preserve">svarande förklaring kan gälla för det faktum </w:t>
      </w:r>
      <w:r w:rsidRPr="000925A8">
        <w:t>att landsortskommunerna anger ett högre värde på variabeln Relevans än vad de städerna gör. De mindre kommunerna anger också ett högre genomsnittligt värde för variabeln O</w:t>
      </w:r>
      <w:r w:rsidRPr="000925A8">
        <w:t>m</w:t>
      </w:r>
      <w:r w:rsidRPr="000925A8">
        <w:t>fattning, om än ett värde som ligger under de ”neutrala” värdet fyra på den sjugradiga skala som har använts. Även för variabeln Tillräckligt anger de mindre kommunerna ett högre värde än städerna. ”Landsortskommunerna” är alltså mer nöjda med omfattningen av länsstyrelsens insatser än man är i de större städerna.</w:t>
      </w:r>
    </w:p>
    <w:p w14:paraId="347C0A13" w14:textId="77777777" w:rsidR="00241093" w:rsidRPr="000925A8" w:rsidRDefault="00241093">
      <w:pPr>
        <w:pStyle w:val="R3"/>
      </w:pPr>
      <w:r w:rsidRPr="000925A8">
        <w:t>Detaljplaneringen</w:t>
      </w:r>
    </w:p>
    <w:p w14:paraId="159B3A12" w14:textId="77777777" w:rsidR="00241093" w:rsidRPr="000925A8" w:rsidRDefault="00241093">
      <w:r w:rsidRPr="000925A8">
        <w:t>På motsvarande sätt som för översiktplaneringen har kommunerna fått red</w:t>
      </w:r>
      <w:r w:rsidRPr="000925A8">
        <w:t>o</w:t>
      </w:r>
      <w:r w:rsidRPr="000925A8">
        <w:t>visa sin syn på länsstyrelsernas arbete med mellankommunala frågor i ko</w:t>
      </w:r>
      <w:r w:rsidRPr="000925A8">
        <w:t>m</w:t>
      </w:r>
      <w:r w:rsidRPr="000925A8">
        <w:t>munernas arbete med detaljplaner och områdesbestämmelser. Resultatet från denna fråga redovisas i tabell 6.4.</w:t>
      </w:r>
    </w:p>
    <w:p w14:paraId="7F0F7CBB" w14:textId="77777777" w:rsidR="00241093" w:rsidRPr="000925A8" w:rsidRDefault="00241093">
      <w:pPr>
        <w:pStyle w:val="Punkter"/>
        <w:rPr>
          <w:b/>
          <w:sz w:val="20"/>
        </w:rPr>
      </w:pPr>
    </w:p>
    <w:p w14:paraId="10311AFB" w14:textId="77777777" w:rsidR="00241093" w:rsidRPr="000925A8" w:rsidRDefault="00241093">
      <w:pPr>
        <w:pStyle w:val="Punkter"/>
      </w:pPr>
      <w:r w:rsidRPr="000925A8">
        <w:rPr>
          <w:b/>
          <w:sz w:val="20"/>
        </w:rPr>
        <w:t>Tabell 6.4</w:t>
      </w:r>
      <w:r w:rsidRPr="000925A8">
        <w:rPr>
          <w:sz w:val="20"/>
        </w:rPr>
        <w:t xml:space="preserve"> Kommunernas syn på länsstyrelsens arbete för att främja en lämplig kommunal samordning i kommunens arbete med </w:t>
      </w:r>
      <w:r w:rsidRPr="000925A8">
        <w:rPr>
          <w:i/>
          <w:sz w:val="20"/>
        </w:rPr>
        <w:t>detaljplaner</w:t>
      </w:r>
      <w:r w:rsidRPr="000925A8">
        <w:rPr>
          <w:sz w:val="20"/>
        </w:rPr>
        <w:t xml:space="preserve"> </w:t>
      </w:r>
      <w:r w:rsidRPr="000925A8">
        <w:rPr>
          <w:i/>
          <w:sz w:val="20"/>
        </w:rPr>
        <w:t>och omr</w:t>
      </w:r>
      <w:r w:rsidRPr="000925A8">
        <w:rPr>
          <w:i/>
          <w:sz w:val="20"/>
        </w:rPr>
        <w:t>å</w:t>
      </w:r>
      <w:r w:rsidRPr="000925A8">
        <w:rPr>
          <w:i/>
          <w:sz w:val="20"/>
        </w:rPr>
        <w:t>desbestämmelser</w:t>
      </w:r>
    </w:p>
    <w:tbl>
      <w:tblPr>
        <w:tblW w:w="0" w:type="auto"/>
        <w:tblInd w:w="-5"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544"/>
        <w:gridCol w:w="567"/>
        <w:gridCol w:w="567"/>
        <w:gridCol w:w="709"/>
        <w:gridCol w:w="567"/>
      </w:tblGrid>
      <w:tr w:rsidR="00000000" w:rsidRPr="000925A8" w14:paraId="738012CB" w14:textId="77777777">
        <w:tblPrEx>
          <w:tblCellMar>
            <w:top w:w="0" w:type="dxa"/>
            <w:bottom w:w="0" w:type="dxa"/>
          </w:tblCellMar>
        </w:tblPrEx>
        <w:tc>
          <w:tcPr>
            <w:tcW w:w="3544" w:type="dxa"/>
            <w:tcBorders>
              <w:top w:val="single" w:sz="6" w:space="0" w:color="000000"/>
              <w:left w:val="single" w:sz="6" w:space="0" w:color="000000"/>
              <w:bottom w:val="single" w:sz="6" w:space="0" w:color="000000"/>
              <w:right w:val="single" w:sz="6" w:space="0" w:color="000000"/>
            </w:tcBorders>
          </w:tcPr>
          <w:p w14:paraId="46E4CB33" w14:textId="77777777" w:rsidR="00241093" w:rsidRPr="000925A8" w:rsidRDefault="00241093">
            <w:pPr>
              <w:spacing w:before="60" w:after="60"/>
              <w:jc w:val="left"/>
              <w:rPr>
                <w:sz w:val="16"/>
              </w:rPr>
            </w:pPr>
            <w:r w:rsidRPr="000925A8">
              <w:rPr>
                <w:sz w:val="16"/>
              </w:rPr>
              <w:t>Hur upplever kommunen länsstyrelsens arbete för att främja en lämplig kommunal samordning i komm</w:t>
            </w:r>
            <w:r w:rsidRPr="000925A8">
              <w:rPr>
                <w:sz w:val="16"/>
              </w:rPr>
              <w:t>u</w:t>
            </w:r>
            <w:r w:rsidRPr="000925A8">
              <w:rPr>
                <w:sz w:val="16"/>
              </w:rPr>
              <w:t xml:space="preserve">nens arbete med </w:t>
            </w:r>
            <w:r w:rsidRPr="000925A8">
              <w:rPr>
                <w:i/>
                <w:sz w:val="16"/>
              </w:rPr>
              <w:t>detaljplaner</w:t>
            </w:r>
            <w:r w:rsidRPr="000925A8">
              <w:rPr>
                <w:sz w:val="16"/>
              </w:rPr>
              <w:t xml:space="preserve"> </w:t>
            </w:r>
            <w:r w:rsidRPr="000925A8">
              <w:rPr>
                <w:i/>
                <w:sz w:val="16"/>
              </w:rPr>
              <w:t>och områdesbestä</w:t>
            </w:r>
            <w:r w:rsidRPr="000925A8">
              <w:rPr>
                <w:i/>
                <w:sz w:val="16"/>
              </w:rPr>
              <w:t>m</w:t>
            </w:r>
            <w:r w:rsidRPr="000925A8">
              <w:rPr>
                <w:i/>
                <w:sz w:val="16"/>
              </w:rPr>
              <w:t>me</w:t>
            </w:r>
            <w:r w:rsidRPr="000925A8">
              <w:rPr>
                <w:i/>
                <w:sz w:val="16"/>
              </w:rPr>
              <w:t>l</w:t>
            </w:r>
            <w:r w:rsidRPr="000925A8">
              <w:rPr>
                <w:i/>
                <w:sz w:val="16"/>
              </w:rPr>
              <w:t>ser</w:t>
            </w:r>
            <w:r w:rsidRPr="000925A8">
              <w:rPr>
                <w:sz w:val="16"/>
              </w:rPr>
              <w:t>?</w:t>
            </w:r>
          </w:p>
        </w:tc>
        <w:tc>
          <w:tcPr>
            <w:tcW w:w="567" w:type="dxa"/>
            <w:tcBorders>
              <w:top w:val="single" w:sz="6" w:space="0" w:color="000000"/>
              <w:left w:val="single" w:sz="6" w:space="0" w:color="000000"/>
              <w:bottom w:val="single" w:sz="6" w:space="0" w:color="000000"/>
              <w:right w:val="single" w:sz="6" w:space="0" w:color="000000"/>
            </w:tcBorders>
          </w:tcPr>
          <w:p w14:paraId="52545053" w14:textId="77777777" w:rsidR="00241093" w:rsidRPr="000925A8" w:rsidRDefault="00241093">
            <w:pPr>
              <w:pStyle w:val="Rubrik8"/>
              <w:spacing w:before="60" w:after="60"/>
              <w:rPr>
                <w:sz w:val="16"/>
              </w:rPr>
            </w:pPr>
            <w:r w:rsidRPr="000925A8">
              <w:rPr>
                <w:sz w:val="16"/>
              </w:rPr>
              <w:t>Mede</w:t>
            </w:r>
            <w:r w:rsidRPr="000925A8">
              <w:rPr>
                <w:sz w:val="16"/>
              </w:rPr>
              <w:t>l</w:t>
            </w:r>
          </w:p>
        </w:tc>
        <w:tc>
          <w:tcPr>
            <w:tcW w:w="567" w:type="dxa"/>
            <w:tcBorders>
              <w:top w:val="single" w:sz="6" w:space="0" w:color="000000"/>
              <w:left w:val="single" w:sz="6" w:space="0" w:color="000000"/>
              <w:bottom w:val="single" w:sz="6" w:space="0" w:color="000000"/>
              <w:right w:val="single" w:sz="6" w:space="0" w:color="000000"/>
            </w:tcBorders>
          </w:tcPr>
          <w:p w14:paraId="079A501B" w14:textId="77777777" w:rsidR="00241093" w:rsidRPr="000925A8" w:rsidRDefault="00241093">
            <w:pPr>
              <w:pStyle w:val="Rubrik8"/>
              <w:spacing w:before="60" w:after="60"/>
              <w:rPr>
                <w:sz w:val="16"/>
              </w:rPr>
            </w:pPr>
            <w:r w:rsidRPr="000925A8">
              <w:rPr>
                <w:sz w:val="16"/>
              </w:rPr>
              <w:t>Min*</w:t>
            </w:r>
          </w:p>
        </w:tc>
        <w:tc>
          <w:tcPr>
            <w:tcW w:w="709" w:type="dxa"/>
            <w:tcBorders>
              <w:top w:val="single" w:sz="6" w:space="0" w:color="000000"/>
              <w:left w:val="single" w:sz="6" w:space="0" w:color="000000"/>
              <w:bottom w:val="single" w:sz="6" w:space="0" w:color="000000"/>
              <w:right w:val="single" w:sz="6" w:space="0" w:color="000000"/>
            </w:tcBorders>
          </w:tcPr>
          <w:p w14:paraId="45FFC804" w14:textId="77777777" w:rsidR="00241093" w:rsidRPr="000925A8" w:rsidRDefault="00241093">
            <w:pPr>
              <w:pStyle w:val="Rubrik8"/>
              <w:spacing w:before="60" w:after="60"/>
              <w:rPr>
                <w:sz w:val="16"/>
              </w:rPr>
            </w:pPr>
            <w:r w:rsidRPr="000925A8">
              <w:rPr>
                <w:sz w:val="16"/>
              </w:rPr>
              <w:t>Max*</w:t>
            </w:r>
          </w:p>
        </w:tc>
        <w:tc>
          <w:tcPr>
            <w:tcW w:w="567" w:type="dxa"/>
            <w:tcBorders>
              <w:top w:val="single" w:sz="6" w:space="0" w:color="000000"/>
              <w:left w:val="single" w:sz="6" w:space="0" w:color="000000"/>
              <w:bottom w:val="single" w:sz="6" w:space="0" w:color="000000"/>
              <w:right w:val="single" w:sz="6" w:space="0" w:color="000000"/>
            </w:tcBorders>
          </w:tcPr>
          <w:p w14:paraId="00A921BD" w14:textId="77777777" w:rsidR="00241093" w:rsidRPr="000925A8" w:rsidRDefault="00241093">
            <w:pPr>
              <w:pStyle w:val="Rubrik8"/>
              <w:spacing w:before="60" w:after="60"/>
              <w:rPr>
                <w:sz w:val="16"/>
              </w:rPr>
            </w:pPr>
            <w:r w:rsidRPr="000925A8">
              <w:rPr>
                <w:sz w:val="16"/>
              </w:rPr>
              <w:t>Antal</w:t>
            </w:r>
          </w:p>
        </w:tc>
      </w:tr>
      <w:tr w:rsidR="00000000" w:rsidRPr="000925A8" w14:paraId="7A620D23" w14:textId="77777777">
        <w:tblPrEx>
          <w:tblCellMar>
            <w:top w:w="0" w:type="dxa"/>
            <w:bottom w:w="0" w:type="dxa"/>
          </w:tblCellMar>
        </w:tblPrEx>
        <w:tc>
          <w:tcPr>
            <w:tcW w:w="3544" w:type="dxa"/>
            <w:tcBorders>
              <w:top w:val="single" w:sz="6" w:space="0" w:color="000000"/>
              <w:left w:val="single" w:sz="6" w:space="0" w:color="000000"/>
              <w:bottom w:val="single" w:sz="6" w:space="0" w:color="000000"/>
              <w:right w:val="single" w:sz="6" w:space="0" w:color="000000"/>
            </w:tcBorders>
          </w:tcPr>
          <w:p w14:paraId="135DEC5D" w14:textId="77777777" w:rsidR="00241093" w:rsidRPr="000925A8" w:rsidRDefault="00241093">
            <w:pPr>
              <w:spacing w:before="60" w:after="60"/>
              <w:jc w:val="left"/>
              <w:rPr>
                <w:sz w:val="16"/>
              </w:rPr>
            </w:pPr>
            <w:r w:rsidRPr="000925A8">
              <w:rPr>
                <w:b/>
                <w:sz w:val="16"/>
              </w:rPr>
              <w:t>Betydelse</w:t>
            </w:r>
            <w:r w:rsidRPr="000925A8">
              <w:rPr>
                <w:sz w:val="16"/>
              </w:rPr>
              <w:t xml:space="preserve"> (inte alls viktigt – mycket vi</w:t>
            </w:r>
            <w:r w:rsidRPr="000925A8">
              <w:rPr>
                <w:sz w:val="16"/>
              </w:rPr>
              <w:t>k</w:t>
            </w:r>
            <w:r w:rsidRPr="000925A8">
              <w:rPr>
                <w:sz w:val="16"/>
              </w:rPr>
              <w:t>tigt)</w:t>
            </w:r>
          </w:p>
        </w:tc>
        <w:tc>
          <w:tcPr>
            <w:tcW w:w="567" w:type="dxa"/>
            <w:tcBorders>
              <w:top w:val="single" w:sz="6" w:space="0" w:color="000000"/>
              <w:left w:val="single" w:sz="6" w:space="0" w:color="000000"/>
              <w:bottom w:val="single" w:sz="6" w:space="0" w:color="000000"/>
              <w:right w:val="single" w:sz="6" w:space="0" w:color="000000"/>
            </w:tcBorders>
          </w:tcPr>
          <w:p w14:paraId="1541591F" w14:textId="77777777" w:rsidR="00241093" w:rsidRPr="000925A8" w:rsidRDefault="00241093">
            <w:pPr>
              <w:pStyle w:val="Punkter"/>
              <w:spacing w:before="60" w:after="60"/>
              <w:jc w:val="center"/>
              <w:rPr>
                <w:sz w:val="16"/>
              </w:rPr>
            </w:pPr>
            <w:r w:rsidRPr="000925A8">
              <w:rPr>
                <w:sz w:val="16"/>
              </w:rPr>
              <w:t>4,0</w:t>
            </w:r>
          </w:p>
        </w:tc>
        <w:tc>
          <w:tcPr>
            <w:tcW w:w="567" w:type="dxa"/>
            <w:tcBorders>
              <w:top w:val="single" w:sz="6" w:space="0" w:color="000000"/>
              <w:left w:val="single" w:sz="6" w:space="0" w:color="000000"/>
              <w:bottom w:val="single" w:sz="6" w:space="0" w:color="000000"/>
              <w:right w:val="single" w:sz="6" w:space="0" w:color="000000"/>
            </w:tcBorders>
          </w:tcPr>
          <w:p w14:paraId="0704A99F" w14:textId="77777777" w:rsidR="00241093" w:rsidRPr="000925A8" w:rsidRDefault="00241093">
            <w:pPr>
              <w:spacing w:before="60" w:after="60"/>
              <w:jc w:val="center"/>
              <w:rPr>
                <w:sz w:val="16"/>
              </w:rPr>
            </w:pPr>
            <w:r w:rsidRPr="000925A8">
              <w:rPr>
                <w:sz w:val="16"/>
              </w:rPr>
              <w:t>2 (5)</w:t>
            </w:r>
          </w:p>
        </w:tc>
        <w:tc>
          <w:tcPr>
            <w:tcW w:w="709" w:type="dxa"/>
            <w:tcBorders>
              <w:top w:val="single" w:sz="6" w:space="0" w:color="000000"/>
              <w:left w:val="single" w:sz="6" w:space="0" w:color="000000"/>
              <w:bottom w:val="single" w:sz="6" w:space="0" w:color="000000"/>
              <w:right w:val="single" w:sz="6" w:space="0" w:color="000000"/>
            </w:tcBorders>
          </w:tcPr>
          <w:p w14:paraId="58EBE472" w14:textId="77777777" w:rsidR="00241093" w:rsidRPr="000925A8" w:rsidRDefault="00241093">
            <w:pPr>
              <w:spacing w:before="60" w:after="60"/>
              <w:jc w:val="center"/>
              <w:rPr>
                <w:sz w:val="16"/>
              </w:rPr>
            </w:pPr>
            <w:r w:rsidRPr="000925A8">
              <w:rPr>
                <w:sz w:val="16"/>
              </w:rPr>
              <w:t>7 (1)</w:t>
            </w:r>
          </w:p>
        </w:tc>
        <w:tc>
          <w:tcPr>
            <w:tcW w:w="567" w:type="dxa"/>
            <w:tcBorders>
              <w:top w:val="single" w:sz="6" w:space="0" w:color="000000"/>
              <w:left w:val="single" w:sz="6" w:space="0" w:color="000000"/>
              <w:bottom w:val="single" w:sz="6" w:space="0" w:color="000000"/>
              <w:right w:val="single" w:sz="6" w:space="0" w:color="000000"/>
            </w:tcBorders>
          </w:tcPr>
          <w:p w14:paraId="6CA7BF48" w14:textId="77777777" w:rsidR="00241093" w:rsidRPr="000925A8" w:rsidRDefault="00241093">
            <w:pPr>
              <w:spacing w:before="60" w:after="60"/>
              <w:jc w:val="center"/>
              <w:rPr>
                <w:sz w:val="16"/>
              </w:rPr>
            </w:pPr>
            <w:r w:rsidRPr="000925A8">
              <w:rPr>
                <w:sz w:val="16"/>
              </w:rPr>
              <w:t>36</w:t>
            </w:r>
          </w:p>
        </w:tc>
      </w:tr>
      <w:tr w:rsidR="00000000" w:rsidRPr="000925A8" w14:paraId="573C8E16" w14:textId="77777777">
        <w:tblPrEx>
          <w:tblCellMar>
            <w:top w:w="0" w:type="dxa"/>
            <w:bottom w:w="0" w:type="dxa"/>
          </w:tblCellMar>
        </w:tblPrEx>
        <w:tc>
          <w:tcPr>
            <w:tcW w:w="3544" w:type="dxa"/>
            <w:tcBorders>
              <w:top w:val="single" w:sz="6" w:space="0" w:color="000000"/>
              <w:left w:val="single" w:sz="6" w:space="0" w:color="000000"/>
              <w:bottom w:val="single" w:sz="6" w:space="0" w:color="000000"/>
              <w:right w:val="single" w:sz="6" w:space="0" w:color="000000"/>
            </w:tcBorders>
          </w:tcPr>
          <w:p w14:paraId="1E9EEBC8" w14:textId="77777777" w:rsidR="00241093" w:rsidRPr="000925A8" w:rsidRDefault="00241093">
            <w:pPr>
              <w:spacing w:before="60" w:after="60"/>
              <w:jc w:val="left"/>
              <w:rPr>
                <w:sz w:val="16"/>
              </w:rPr>
            </w:pPr>
            <w:r w:rsidRPr="000925A8">
              <w:rPr>
                <w:b/>
                <w:sz w:val="16"/>
              </w:rPr>
              <w:t>Omfattning</w:t>
            </w:r>
            <w:r w:rsidRPr="000925A8">
              <w:rPr>
                <w:sz w:val="16"/>
              </w:rPr>
              <w:t xml:space="preserve"> (inte alls omfattande – mycket omfa</w:t>
            </w:r>
            <w:r w:rsidRPr="000925A8">
              <w:rPr>
                <w:sz w:val="16"/>
              </w:rPr>
              <w:t>t</w:t>
            </w:r>
            <w:r w:rsidRPr="000925A8">
              <w:rPr>
                <w:sz w:val="16"/>
              </w:rPr>
              <w:t>tande)</w:t>
            </w:r>
          </w:p>
        </w:tc>
        <w:tc>
          <w:tcPr>
            <w:tcW w:w="567" w:type="dxa"/>
            <w:tcBorders>
              <w:top w:val="single" w:sz="6" w:space="0" w:color="000000"/>
              <w:left w:val="single" w:sz="6" w:space="0" w:color="000000"/>
              <w:bottom w:val="single" w:sz="6" w:space="0" w:color="000000"/>
              <w:right w:val="single" w:sz="6" w:space="0" w:color="000000"/>
            </w:tcBorders>
          </w:tcPr>
          <w:p w14:paraId="51C81911" w14:textId="77777777" w:rsidR="00241093" w:rsidRPr="000925A8" w:rsidRDefault="00241093">
            <w:pPr>
              <w:spacing w:before="60" w:after="60"/>
              <w:jc w:val="center"/>
              <w:rPr>
                <w:sz w:val="16"/>
              </w:rPr>
            </w:pPr>
            <w:r w:rsidRPr="000925A8">
              <w:rPr>
                <w:sz w:val="16"/>
              </w:rPr>
              <w:t>3,0</w:t>
            </w:r>
          </w:p>
        </w:tc>
        <w:tc>
          <w:tcPr>
            <w:tcW w:w="567" w:type="dxa"/>
            <w:tcBorders>
              <w:top w:val="single" w:sz="6" w:space="0" w:color="000000"/>
              <w:left w:val="single" w:sz="6" w:space="0" w:color="000000"/>
              <w:bottom w:val="single" w:sz="6" w:space="0" w:color="000000"/>
              <w:right w:val="single" w:sz="6" w:space="0" w:color="000000"/>
            </w:tcBorders>
          </w:tcPr>
          <w:p w14:paraId="047690F9" w14:textId="77777777" w:rsidR="00241093" w:rsidRPr="000925A8" w:rsidRDefault="00241093">
            <w:pPr>
              <w:spacing w:before="60" w:after="60"/>
              <w:jc w:val="center"/>
              <w:rPr>
                <w:sz w:val="16"/>
              </w:rPr>
            </w:pPr>
            <w:r w:rsidRPr="000925A8">
              <w:rPr>
                <w:sz w:val="16"/>
              </w:rPr>
              <w:t>1 (3)</w:t>
            </w:r>
          </w:p>
        </w:tc>
        <w:tc>
          <w:tcPr>
            <w:tcW w:w="709" w:type="dxa"/>
            <w:tcBorders>
              <w:top w:val="single" w:sz="6" w:space="0" w:color="000000"/>
              <w:left w:val="single" w:sz="6" w:space="0" w:color="000000"/>
              <w:bottom w:val="single" w:sz="6" w:space="0" w:color="000000"/>
              <w:right w:val="single" w:sz="6" w:space="0" w:color="000000"/>
            </w:tcBorders>
          </w:tcPr>
          <w:p w14:paraId="53A4543B" w14:textId="77777777" w:rsidR="00241093" w:rsidRPr="000925A8" w:rsidRDefault="00241093">
            <w:pPr>
              <w:spacing w:before="60" w:after="60"/>
              <w:jc w:val="center"/>
              <w:rPr>
                <w:sz w:val="16"/>
              </w:rPr>
            </w:pPr>
            <w:r w:rsidRPr="000925A8">
              <w:rPr>
                <w:sz w:val="16"/>
              </w:rPr>
              <w:t>6 (1)</w:t>
            </w:r>
          </w:p>
        </w:tc>
        <w:tc>
          <w:tcPr>
            <w:tcW w:w="567" w:type="dxa"/>
            <w:tcBorders>
              <w:top w:val="single" w:sz="6" w:space="0" w:color="000000"/>
              <w:left w:val="single" w:sz="6" w:space="0" w:color="000000"/>
              <w:bottom w:val="single" w:sz="6" w:space="0" w:color="000000"/>
              <w:right w:val="single" w:sz="6" w:space="0" w:color="000000"/>
            </w:tcBorders>
          </w:tcPr>
          <w:p w14:paraId="624048FA" w14:textId="77777777" w:rsidR="00241093" w:rsidRPr="000925A8" w:rsidRDefault="00241093">
            <w:pPr>
              <w:spacing w:before="60" w:after="60"/>
              <w:jc w:val="center"/>
              <w:rPr>
                <w:sz w:val="16"/>
              </w:rPr>
            </w:pPr>
            <w:r w:rsidRPr="000925A8">
              <w:rPr>
                <w:sz w:val="16"/>
              </w:rPr>
              <w:t>36</w:t>
            </w:r>
          </w:p>
        </w:tc>
      </w:tr>
      <w:tr w:rsidR="00000000" w:rsidRPr="000925A8" w14:paraId="0C4CA0B6" w14:textId="77777777">
        <w:tblPrEx>
          <w:tblCellMar>
            <w:top w:w="0" w:type="dxa"/>
            <w:bottom w:w="0" w:type="dxa"/>
          </w:tblCellMar>
        </w:tblPrEx>
        <w:tc>
          <w:tcPr>
            <w:tcW w:w="3544" w:type="dxa"/>
            <w:tcBorders>
              <w:top w:val="single" w:sz="6" w:space="0" w:color="000000"/>
              <w:left w:val="single" w:sz="6" w:space="0" w:color="000000"/>
              <w:bottom w:val="single" w:sz="6" w:space="0" w:color="000000"/>
              <w:right w:val="single" w:sz="6" w:space="0" w:color="000000"/>
            </w:tcBorders>
          </w:tcPr>
          <w:p w14:paraId="4923D814" w14:textId="77777777" w:rsidR="00241093" w:rsidRPr="000925A8" w:rsidRDefault="00241093">
            <w:pPr>
              <w:pStyle w:val="Innehll1"/>
              <w:spacing w:before="60" w:after="60" w:line="240" w:lineRule="auto"/>
              <w:rPr>
                <w:sz w:val="16"/>
              </w:rPr>
            </w:pPr>
            <w:r w:rsidRPr="000925A8">
              <w:rPr>
                <w:b/>
                <w:sz w:val="16"/>
              </w:rPr>
              <w:t>Tillräckligt</w:t>
            </w:r>
            <w:r w:rsidRPr="000925A8">
              <w:rPr>
                <w:sz w:val="16"/>
              </w:rPr>
              <w:t xml:space="preserve"> (inte alls tillräckligt – fullt til</w:t>
            </w:r>
            <w:r w:rsidRPr="000925A8">
              <w:rPr>
                <w:sz w:val="16"/>
              </w:rPr>
              <w:t>l</w:t>
            </w:r>
            <w:r w:rsidRPr="000925A8">
              <w:rPr>
                <w:sz w:val="16"/>
              </w:rPr>
              <w:t>räckligt</w:t>
            </w:r>
          </w:p>
        </w:tc>
        <w:tc>
          <w:tcPr>
            <w:tcW w:w="567" w:type="dxa"/>
            <w:tcBorders>
              <w:top w:val="single" w:sz="6" w:space="0" w:color="000000"/>
              <w:left w:val="single" w:sz="6" w:space="0" w:color="000000"/>
              <w:bottom w:val="single" w:sz="6" w:space="0" w:color="000000"/>
              <w:right w:val="single" w:sz="6" w:space="0" w:color="000000"/>
            </w:tcBorders>
          </w:tcPr>
          <w:p w14:paraId="7F255B4B" w14:textId="77777777" w:rsidR="00241093" w:rsidRPr="000925A8" w:rsidRDefault="00241093">
            <w:pPr>
              <w:spacing w:before="60" w:after="60"/>
              <w:jc w:val="center"/>
              <w:rPr>
                <w:sz w:val="16"/>
              </w:rPr>
            </w:pPr>
            <w:r w:rsidRPr="000925A8">
              <w:rPr>
                <w:sz w:val="16"/>
              </w:rPr>
              <w:t>4,5</w:t>
            </w:r>
          </w:p>
        </w:tc>
        <w:tc>
          <w:tcPr>
            <w:tcW w:w="567" w:type="dxa"/>
            <w:tcBorders>
              <w:top w:val="single" w:sz="6" w:space="0" w:color="000000"/>
              <w:left w:val="single" w:sz="6" w:space="0" w:color="000000"/>
              <w:bottom w:val="single" w:sz="6" w:space="0" w:color="000000"/>
              <w:right w:val="single" w:sz="6" w:space="0" w:color="000000"/>
            </w:tcBorders>
          </w:tcPr>
          <w:p w14:paraId="572C38E4" w14:textId="77777777" w:rsidR="00241093" w:rsidRPr="000925A8" w:rsidRDefault="00241093">
            <w:pPr>
              <w:spacing w:before="60" w:after="60"/>
              <w:jc w:val="center"/>
              <w:rPr>
                <w:sz w:val="16"/>
              </w:rPr>
            </w:pPr>
            <w:r w:rsidRPr="000925A8">
              <w:rPr>
                <w:sz w:val="16"/>
              </w:rPr>
              <w:t>1 (2)</w:t>
            </w:r>
          </w:p>
        </w:tc>
        <w:tc>
          <w:tcPr>
            <w:tcW w:w="709" w:type="dxa"/>
            <w:tcBorders>
              <w:top w:val="single" w:sz="6" w:space="0" w:color="000000"/>
              <w:left w:val="single" w:sz="6" w:space="0" w:color="000000"/>
              <w:bottom w:val="single" w:sz="6" w:space="0" w:color="000000"/>
              <w:right w:val="single" w:sz="6" w:space="0" w:color="000000"/>
            </w:tcBorders>
          </w:tcPr>
          <w:p w14:paraId="568F6B5A" w14:textId="77777777" w:rsidR="00241093" w:rsidRPr="000925A8" w:rsidRDefault="00241093">
            <w:pPr>
              <w:spacing w:before="60" w:after="60"/>
              <w:jc w:val="center"/>
              <w:rPr>
                <w:sz w:val="16"/>
              </w:rPr>
            </w:pPr>
            <w:r w:rsidRPr="000925A8">
              <w:rPr>
                <w:sz w:val="16"/>
              </w:rPr>
              <w:t>7 (3)</w:t>
            </w:r>
          </w:p>
        </w:tc>
        <w:tc>
          <w:tcPr>
            <w:tcW w:w="567" w:type="dxa"/>
            <w:tcBorders>
              <w:top w:val="single" w:sz="6" w:space="0" w:color="000000"/>
              <w:left w:val="single" w:sz="6" w:space="0" w:color="000000"/>
              <w:bottom w:val="single" w:sz="6" w:space="0" w:color="000000"/>
              <w:right w:val="single" w:sz="6" w:space="0" w:color="000000"/>
            </w:tcBorders>
          </w:tcPr>
          <w:p w14:paraId="57164472" w14:textId="77777777" w:rsidR="00241093" w:rsidRPr="000925A8" w:rsidRDefault="00241093">
            <w:pPr>
              <w:spacing w:before="60" w:after="60"/>
              <w:jc w:val="center"/>
              <w:rPr>
                <w:sz w:val="16"/>
              </w:rPr>
            </w:pPr>
            <w:r w:rsidRPr="000925A8">
              <w:rPr>
                <w:sz w:val="16"/>
              </w:rPr>
              <w:t>36</w:t>
            </w:r>
          </w:p>
        </w:tc>
      </w:tr>
      <w:tr w:rsidR="00000000" w:rsidRPr="000925A8" w14:paraId="5989FE6F" w14:textId="77777777">
        <w:tblPrEx>
          <w:tblCellMar>
            <w:top w:w="0" w:type="dxa"/>
            <w:bottom w:w="0" w:type="dxa"/>
          </w:tblCellMar>
        </w:tblPrEx>
        <w:tc>
          <w:tcPr>
            <w:tcW w:w="3544" w:type="dxa"/>
            <w:tcBorders>
              <w:top w:val="single" w:sz="6" w:space="0" w:color="000000"/>
              <w:left w:val="single" w:sz="6" w:space="0" w:color="000000"/>
              <w:bottom w:val="single" w:sz="6" w:space="0" w:color="000000"/>
              <w:right w:val="single" w:sz="6" w:space="0" w:color="000000"/>
            </w:tcBorders>
          </w:tcPr>
          <w:p w14:paraId="72BE0AAE" w14:textId="77777777" w:rsidR="00241093" w:rsidRPr="000925A8" w:rsidRDefault="00241093">
            <w:pPr>
              <w:spacing w:before="60" w:after="60"/>
              <w:jc w:val="left"/>
              <w:rPr>
                <w:sz w:val="16"/>
              </w:rPr>
            </w:pPr>
            <w:r w:rsidRPr="000925A8">
              <w:rPr>
                <w:b/>
                <w:sz w:val="16"/>
              </w:rPr>
              <w:t>Relevans</w:t>
            </w:r>
            <w:r w:rsidRPr="000925A8">
              <w:rPr>
                <w:sz w:val="16"/>
              </w:rPr>
              <w:t xml:space="preserve"> (inte alls relevant för planeringsfrågorna i vår kommun – mycket relevant för planeringsfrågo</w:t>
            </w:r>
            <w:r w:rsidRPr="000925A8">
              <w:rPr>
                <w:sz w:val="16"/>
              </w:rPr>
              <w:t>r</w:t>
            </w:r>
            <w:r w:rsidRPr="000925A8">
              <w:rPr>
                <w:sz w:val="16"/>
              </w:rPr>
              <w:t>na i vår kommun)</w:t>
            </w:r>
          </w:p>
        </w:tc>
        <w:tc>
          <w:tcPr>
            <w:tcW w:w="567" w:type="dxa"/>
            <w:tcBorders>
              <w:top w:val="single" w:sz="6" w:space="0" w:color="000000"/>
              <w:left w:val="single" w:sz="6" w:space="0" w:color="000000"/>
              <w:bottom w:val="single" w:sz="6" w:space="0" w:color="000000"/>
              <w:right w:val="single" w:sz="6" w:space="0" w:color="000000"/>
            </w:tcBorders>
          </w:tcPr>
          <w:p w14:paraId="7FACA79F" w14:textId="77777777" w:rsidR="00241093" w:rsidRPr="000925A8" w:rsidRDefault="00241093">
            <w:pPr>
              <w:spacing w:before="60" w:after="60"/>
              <w:jc w:val="center"/>
              <w:rPr>
                <w:sz w:val="16"/>
              </w:rPr>
            </w:pPr>
            <w:r w:rsidRPr="000925A8">
              <w:rPr>
                <w:sz w:val="16"/>
              </w:rPr>
              <w:t>4,1</w:t>
            </w:r>
          </w:p>
        </w:tc>
        <w:tc>
          <w:tcPr>
            <w:tcW w:w="567" w:type="dxa"/>
            <w:tcBorders>
              <w:top w:val="single" w:sz="6" w:space="0" w:color="000000"/>
              <w:left w:val="single" w:sz="6" w:space="0" w:color="000000"/>
              <w:bottom w:val="single" w:sz="6" w:space="0" w:color="000000"/>
              <w:right w:val="single" w:sz="6" w:space="0" w:color="000000"/>
            </w:tcBorders>
          </w:tcPr>
          <w:p w14:paraId="1DA78D0E" w14:textId="77777777" w:rsidR="00241093" w:rsidRPr="000925A8" w:rsidRDefault="00241093">
            <w:pPr>
              <w:spacing w:before="60" w:after="60"/>
              <w:jc w:val="center"/>
              <w:rPr>
                <w:sz w:val="16"/>
              </w:rPr>
            </w:pPr>
            <w:r w:rsidRPr="000925A8">
              <w:rPr>
                <w:sz w:val="16"/>
              </w:rPr>
              <w:t>1 (1)</w:t>
            </w:r>
          </w:p>
        </w:tc>
        <w:tc>
          <w:tcPr>
            <w:tcW w:w="709" w:type="dxa"/>
            <w:tcBorders>
              <w:top w:val="single" w:sz="6" w:space="0" w:color="000000"/>
              <w:left w:val="single" w:sz="6" w:space="0" w:color="000000"/>
              <w:bottom w:val="single" w:sz="6" w:space="0" w:color="000000"/>
              <w:right w:val="single" w:sz="6" w:space="0" w:color="000000"/>
            </w:tcBorders>
          </w:tcPr>
          <w:p w14:paraId="3FDB032A" w14:textId="77777777" w:rsidR="00241093" w:rsidRPr="000925A8" w:rsidRDefault="00241093">
            <w:pPr>
              <w:spacing w:before="60" w:after="60"/>
              <w:jc w:val="center"/>
              <w:rPr>
                <w:sz w:val="16"/>
              </w:rPr>
            </w:pPr>
            <w:r w:rsidRPr="000925A8">
              <w:rPr>
                <w:sz w:val="16"/>
              </w:rPr>
              <w:t>6 (4)</w:t>
            </w:r>
          </w:p>
        </w:tc>
        <w:tc>
          <w:tcPr>
            <w:tcW w:w="567" w:type="dxa"/>
            <w:tcBorders>
              <w:top w:val="single" w:sz="6" w:space="0" w:color="000000"/>
              <w:left w:val="single" w:sz="6" w:space="0" w:color="000000"/>
              <w:bottom w:val="single" w:sz="6" w:space="0" w:color="000000"/>
              <w:right w:val="single" w:sz="6" w:space="0" w:color="000000"/>
            </w:tcBorders>
          </w:tcPr>
          <w:p w14:paraId="50153B1F" w14:textId="77777777" w:rsidR="00241093" w:rsidRPr="000925A8" w:rsidRDefault="00241093">
            <w:pPr>
              <w:spacing w:before="60" w:after="60"/>
              <w:jc w:val="center"/>
              <w:rPr>
                <w:sz w:val="16"/>
              </w:rPr>
            </w:pPr>
            <w:r w:rsidRPr="000925A8">
              <w:rPr>
                <w:sz w:val="16"/>
              </w:rPr>
              <w:t>36</w:t>
            </w:r>
          </w:p>
        </w:tc>
      </w:tr>
    </w:tbl>
    <w:p w14:paraId="1DF2D0ED" w14:textId="77777777" w:rsidR="00241093" w:rsidRPr="000925A8" w:rsidRDefault="00241093">
      <w:pPr>
        <w:pStyle w:val="Brdtext"/>
        <w:rPr>
          <w:color w:val="auto"/>
        </w:rPr>
      </w:pPr>
      <w:r w:rsidRPr="000925A8">
        <w:rPr>
          <w:color w:val="auto"/>
          <w:sz w:val="16"/>
        </w:rPr>
        <w:t>* Siffrorna inom parentes anger antalet kommuner som har angivit max- eller min-värdet.</w:t>
      </w:r>
    </w:p>
    <w:p w14:paraId="0745DD75" w14:textId="77777777" w:rsidR="00241093" w:rsidRPr="000925A8" w:rsidRDefault="00241093">
      <w:r w:rsidRPr="000925A8">
        <w:t>Tabellen visar att medelvärdena för samtliga de fyra variablerna hamnar relativt nära det ”neutrala” svarsalternativet fyra. Variabeln Omfattning avv</w:t>
      </w:r>
      <w:r w:rsidRPr="000925A8">
        <w:t>i</w:t>
      </w:r>
      <w:r w:rsidRPr="000925A8">
        <w:t xml:space="preserve">ker något, vilket antyder att länsstyrelsernas arbete med mellankommunal samordning under detaljplaneringen inte är så omfattande. Värdet är dock ungefär detsamma som för översiktsplaneringen. Värdena för de övriga tre variablerna är lägre än vad de var för översiktsplaneringen. </w:t>
      </w:r>
    </w:p>
    <w:p w14:paraId="1E4D7E50" w14:textId="77777777" w:rsidR="00241093" w:rsidRPr="000925A8" w:rsidRDefault="00241093">
      <w:pPr>
        <w:pStyle w:val="Normaltindrag"/>
      </w:pPr>
      <w:r w:rsidRPr="000925A8">
        <w:t>Man kan således dra slutsatsen att kommunerna anser att länsstyrelsernas arbete för att främja mellankommunal samordning under detaljplaneringen är mindre viktigt och tillräckligt i högre grad än vad det är under översiktsplan</w:t>
      </w:r>
      <w:r w:rsidRPr="000925A8">
        <w:t>e</w:t>
      </w:r>
      <w:r w:rsidRPr="000925A8">
        <w:t>ringen. Även arbetets relevans är högre i översiktsplaneringen än i detaljpl</w:t>
      </w:r>
      <w:r w:rsidRPr="000925A8">
        <w:t>a</w:t>
      </w:r>
      <w:r w:rsidRPr="000925A8">
        <w:t>neringen. I kommentarer till denna fråga har flera, vanligen mindre, komm</w:t>
      </w:r>
      <w:r w:rsidRPr="000925A8">
        <w:t>u</w:t>
      </w:r>
      <w:r w:rsidRPr="000925A8">
        <w:t>ner angivit att detaljplaneaktiviteten allmänt sett är låg eller att den detaljpl</w:t>
      </w:r>
      <w:r w:rsidRPr="000925A8">
        <w:t>a</w:t>
      </w:r>
      <w:r w:rsidRPr="000925A8">
        <w:t xml:space="preserve">nering som sker inte har några mellankommunala dimensioner. </w:t>
      </w:r>
    </w:p>
    <w:p w14:paraId="1DF38E5E" w14:textId="77777777" w:rsidR="00241093" w:rsidRPr="000925A8" w:rsidRDefault="00241093">
      <w:pPr>
        <w:pStyle w:val="Normaltindrag"/>
      </w:pPr>
      <w:r w:rsidRPr="000925A8">
        <w:t>En analys av sambandet mellan de värden som kommunerna har angivit för respektive variabel visar en relativt starkt korrelation mellan variablerna Betydelse och Omfattning.</w:t>
      </w:r>
      <w:r w:rsidRPr="000925A8">
        <w:rPr>
          <w:rStyle w:val="Fotnotsreferens"/>
        </w:rPr>
        <w:footnoteReference w:id="124"/>
      </w:r>
      <w:r w:rsidRPr="000925A8">
        <w:t xml:space="preserve"> Annorlunda uttryckt: De kommuner som anger att länsstyrelsens arbete har stor betydelse anger också ofta att detta arbete är relativt omfattande. På samman sätt som för översiktsplaneringen är samba</w:t>
      </w:r>
      <w:r w:rsidRPr="000925A8">
        <w:t>n</w:t>
      </w:r>
      <w:r w:rsidRPr="000925A8">
        <w:t>det svagare, om än positivt, mellan variablerna Omfattning och Tillräckligt.</w:t>
      </w:r>
      <w:r w:rsidRPr="000925A8">
        <w:rPr>
          <w:rStyle w:val="Fotnotsreferens"/>
        </w:rPr>
        <w:footnoteReference w:id="125"/>
      </w:r>
      <w:r w:rsidRPr="000925A8">
        <w:t xml:space="preserve"> Det är således inte givet att de kommuner som anger att omfattningen på länsstyrelsens arbete är stort också anser att det är tillräc</w:t>
      </w:r>
      <w:r w:rsidRPr="000925A8">
        <w:t>k</w:t>
      </w:r>
      <w:r w:rsidRPr="000925A8">
        <w:t>ligt.</w:t>
      </w:r>
    </w:p>
    <w:p w14:paraId="23A974AE" w14:textId="77777777" w:rsidR="00241093" w:rsidRPr="000925A8" w:rsidRDefault="00241093">
      <w:pPr>
        <w:pStyle w:val="R4"/>
      </w:pPr>
      <w:r w:rsidRPr="000925A8">
        <w:t xml:space="preserve">Variationen mellan kommunerna i olika län </w:t>
      </w:r>
    </w:p>
    <w:p w14:paraId="36EE0A75" w14:textId="77777777" w:rsidR="00241093" w:rsidRPr="000925A8" w:rsidRDefault="00241093">
      <w:pPr>
        <w:spacing w:before="0"/>
      </w:pPr>
      <w:r w:rsidRPr="000925A8">
        <w:t>Om man beräknar medelvärden för kommunerna i respektive län (se tabell 6.5) finner man att variationen, liksom för översiktsplaneringen, är relativt stor.</w:t>
      </w:r>
    </w:p>
    <w:p w14:paraId="6513FCC6" w14:textId="77777777" w:rsidR="00241093" w:rsidRPr="000925A8" w:rsidRDefault="00241093">
      <w:pPr>
        <w:pStyle w:val="Brdtext"/>
        <w:spacing w:after="0"/>
        <w:rPr>
          <w:b/>
          <w:color w:val="auto"/>
          <w:sz w:val="20"/>
        </w:rPr>
      </w:pPr>
    </w:p>
    <w:p w14:paraId="4AD522B4" w14:textId="77777777" w:rsidR="00241093" w:rsidRPr="000925A8" w:rsidRDefault="00241093">
      <w:pPr>
        <w:pStyle w:val="Brdtext"/>
        <w:spacing w:after="0"/>
        <w:rPr>
          <w:color w:val="auto"/>
          <w:sz w:val="20"/>
        </w:rPr>
      </w:pPr>
      <w:r w:rsidRPr="000925A8">
        <w:rPr>
          <w:b/>
          <w:color w:val="auto"/>
          <w:sz w:val="20"/>
        </w:rPr>
        <w:t>Tabell 6.5</w:t>
      </w:r>
      <w:r w:rsidRPr="000925A8">
        <w:rPr>
          <w:color w:val="auto"/>
          <w:sz w:val="20"/>
        </w:rPr>
        <w:t xml:space="preserve"> Medelvärdenas variation i länen</w:t>
      </w:r>
    </w:p>
    <w:tbl>
      <w:tblPr>
        <w:tblW w:w="0" w:type="auto"/>
        <w:tblInd w:w="-5"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828"/>
        <w:gridCol w:w="567"/>
        <w:gridCol w:w="992"/>
        <w:gridCol w:w="567"/>
      </w:tblGrid>
      <w:tr w:rsidR="00000000" w:rsidRPr="000925A8" w14:paraId="0F1D8F22" w14:textId="77777777">
        <w:tblPrEx>
          <w:tblCellMar>
            <w:top w:w="0" w:type="dxa"/>
            <w:bottom w:w="0" w:type="dxa"/>
          </w:tblCellMar>
        </w:tblPrEx>
        <w:trPr>
          <w:cantSplit/>
        </w:trPr>
        <w:tc>
          <w:tcPr>
            <w:tcW w:w="3828" w:type="dxa"/>
            <w:tcBorders>
              <w:top w:val="single" w:sz="6" w:space="0" w:color="000000"/>
              <w:left w:val="single" w:sz="6" w:space="0" w:color="000000"/>
              <w:bottom w:val="single" w:sz="6" w:space="0" w:color="000000"/>
              <w:right w:val="single" w:sz="6" w:space="0" w:color="000000"/>
            </w:tcBorders>
          </w:tcPr>
          <w:p w14:paraId="6DA12702" w14:textId="77777777" w:rsidR="00241093" w:rsidRPr="000925A8" w:rsidRDefault="00241093">
            <w:pPr>
              <w:spacing w:before="60" w:after="60"/>
              <w:jc w:val="left"/>
              <w:rPr>
                <w:sz w:val="16"/>
              </w:rPr>
            </w:pPr>
            <w:r w:rsidRPr="000925A8">
              <w:rPr>
                <w:sz w:val="16"/>
              </w:rPr>
              <w:t>Hur upplever kommunen länsstyrelsens arbete för att främja en lämplig kommunal samordning i den komm</w:t>
            </w:r>
            <w:r w:rsidRPr="000925A8">
              <w:rPr>
                <w:sz w:val="16"/>
              </w:rPr>
              <w:t>u</w:t>
            </w:r>
            <w:r w:rsidRPr="000925A8">
              <w:rPr>
                <w:sz w:val="16"/>
              </w:rPr>
              <w:t>nala detaljplan</w:t>
            </w:r>
            <w:r w:rsidRPr="000925A8">
              <w:rPr>
                <w:sz w:val="16"/>
              </w:rPr>
              <w:t>e</w:t>
            </w:r>
            <w:r w:rsidRPr="000925A8">
              <w:rPr>
                <w:sz w:val="16"/>
              </w:rPr>
              <w:t>processen?</w:t>
            </w:r>
          </w:p>
        </w:tc>
        <w:tc>
          <w:tcPr>
            <w:tcW w:w="567" w:type="dxa"/>
            <w:tcBorders>
              <w:top w:val="single" w:sz="6" w:space="0" w:color="000000"/>
              <w:left w:val="single" w:sz="6" w:space="0" w:color="000000"/>
              <w:bottom w:val="single" w:sz="6" w:space="0" w:color="000000"/>
              <w:right w:val="single" w:sz="6" w:space="0" w:color="000000"/>
            </w:tcBorders>
          </w:tcPr>
          <w:p w14:paraId="5A626CD7" w14:textId="77777777" w:rsidR="00241093" w:rsidRPr="000925A8" w:rsidRDefault="00241093">
            <w:pPr>
              <w:pStyle w:val="Rubrik8"/>
              <w:spacing w:before="60" w:after="60"/>
              <w:rPr>
                <w:sz w:val="16"/>
              </w:rPr>
            </w:pPr>
            <w:r w:rsidRPr="000925A8">
              <w:rPr>
                <w:sz w:val="16"/>
              </w:rPr>
              <w:t>Mede</w:t>
            </w:r>
            <w:r w:rsidRPr="000925A8">
              <w:rPr>
                <w:sz w:val="16"/>
              </w:rPr>
              <w:t>l</w:t>
            </w:r>
          </w:p>
        </w:tc>
        <w:tc>
          <w:tcPr>
            <w:tcW w:w="992" w:type="dxa"/>
            <w:tcBorders>
              <w:top w:val="single" w:sz="6" w:space="0" w:color="000000"/>
              <w:left w:val="single" w:sz="6" w:space="0" w:color="000000"/>
              <w:bottom w:val="single" w:sz="6" w:space="0" w:color="000000"/>
              <w:right w:val="single" w:sz="6" w:space="0" w:color="000000"/>
            </w:tcBorders>
          </w:tcPr>
          <w:p w14:paraId="0CF64A5A" w14:textId="77777777" w:rsidR="00241093" w:rsidRPr="000925A8" w:rsidRDefault="00241093">
            <w:pPr>
              <w:pStyle w:val="Rubrik8"/>
              <w:spacing w:before="60" w:after="60"/>
              <w:rPr>
                <w:sz w:val="16"/>
              </w:rPr>
            </w:pPr>
            <w:r w:rsidRPr="000925A8">
              <w:rPr>
                <w:sz w:val="16"/>
              </w:rPr>
              <w:t>Länsmede</w:t>
            </w:r>
            <w:r w:rsidRPr="000925A8">
              <w:rPr>
                <w:sz w:val="16"/>
              </w:rPr>
              <w:t>l</w:t>
            </w:r>
            <w:r w:rsidRPr="000925A8">
              <w:rPr>
                <w:sz w:val="16"/>
              </w:rPr>
              <w:t>värdenas variation</w:t>
            </w:r>
            <w:r w:rsidRPr="000925A8">
              <w:rPr>
                <w:sz w:val="16"/>
              </w:rPr>
              <w:t>s</w:t>
            </w:r>
            <w:r w:rsidRPr="000925A8">
              <w:rPr>
                <w:sz w:val="16"/>
              </w:rPr>
              <w:t>inte</w:t>
            </w:r>
            <w:r w:rsidRPr="000925A8">
              <w:rPr>
                <w:sz w:val="16"/>
              </w:rPr>
              <w:t>r</w:t>
            </w:r>
            <w:r w:rsidRPr="000925A8">
              <w:rPr>
                <w:sz w:val="16"/>
              </w:rPr>
              <w:t>vall</w:t>
            </w:r>
          </w:p>
        </w:tc>
        <w:tc>
          <w:tcPr>
            <w:tcW w:w="567" w:type="dxa"/>
            <w:tcBorders>
              <w:top w:val="single" w:sz="6" w:space="0" w:color="000000"/>
              <w:left w:val="single" w:sz="6" w:space="0" w:color="000000"/>
              <w:bottom w:val="single" w:sz="6" w:space="0" w:color="000000"/>
              <w:right w:val="single" w:sz="6" w:space="0" w:color="000000"/>
            </w:tcBorders>
          </w:tcPr>
          <w:p w14:paraId="5F8F14CB" w14:textId="77777777" w:rsidR="00241093" w:rsidRPr="000925A8" w:rsidRDefault="00241093">
            <w:pPr>
              <w:pStyle w:val="Rubrik8"/>
              <w:spacing w:before="60" w:after="60"/>
              <w:rPr>
                <w:sz w:val="16"/>
              </w:rPr>
            </w:pPr>
            <w:r w:rsidRPr="000925A8">
              <w:rPr>
                <w:sz w:val="16"/>
              </w:rPr>
              <w:t>Antal län*</w:t>
            </w:r>
          </w:p>
        </w:tc>
      </w:tr>
      <w:tr w:rsidR="00000000" w:rsidRPr="000925A8" w14:paraId="028B1DB7" w14:textId="77777777">
        <w:tblPrEx>
          <w:tblCellMar>
            <w:top w:w="0" w:type="dxa"/>
            <w:bottom w:w="0" w:type="dxa"/>
          </w:tblCellMar>
        </w:tblPrEx>
        <w:trPr>
          <w:cantSplit/>
        </w:trPr>
        <w:tc>
          <w:tcPr>
            <w:tcW w:w="3828" w:type="dxa"/>
            <w:tcBorders>
              <w:top w:val="single" w:sz="6" w:space="0" w:color="000000"/>
              <w:left w:val="single" w:sz="6" w:space="0" w:color="000000"/>
              <w:bottom w:val="single" w:sz="4" w:space="0" w:color="auto"/>
              <w:right w:val="single" w:sz="6" w:space="0" w:color="000000"/>
            </w:tcBorders>
          </w:tcPr>
          <w:p w14:paraId="7C08C797" w14:textId="77777777" w:rsidR="00241093" w:rsidRPr="000925A8" w:rsidRDefault="00241093">
            <w:pPr>
              <w:spacing w:before="60" w:after="60"/>
              <w:jc w:val="left"/>
              <w:rPr>
                <w:sz w:val="16"/>
              </w:rPr>
            </w:pPr>
            <w:r w:rsidRPr="000925A8">
              <w:rPr>
                <w:sz w:val="16"/>
              </w:rPr>
              <w:t>Betydelse (inte alls viktigt – mycket vi</w:t>
            </w:r>
            <w:r w:rsidRPr="000925A8">
              <w:rPr>
                <w:sz w:val="16"/>
              </w:rPr>
              <w:t>k</w:t>
            </w:r>
            <w:r w:rsidRPr="000925A8">
              <w:rPr>
                <w:sz w:val="16"/>
              </w:rPr>
              <w:t>tigt)</w:t>
            </w:r>
          </w:p>
        </w:tc>
        <w:tc>
          <w:tcPr>
            <w:tcW w:w="567" w:type="dxa"/>
            <w:tcBorders>
              <w:top w:val="single" w:sz="6" w:space="0" w:color="000000"/>
              <w:left w:val="single" w:sz="6" w:space="0" w:color="000000"/>
              <w:bottom w:val="single" w:sz="4" w:space="0" w:color="auto"/>
              <w:right w:val="single" w:sz="6" w:space="0" w:color="000000"/>
            </w:tcBorders>
          </w:tcPr>
          <w:p w14:paraId="77DDED8E" w14:textId="77777777" w:rsidR="00241093" w:rsidRPr="000925A8" w:rsidRDefault="00241093">
            <w:pPr>
              <w:pStyle w:val="Punkter"/>
              <w:spacing w:before="60" w:after="60"/>
              <w:jc w:val="center"/>
              <w:rPr>
                <w:sz w:val="16"/>
              </w:rPr>
            </w:pPr>
            <w:r w:rsidRPr="000925A8">
              <w:rPr>
                <w:sz w:val="16"/>
              </w:rPr>
              <w:t>4,0</w:t>
            </w:r>
          </w:p>
        </w:tc>
        <w:tc>
          <w:tcPr>
            <w:tcW w:w="992" w:type="dxa"/>
            <w:tcBorders>
              <w:top w:val="single" w:sz="6" w:space="0" w:color="000000"/>
              <w:left w:val="single" w:sz="6" w:space="0" w:color="000000"/>
              <w:bottom w:val="single" w:sz="4" w:space="0" w:color="auto"/>
              <w:right w:val="single" w:sz="6" w:space="0" w:color="000000"/>
            </w:tcBorders>
          </w:tcPr>
          <w:p w14:paraId="17EF4A9D" w14:textId="77777777" w:rsidR="00241093" w:rsidRPr="000925A8" w:rsidRDefault="00241093">
            <w:pPr>
              <w:spacing w:before="60" w:after="60"/>
              <w:jc w:val="center"/>
              <w:rPr>
                <w:sz w:val="16"/>
              </w:rPr>
            </w:pPr>
            <w:r w:rsidRPr="000925A8">
              <w:rPr>
                <w:sz w:val="16"/>
              </w:rPr>
              <w:t>2,5–6,0</w:t>
            </w:r>
          </w:p>
        </w:tc>
        <w:tc>
          <w:tcPr>
            <w:tcW w:w="567" w:type="dxa"/>
            <w:tcBorders>
              <w:top w:val="single" w:sz="6" w:space="0" w:color="000000"/>
              <w:left w:val="single" w:sz="6" w:space="0" w:color="000000"/>
              <w:bottom w:val="single" w:sz="4" w:space="0" w:color="auto"/>
              <w:right w:val="single" w:sz="6" w:space="0" w:color="000000"/>
            </w:tcBorders>
          </w:tcPr>
          <w:p w14:paraId="520E1D69" w14:textId="77777777" w:rsidR="00241093" w:rsidRPr="000925A8" w:rsidRDefault="00241093">
            <w:pPr>
              <w:spacing w:before="60" w:after="60"/>
              <w:jc w:val="center"/>
              <w:rPr>
                <w:sz w:val="16"/>
              </w:rPr>
            </w:pPr>
            <w:r w:rsidRPr="000925A8">
              <w:rPr>
                <w:sz w:val="16"/>
              </w:rPr>
              <w:t>14</w:t>
            </w:r>
          </w:p>
        </w:tc>
      </w:tr>
      <w:tr w:rsidR="00000000" w:rsidRPr="000925A8" w14:paraId="5DD73F53" w14:textId="77777777">
        <w:tblPrEx>
          <w:tblCellMar>
            <w:top w:w="0" w:type="dxa"/>
            <w:bottom w:w="0" w:type="dxa"/>
          </w:tblCellMar>
        </w:tblPrEx>
        <w:trPr>
          <w:cantSplit/>
        </w:trPr>
        <w:tc>
          <w:tcPr>
            <w:tcW w:w="3828" w:type="dxa"/>
            <w:tcBorders>
              <w:top w:val="single" w:sz="4" w:space="0" w:color="auto"/>
              <w:left w:val="single" w:sz="4" w:space="0" w:color="auto"/>
              <w:bottom w:val="single" w:sz="4" w:space="0" w:color="auto"/>
              <w:right w:val="single" w:sz="4" w:space="0" w:color="auto"/>
            </w:tcBorders>
          </w:tcPr>
          <w:p w14:paraId="2DFF9D6B" w14:textId="77777777" w:rsidR="00241093" w:rsidRPr="000925A8" w:rsidRDefault="00241093">
            <w:pPr>
              <w:spacing w:before="60" w:after="60"/>
              <w:jc w:val="left"/>
              <w:rPr>
                <w:sz w:val="16"/>
              </w:rPr>
            </w:pPr>
            <w:r w:rsidRPr="000925A8">
              <w:rPr>
                <w:sz w:val="16"/>
              </w:rPr>
              <w:t>Omfattning (inte alls omfattande – mycket omfa</w:t>
            </w:r>
            <w:r w:rsidRPr="000925A8">
              <w:rPr>
                <w:sz w:val="16"/>
              </w:rPr>
              <w:t>t</w:t>
            </w:r>
            <w:r w:rsidRPr="000925A8">
              <w:rPr>
                <w:sz w:val="16"/>
              </w:rPr>
              <w:t>tande)</w:t>
            </w:r>
          </w:p>
        </w:tc>
        <w:tc>
          <w:tcPr>
            <w:tcW w:w="567" w:type="dxa"/>
            <w:tcBorders>
              <w:top w:val="single" w:sz="4" w:space="0" w:color="auto"/>
              <w:left w:val="single" w:sz="4" w:space="0" w:color="auto"/>
              <w:bottom w:val="single" w:sz="4" w:space="0" w:color="auto"/>
              <w:right w:val="single" w:sz="4" w:space="0" w:color="auto"/>
            </w:tcBorders>
          </w:tcPr>
          <w:p w14:paraId="4246E498" w14:textId="77777777" w:rsidR="00241093" w:rsidRPr="000925A8" w:rsidRDefault="00241093">
            <w:pPr>
              <w:spacing w:before="60" w:after="60"/>
              <w:jc w:val="center"/>
              <w:rPr>
                <w:sz w:val="16"/>
              </w:rPr>
            </w:pPr>
            <w:r w:rsidRPr="000925A8">
              <w:rPr>
                <w:sz w:val="16"/>
              </w:rPr>
              <w:t>3,0</w:t>
            </w:r>
          </w:p>
        </w:tc>
        <w:tc>
          <w:tcPr>
            <w:tcW w:w="992" w:type="dxa"/>
            <w:tcBorders>
              <w:top w:val="single" w:sz="4" w:space="0" w:color="auto"/>
              <w:left w:val="single" w:sz="4" w:space="0" w:color="auto"/>
              <w:bottom w:val="single" w:sz="4" w:space="0" w:color="auto"/>
              <w:right w:val="single" w:sz="4" w:space="0" w:color="auto"/>
            </w:tcBorders>
          </w:tcPr>
          <w:p w14:paraId="34BC7A14" w14:textId="77777777" w:rsidR="00241093" w:rsidRPr="000925A8" w:rsidRDefault="00241093">
            <w:pPr>
              <w:spacing w:before="60" w:after="60"/>
              <w:jc w:val="center"/>
              <w:rPr>
                <w:sz w:val="16"/>
              </w:rPr>
            </w:pPr>
            <w:r w:rsidRPr="000925A8">
              <w:rPr>
                <w:sz w:val="16"/>
              </w:rPr>
              <w:t>1,5–4,5</w:t>
            </w:r>
          </w:p>
        </w:tc>
        <w:tc>
          <w:tcPr>
            <w:tcW w:w="567" w:type="dxa"/>
            <w:tcBorders>
              <w:top w:val="single" w:sz="4" w:space="0" w:color="auto"/>
              <w:left w:val="single" w:sz="4" w:space="0" w:color="auto"/>
              <w:bottom w:val="single" w:sz="4" w:space="0" w:color="auto"/>
              <w:right w:val="single" w:sz="4" w:space="0" w:color="auto"/>
            </w:tcBorders>
          </w:tcPr>
          <w:p w14:paraId="3DA42975" w14:textId="77777777" w:rsidR="00241093" w:rsidRPr="000925A8" w:rsidRDefault="00241093">
            <w:pPr>
              <w:spacing w:before="60" w:after="60"/>
              <w:jc w:val="center"/>
              <w:rPr>
                <w:sz w:val="16"/>
              </w:rPr>
            </w:pPr>
            <w:r w:rsidRPr="000925A8">
              <w:rPr>
                <w:sz w:val="16"/>
              </w:rPr>
              <w:t>14</w:t>
            </w:r>
          </w:p>
        </w:tc>
      </w:tr>
      <w:tr w:rsidR="00000000" w:rsidRPr="000925A8" w14:paraId="691FAA7B" w14:textId="77777777">
        <w:tblPrEx>
          <w:tblCellMar>
            <w:top w:w="0" w:type="dxa"/>
            <w:bottom w:w="0" w:type="dxa"/>
          </w:tblCellMar>
        </w:tblPrEx>
        <w:trPr>
          <w:cantSplit/>
        </w:trPr>
        <w:tc>
          <w:tcPr>
            <w:tcW w:w="3828" w:type="dxa"/>
            <w:tcBorders>
              <w:top w:val="single" w:sz="4" w:space="0" w:color="auto"/>
              <w:left w:val="single" w:sz="4" w:space="0" w:color="auto"/>
              <w:bottom w:val="single" w:sz="4" w:space="0" w:color="auto"/>
              <w:right w:val="single" w:sz="4" w:space="0" w:color="auto"/>
            </w:tcBorders>
          </w:tcPr>
          <w:p w14:paraId="25A53A7B" w14:textId="77777777" w:rsidR="00241093" w:rsidRPr="000925A8" w:rsidRDefault="00241093">
            <w:pPr>
              <w:spacing w:before="60" w:after="60"/>
              <w:jc w:val="left"/>
              <w:rPr>
                <w:sz w:val="16"/>
              </w:rPr>
            </w:pPr>
            <w:r w:rsidRPr="000925A8">
              <w:rPr>
                <w:sz w:val="16"/>
              </w:rPr>
              <w:t>Tillräckligt (inte alls tillräckligt – fullt tillräckligt)</w:t>
            </w:r>
          </w:p>
        </w:tc>
        <w:tc>
          <w:tcPr>
            <w:tcW w:w="567" w:type="dxa"/>
            <w:tcBorders>
              <w:top w:val="single" w:sz="4" w:space="0" w:color="auto"/>
              <w:left w:val="single" w:sz="4" w:space="0" w:color="auto"/>
              <w:bottom w:val="single" w:sz="4" w:space="0" w:color="auto"/>
              <w:right w:val="single" w:sz="4" w:space="0" w:color="auto"/>
            </w:tcBorders>
          </w:tcPr>
          <w:p w14:paraId="4EC146AB" w14:textId="77777777" w:rsidR="00241093" w:rsidRPr="000925A8" w:rsidRDefault="00241093">
            <w:pPr>
              <w:spacing w:before="60" w:after="60"/>
              <w:jc w:val="center"/>
              <w:rPr>
                <w:sz w:val="16"/>
              </w:rPr>
            </w:pPr>
            <w:r w:rsidRPr="000925A8">
              <w:rPr>
                <w:sz w:val="16"/>
              </w:rPr>
              <w:t>4,5</w:t>
            </w:r>
          </w:p>
        </w:tc>
        <w:tc>
          <w:tcPr>
            <w:tcW w:w="992" w:type="dxa"/>
            <w:tcBorders>
              <w:top w:val="single" w:sz="4" w:space="0" w:color="auto"/>
              <w:left w:val="single" w:sz="4" w:space="0" w:color="auto"/>
              <w:bottom w:val="single" w:sz="4" w:space="0" w:color="auto"/>
              <w:right w:val="single" w:sz="4" w:space="0" w:color="auto"/>
            </w:tcBorders>
          </w:tcPr>
          <w:p w14:paraId="67C0DA9F" w14:textId="77777777" w:rsidR="00241093" w:rsidRPr="000925A8" w:rsidRDefault="00241093">
            <w:pPr>
              <w:spacing w:before="60" w:after="60"/>
              <w:jc w:val="center"/>
              <w:rPr>
                <w:sz w:val="16"/>
              </w:rPr>
            </w:pPr>
            <w:r w:rsidRPr="000925A8">
              <w:rPr>
                <w:sz w:val="16"/>
              </w:rPr>
              <w:t>3,0–6,0</w:t>
            </w:r>
          </w:p>
        </w:tc>
        <w:tc>
          <w:tcPr>
            <w:tcW w:w="567" w:type="dxa"/>
            <w:tcBorders>
              <w:top w:val="single" w:sz="4" w:space="0" w:color="auto"/>
              <w:left w:val="single" w:sz="4" w:space="0" w:color="auto"/>
              <w:bottom w:val="single" w:sz="4" w:space="0" w:color="auto"/>
              <w:right w:val="single" w:sz="4" w:space="0" w:color="auto"/>
            </w:tcBorders>
          </w:tcPr>
          <w:p w14:paraId="6C8FF10E" w14:textId="77777777" w:rsidR="00241093" w:rsidRPr="000925A8" w:rsidRDefault="00241093">
            <w:pPr>
              <w:spacing w:before="60" w:after="60"/>
              <w:jc w:val="center"/>
              <w:rPr>
                <w:sz w:val="16"/>
              </w:rPr>
            </w:pPr>
            <w:r w:rsidRPr="000925A8">
              <w:rPr>
                <w:sz w:val="16"/>
              </w:rPr>
              <w:t>14</w:t>
            </w:r>
          </w:p>
        </w:tc>
      </w:tr>
      <w:tr w:rsidR="00000000" w:rsidRPr="000925A8" w14:paraId="779F8D6C" w14:textId="77777777">
        <w:tblPrEx>
          <w:tblCellMar>
            <w:top w:w="0" w:type="dxa"/>
            <w:bottom w:w="0" w:type="dxa"/>
          </w:tblCellMar>
        </w:tblPrEx>
        <w:trPr>
          <w:cantSplit/>
        </w:trPr>
        <w:tc>
          <w:tcPr>
            <w:tcW w:w="3828" w:type="dxa"/>
            <w:tcBorders>
              <w:top w:val="single" w:sz="4" w:space="0" w:color="auto"/>
              <w:left w:val="single" w:sz="6" w:space="0" w:color="000000"/>
              <w:bottom w:val="single" w:sz="6" w:space="0" w:color="000000"/>
              <w:right w:val="single" w:sz="6" w:space="0" w:color="000000"/>
            </w:tcBorders>
          </w:tcPr>
          <w:p w14:paraId="7EDC2F62" w14:textId="77777777" w:rsidR="00241093" w:rsidRPr="000925A8" w:rsidRDefault="00241093">
            <w:pPr>
              <w:spacing w:before="60" w:after="60"/>
              <w:jc w:val="left"/>
              <w:rPr>
                <w:sz w:val="16"/>
              </w:rPr>
            </w:pPr>
            <w:r w:rsidRPr="000925A8">
              <w:rPr>
                <w:sz w:val="16"/>
              </w:rPr>
              <w:t>Relevans (inte alls relevant för planeringsfrågorna – mycket relevant för planeringsfrågorna, i vår kommun)</w:t>
            </w:r>
          </w:p>
        </w:tc>
        <w:tc>
          <w:tcPr>
            <w:tcW w:w="567" w:type="dxa"/>
            <w:tcBorders>
              <w:top w:val="single" w:sz="4" w:space="0" w:color="auto"/>
              <w:left w:val="single" w:sz="6" w:space="0" w:color="000000"/>
              <w:bottom w:val="single" w:sz="6" w:space="0" w:color="000000"/>
              <w:right w:val="single" w:sz="6" w:space="0" w:color="000000"/>
            </w:tcBorders>
          </w:tcPr>
          <w:p w14:paraId="6012C8B9" w14:textId="77777777" w:rsidR="00241093" w:rsidRPr="000925A8" w:rsidRDefault="00241093">
            <w:pPr>
              <w:spacing w:before="60" w:after="60"/>
              <w:jc w:val="center"/>
              <w:rPr>
                <w:sz w:val="16"/>
              </w:rPr>
            </w:pPr>
            <w:r w:rsidRPr="000925A8">
              <w:rPr>
                <w:sz w:val="16"/>
              </w:rPr>
              <w:t>4,1</w:t>
            </w:r>
          </w:p>
        </w:tc>
        <w:tc>
          <w:tcPr>
            <w:tcW w:w="992" w:type="dxa"/>
            <w:tcBorders>
              <w:top w:val="single" w:sz="4" w:space="0" w:color="auto"/>
              <w:left w:val="single" w:sz="6" w:space="0" w:color="000000"/>
              <w:bottom w:val="single" w:sz="6" w:space="0" w:color="000000"/>
              <w:right w:val="single" w:sz="6" w:space="0" w:color="000000"/>
            </w:tcBorders>
          </w:tcPr>
          <w:p w14:paraId="4BAB4071" w14:textId="77777777" w:rsidR="00241093" w:rsidRPr="000925A8" w:rsidRDefault="00241093">
            <w:pPr>
              <w:spacing w:before="60" w:after="60"/>
              <w:jc w:val="center"/>
              <w:rPr>
                <w:sz w:val="16"/>
              </w:rPr>
            </w:pPr>
            <w:r w:rsidRPr="000925A8">
              <w:rPr>
                <w:sz w:val="16"/>
              </w:rPr>
              <w:t>2,5–5,5</w:t>
            </w:r>
          </w:p>
        </w:tc>
        <w:tc>
          <w:tcPr>
            <w:tcW w:w="567" w:type="dxa"/>
            <w:tcBorders>
              <w:top w:val="single" w:sz="4" w:space="0" w:color="auto"/>
              <w:left w:val="single" w:sz="6" w:space="0" w:color="000000"/>
              <w:bottom w:val="single" w:sz="6" w:space="0" w:color="000000"/>
              <w:right w:val="single" w:sz="6" w:space="0" w:color="000000"/>
            </w:tcBorders>
          </w:tcPr>
          <w:p w14:paraId="03D403B9" w14:textId="77777777" w:rsidR="00241093" w:rsidRPr="000925A8" w:rsidRDefault="00241093">
            <w:pPr>
              <w:spacing w:before="60" w:after="60"/>
              <w:jc w:val="center"/>
              <w:rPr>
                <w:sz w:val="16"/>
              </w:rPr>
            </w:pPr>
            <w:r w:rsidRPr="000925A8">
              <w:rPr>
                <w:sz w:val="16"/>
              </w:rPr>
              <w:t>13</w:t>
            </w:r>
          </w:p>
        </w:tc>
      </w:tr>
    </w:tbl>
    <w:p w14:paraId="3F01516F" w14:textId="77777777" w:rsidR="00241093" w:rsidRPr="000925A8" w:rsidRDefault="00241093">
      <w:r w:rsidRPr="000925A8">
        <w:t>En analys av sambanden mellan de länsvisa medelvärdena för detalj- respe</w:t>
      </w:r>
      <w:r w:rsidRPr="000925A8">
        <w:t>k</w:t>
      </w:r>
      <w:r w:rsidRPr="000925A8">
        <w:t>tive översiktsplaneringen visar att detta är förhållandevis starkt positivt för samtliga variabler. Länsstyrelser som får höga värden för sina insatser i öve</w:t>
      </w:r>
      <w:r w:rsidRPr="000925A8">
        <w:t>r</w:t>
      </w:r>
      <w:r w:rsidRPr="000925A8">
        <w:t>siktsplaneringen får som regel också höga värden för detaljplaneringen. Låga värden för översiktsplaneringen innebär ofta låga värden för detaljplanerin</w:t>
      </w:r>
      <w:r w:rsidRPr="000925A8">
        <w:t>g</w:t>
      </w:r>
      <w:r w:rsidRPr="000925A8">
        <w:t>en.</w:t>
      </w:r>
      <w:r w:rsidRPr="000925A8">
        <w:rPr>
          <w:rStyle w:val="Fotnotsreferens"/>
        </w:rPr>
        <w:footnoteReference w:id="126"/>
      </w:r>
    </w:p>
    <w:p w14:paraId="309DEA10" w14:textId="77777777" w:rsidR="00241093" w:rsidRPr="000925A8" w:rsidRDefault="00241093">
      <w:pPr>
        <w:pStyle w:val="Normaltindrag"/>
      </w:pPr>
    </w:p>
    <w:p w14:paraId="35294061" w14:textId="77777777" w:rsidR="00241093" w:rsidRPr="000925A8" w:rsidRDefault="00241093">
      <w:pPr>
        <w:pStyle w:val="R3"/>
        <w:spacing w:before="0"/>
      </w:pPr>
      <w:r w:rsidRPr="000925A8">
        <w:t>Variationen mellan olika kommuntyper</w:t>
      </w:r>
    </w:p>
    <w:p w14:paraId="0A97978B" w14:textId="77777777" w:rsidR="00241093" w:rsidRPr="000925A8" w:rsidRDefault="00241093">
      <w:pPr>
        <w:spacing w:before="0"/>
      </w:pPr>
      <w:r w:rsidRPr="000925A8">
        <w:t>Olika kommuntypers sätt att se på länsstyrelsens arbete med mellankomm</w:t>
      </w:r>
      <w:r w:rsidRPr="000925A8">
        <w:t>u</w:t>
      </w:r>
      <w:r w:rsidRPr="000925A8">
        <w:t>nala frågor i detal</w:t>
      </w:r>
      <w:r w:rsidRPr="000925A8">
        <w:t>j</w:t>
      </w:r>
      <w:r w:rsidRPr="000925A8">
        <w:t>planeringen redovisas i tabell 6.6.</w:t>
      </w:r>
    </w:p>
    <w:p w14:paraId="749D5BDA" w14:textId="77777777" w:rsidR="00241093" w:rsidRPr="000925A8" w:rsidRDefault="00241093">
      <w:pPr>
        <w:pStyle w:val="Normaltindrag"/>
      </w:pPr>
    </w:p>
    <w:p w14:paraId="53D9A86A" w14:textId="77777777" w:rsidR="00241093" w:rsidRPr="000925A8" w:rsidRDefault="00241093">
      <w:r w:rsidRPr="000925A8">
        <w:rPr>
          <w:b/>
        </w:rPr>
        <w:br w:type="page"/>
        <w:t>Tabell 6.6</w:t>
      </w:r>
      <w:r w:rsidRPr="000925A8">
        <w:t xml:space="preserve"> Olika kommuntypers syn på länsstyrelsens arbete för att främja en lämplig kommunal samordning i den kommunala </w:t>
      </w:r>
      <w:r w:rsidRPr="000925A8">
        <w:rPr>
          <w:i/>
        </w:rPr>
        <w:t>detaljplan</w:t>
      </w:r>
      <w:r w:rsidRPr="000925A8">
        <w:rPr>
          <w:i/>
        </w:rPr>
        <w:t>e</w:t>
      </w:r>
      <w:r w:rsidRPr="000925A8">
        <w:rPr>
          <w:i/>
        </w:rPr>
        <w:t>ringen*</w:t>
      </w: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993"/>
        <w:gridCol w:w="425"/>
        <w:gridCol w:w="567"/>
        <w:gridCol w:w="425"/>
        <w:gridCol w:w="567"/>
        <w:gridCol w:w="567"/>
        <w:gridCol w:w="567"/>
        <w:gridCol w:w="567"/>
        <w:gridCol w:w="567"/>
        <w:gridCol w:w="709"/>
      </w:tblGrid>
      <w:tr w:rsidR="00000000" w:rsidRPr="000925A8" w14:paraId="34FBE39F" w14:textId="77777777">
        <w:tblPrEx>
          <w:tblCellMar>
            <w:top w:w="0" w:type="dxa"/>
            <w:bottom w:w="0" w:type="dxa"/>
          </w:tblCellMar>
        </w:tblPrEx>
        <w:tc>
          <w:tcPr>
            <w:tcW w:w="993" w:type="dxa"/>
          </w:tcPr>
          <w:p w14:paraId="601ECBD7" w14:textId="77777777" w:rsidR="00241093" w:rsidRPr="000925A8" w:rsidRDefault="00241093">
            <w:pPr>
              <w:jc w:val="left"/>
              <w:rPr>
                <w:b/>
                <w:sz w:val="16"/>
              </w:rPr>
            </w:pPr>
          </w:p>
        </w:tc>
        <w:tc>
          <w:tcPr>
            <w:tcW w:w="425" w:type="dxa"/>
          </w:tcPr>
          <w:p w14:paraId="187ECF13" w14:textId="77777777" w:rsidR="00241093" w:rsidRPr="000925A8" w:rsidRDefault="00241093">
            <w:pPr>
              <w:pStyle w:val="Brdtext"/>
              <w:spacing w:after="0"/>
              <w:jc w:val="center"/>
              <w:rPr>
                <w:b/>
                <w:color w:val="auto"/>
                <w:sz w:val="16"/>
              </w:rPr>
            </w:pPr>
            <w:r w:rsidRPr="000925A8">
              <w:rPr>
                <w:b/>
                <w:color w:val="auto"/>
                <w:sz w:val="16"/>
              </w:rPr>
              <w:t>Alla</w:t>
            </w:r>
          </w:p>
        </w:tc>
        <w:tc>
          <w:tcPr>
            <w:tcW w:w="567" w:type="dxa"/>
          </w:tcPr>
          <w:p w14:paraId="53DAC8D1" w14:textId="77777777" w:rsidR="00241093" w:rsidRPr="000925A8" w:rsidRDefault="00241093">
            <w:pPr>
              <w:pStyle w:val="Brdtext"/>
              <w:spacing w:after="0"/>
              <w:jc w:val="center"/>
              <w:rPr>
                <w:b/>
                <w:color w:val="auto"/>
                <w:sz w:val="16"/>
              </w:rPr>
            </w:pPr>
            <w:r w:rsidRPr="000925A8">
              <w:rPr>
                <w:b/>
                <w:color w:val="auto"/>
                <w:sz w:val="16"/>
              </w:rPr>
              <w:t>S</w:t>
            </w:r>
          </w:p>
          <w:p w14:paraId="0B56ED9E" w14:textId="77777777" w:rsidR="00241093" w:rsidRPr="000925A8" w:rsidRDefault="00241093">
            <w:pPr>
              <w:pStyle w:val="Brdtext"/>
              <w:spacing w:after="0"/>
              <w:jc w:val="center"/>
              <w:rPr>
                <w:color w:val="auto"/>
                <w:sz w:val="16"/>
              </w:rPr>
            </w:pPr>
            <w:r w:rsidRPr="000925A8">
              <w:rPr>
                <w:color w:val="auto"/>
                <w:sz w:val="16"/>
              </w:rPr>
              <w:t>(3)**</w:t>
            </w:r>
          </w:p>
        </w:tc>
        <w:tc>
          <w:tcPr>
            <w:tcW w:w="425" w:type="dxa"/>
          </w:tcPr>
          <w:p w14:paraId="20E68B42" w14:textId="77777777" w:rsidR="00241093" w:rsidRPr="000925A8" w:rsidRDefault="00241093">
            <w:pPr>
              <w:pStyle w:val="Brdtext"/>
              <w:spacing w:after="0"/>
              <w:jc w:val="center"/>
              <w:rPr>
                <w:b/>
                <w:color w:val="auto"/>
                <w:sz w:val="16"/>
              </w:rPr>
            </w:pPr>
            <w:r w:rsidRPr="000925A8">
              <w:rPr>
                <w:b/>
                <w:color w:val="auto"/>
                <w:sz w:val="16"/>
              </w:rPr>
              <w:t>SS</w:t>
            </w:r>
          </w:p>
          <w:p w14:paraId="47793A0B" w14:textId="77777777" w:rsidR="00241093" w:rsidRPr="000925A8" w:rsidRDefault="00241093">
            <w:pPr>
              <w:pStyle w:val="Brdtext"/>
              <w:spacing w:after="0"/>
              <w:jc w:val="center"/>
              <w:rPr>
                <w:b/>
                <w:color w:val="auto"/>
                <w:sz w:val="16"/>
              </w:rPr>
            </w:pPr>
            <w:r w:rsidRPr="000925A8">
              <w:rPr>
                <w:color w:val="auto"/>
                <w:sz w:val="16"/>
              </w:rPr>
              <w:t>(8)</w:t>
            </w:r>
          </w:p>
        </w:tc>
        <w:tc>
          <w:tcPr>
            <w:tcW w:w="567" w:type="dxa"/>
          </w:tcPr>
          <w:p w14:paraId="10B49463" w14:textId="77777777" w:rsidR="00241093" w:rsidRPr="000925A8" w:rsidRDefault="00241093">
            <w:pPr>
              <w:pStyle w:val="Brdtext"/>
              <w:spacing w:after="0"/>
              <w:jc w:val="center"/>
              <w:rPr>
                <w:b/>
                <w:color w:val="auto"/>
                <w:sz w:val="16"/>
              </w:rPr>
            </w:pPr>
            <w:r w:rsidRPr="000925A8">
              <w:rPr>
                <w:b/>
                <w:color w:val="auto"/>
                <w:sz w:val="16"/>
              </w:rPr>
              <w:t xml:space="preserve">MS </w:t>
            </w:r>
          </w:p>
          <w:p w14:paraId="7AAD4C04" w14:textId="77777777" w:rsidR="00241093" w:rsidRPr="000925A8" w:rsidRDefault="00241093">
            <w:pPr>
              <w:pStyle w:val="Brdtext"/>
              <w:spacing w:after="0"/>
              <w:jc w:val="center"/>
              <w:rPr>
                <w:color w:val="auto"/>
                <w:sz w:val="16"/>
              </w:rPr>
            </w:pPr>
            <w:r w:rsidRPr="000925A8">
              <w:rPr>
                <w:color w:val="auto"/>
                <w:sz w:val="16"/>
              </w:rPr>
              <w:t>(7)</w:t>
            </w:r>
          </w:p>
        </w:tc>
        <w:tc>
          <w:tcPr>
            <w:tcW w:w="567" w:type="dxa"/>
          </w:tcPr>
          <w:p w14:paraId="654A1C2E" w14:textId="77777777" w:rsidR="00241093" w:rsidRPr="000925A8" w:rsidRDefault="00241093">
            <w:pPr>
              <w:pStyle w:val="Brdtext"/>
              <w:spacing w:after="0"/>
              <w:jc w:val="center"/>
              <w:rPr>
                <w:b/>
                <w:color w:val="auto"/>
                <w:sz w:val="16"/>
              </w:rPr>
            </w:pPr>
            <w:r w:rsidRPr="000925A8">
              <w:rPr>
                <w:b/>
                <w:color w:val="auto"/>
                <w:sz w:val="16"/>
              </w:rPr>
              <w:t>FK</w:t>
            </w:r>
          </w:p>
          <w:p w14:paraId="6727EBBF" w14:textId="77777777" w:rsidR="00241093" w:rsidRPr="000925A8" w:rsidRDefault="00241093">
            <w:pPr>
              <w:pStyle w:val="Brdtext"/>
              <w:spacing w:after="0"/>
              <w:jc w:val="center"/>
              <w:rPr>
                <w:color w:val="auto"/>
                <w:sz w:val="16"/>
              </w:rPr>
            </w:pPr>
            <w:r w:rsidRPr="000925A8">
              <w:rPr>
                <w:color w:val="auto"/>
                <w:sz w:val="16"/>
              </w:rPr>
              <w:t>(5)</w:t>
            </w:r>
          </w:p>
        </w:tc>
        <w:tc>
          <w:tcPr>
            <w:tcW w:w="567" w:type="dxa"/>
          </w:tcPr>
          <w:p w14:paraId="018BF2D4" w14:textId="77777777" w:rsidR="00241093" w:rsidRPr="000925A8" w:rsidRDefault="00241093">
            <w:pPr>
              <w:pStyle w:val="Brdtext"/>
              <w:spacing w:after="0"/>
              <w:jc w:val="center"/>
              <w:rPr>
                <w:b/>
                <w:color w:val="auto"/>
                <w:sz w:val="16"/>
              </w:rPr>
            </w:pPr>
            <w:r w:rsidRPr="000925A8">
              <w:rPr>
                <w:b/>
                <w:color w:val="auto"/>
                <w:sz w:val="16"/>
              </w:rPr>
              <w:t>ÖSK</w:t>
            </w:r>
          </w:p>
          <w:p w14:paraId="70EF6CD4" w14:textId="77777777" w:rsidR="00241093" w:rsidRPr="000925A8" w:rsidRDefault="00241093">
            <w:pPr>
              <w:pStyle w:val="Brdtext"/>
              <w:spacing w:after="0"/>
              <w:jc w:val="center"/>
              <w:rPr>
                <w:color w:val="auto"/>
                <w:sz w:val="16"/>
              </w:rPr>
            </w:pPr>
            <w:r w:rsidRPr="000925A8">
              <w:rPr>
                <w:color w:val="auto"/>
                <w:sz w:val="16"/>
              </w:rPr>
              <w:t>(5)</w:t>
            </w:r>
          </w:p>
        </w:tc>
        <w:tc>
          <w:tcPr>
            <w:tcW w:w="567" w:type="dxa"/>
          </w:tcPr>
          <w:p w14:paraId="2C2EFB9A" w14:textId="77777777" w:rsidR="00241093" w:rsidRPr="000925A8" w:rsidRDefault="00241093">
            <w:pPr>
              <w:pStyle w:val="Brdtext"/>
              <w:spacing w:after="0"/>
              <w:jc w:val="center"/>
              <w:rPr>
                <w:b/>
                <w:color w:val="auto"/>
                <w:sz w:val="16"/>
              </w:rPr>
            </w:pPr>
            <w:r w:rsidRPr="000925A8">
              <w:rPr>
                <w:b/>
                <w:color w:val="auto"/>
                <w:sz w:val="16"/>
              </w:rPr>
              <w:t>LBK</w:t>
            </w:r>
          </w:p>
          <w:p w14:paraId="21770842" w14:textId="77777777" w:rsidR="00241093" w:rsidRPr="000925A8" w:rsidRDefault="00241093">
            <w:pPr>
              <w:pStyle w:val="Brdtext"/>
              <w:spacing w:after="0"/>
              <w:jc w:val="center"/>
              <w:rPr>
                <w:color w:val="auto"/>
                <w:sz w:val="16"/>
              </w:rPr>
            </w:pPr>
            <w:r w:rsidRPr="000925A8">
              <w:rPr>
                <w:color w:val="auto"/>
                <w:sz w:val="16"/>
              </w:rPr>
              <w:t>(4)</w:t>
            </w:r>
          </w:p>
        </w:tc>
        <w:tc>
          <w:tcPr>
            <w:tcW w:w="567" w:type="dxa"/>
          </w:tcPr>
          <w:p w14:paraId="6E848020" w14:textId="77777777" w:rsidR="00241093" w:rsidRPr="000925A8" w:rsidRDefault="00241093">
            <w:pPr>
              <w:pStyle w:val="Brdtext"/>
              <w:spacing w:after="0"/>
              <w:jc w:val="center"/>
              <w:rPr>
                <w:b/>
                <w:color w:val="auto"/>
                <w:sz w:val="16"/>
              </w:rPr>
            </w:pPr>
            <w:r w:rsidRPr="000925A8">
              <w:rPr>
                <w:b/>
                <w:color w:val="auto"/>
                <w:sz w:val="16"/>
              </w:rPr>
              <w:t>S</w:t>
            </w:r>
          </w:p>
          <w:p w14:paraId="6C3435A5" w14:textId="77777777" w:rsidR="00241093" w:rsidRPr="000925A8" w:rsidRDefault="00241093">
            <w:pPr>
              <w:pStyle w:val="Brdtext"/>
              <w:spacing w:after="0"/>
              <w:jc w:val="center"/>
              <w:rPr>
                <w:b/>
                <w:color w:val="auto"/>
                <w:sz w:val="16"/>
              </w:rPr>
            </w:pPr>
            <w:r w:rsidRPr="000925A8">
              <w:rPr>
                <w:b/>
                <w:color w:val="auto"/>
                <w:sz w:val="16"/>
              </w:rPr>
              <w:t>SS</w:t>
            </w:r>
          </w:p>
          <w:p w14:paraId="29FAFC0B" w14:textId="77777777" w:rsidR="00241093" w:rsidRPr="000925A8" w:rsidRDefault="00241093">
            <w:pPr>
              <w:pStyle w:val="Brdtext"/>
              <w:spacing w:after="0"/>
              <w:jc w:val="center"/>
              <w:rPr>
                <w:b/>
                <w:color w:val="auto"/>
                <w:sz w:val="16"/>
              </w:rPr>
            </w:pPr>
            <w:r w:rsidRPr="000925A8">
              <w:rPr>
                <w:b/>
                <w:color w:val="auto"/>
                <w:sz w:val="16"/>
              </w:rPr>
              <w:t>MS</w:t>
            </w:r>
          </w:p>
          <w:p w14:paraId="1CA40AA4" w14:textId="77777777" w:rsidR="00241093" w:rsidRPr="000925A8" w:rsidRDefault="00241093">
            <w:pPr>
              <w:pStyle w:val="Brdtext"/>
              <w:spacing w:after="0"/>
              <w:jc w:val="center"/>
              <w:rPr>
                <w:color w:val="auto"/>
                <w:sz w:val="16"/>
              </w:rPr>
            </w:pPr>
            <w:r w:rsidRPr="000925A8">
              <w:rPr>
                <w:color w:val="auto"/>
                <w:sz w:val="16"/>
              </w:rPr>
              <w:t>(18)</w:t>
            </w:r>
          </w:p>
        </w:tc>
        <w:tc>
          <w:tcPr>
            <w:tcW w:w="709" w:type="dxa"/>
          </w:tcPr>
          <w:p w14:paraId="5C38E47B" w14:textId="77777777" w:rsidR="00241093" w:rsidRPr="000925A8" w:rsidRDefault="00241093">
            <w:pPr>
              <w:pStyle w:val="Brdtext"/>
              <w:spacing w:after="0"/>
              <w:jc w:val="center"/>
              <w:rPr>
                <w:b/>
                <w:color w:val="auto"/>
                <w:sz w:val="16"/>
              </w:rPr>
            </w:pPr>
            <w:r w:rsidRPr="000925A8">
              <w:rPr>
                <w:b/>
                <w:color w:val="auto"/>
                <w:sz w:val="16"/>
              </w:rPr>
              <w:t>GBK</w:t>
            </w:r>
          </w:p>
          <w:p w14:paraId="0DA237A6" w14:textId="77777777" w:rsidR="00241093" w:rsidRPr="000925A8" w:rsidRDefault="00241093">
            <w:pPr>
              <w:pStyle w:val="Brdtext"/>
              <w:spacing w:after="0"/>
              <w:jc w:val="center"/>
              <w:rPr>
                <w:b/>
                <w:color w:val="auto"/>
                <w:sz w:val="16"/>
              </w:rPr>
            </w:pPr>
            <w:r w:rsidRPr="000925A8">
              <w:rPr>
                <w:b/>
                <w:color w:val="auto"/>
                <w:sz w:val="16"/>
              </w:rPr>
              <w:t>LBK</w:t>
            </w:r>
          </w:p>
          <w:p w14:paraId="233DA38A" w14:textId="77777777" w:rsidR="00241093" w:rsidRPr="000925A8" w:rsidRDefault="00241093">
            <w:pPr>
              <w:pStyle w:val="Brdtext"/>
              <w:spacing w:after="0"/>
              <w:jc w:val="center"/>
              <w:rPr>
                <w:b/>
                <w:color w:val="auto"/>
                <w:sz w:val="16"/>
              </w:rPr>
            </w:pPr>
            <w:r w:rsidRPr="000925A8">
              <w:rPr>
                <w:b/>
                <w:color w:val="auto"/>
                <w:sz w:val="16"/>
              </w:rPr>
              <w:t>ÖMK</w:t>
            </w:r>
          </w:p>
          <w:p w14:paraId="0EB79C82" w14:textId="77777777" w:rsidR="00241093" w:rsidRPr="000925A8" w:rsidRDefault="00241093">
            <w:pPr>
              <w:pStyle w:val="Brdtext"/>
              <w:spacing w:after="0"/>
              <w:jc w:val="center"/>
              <w:rPr>
                <w:color w:val="auto"/>
                <w:sz w:val="16"/>
              </w:rPr>
            </w:pPr>
            <w:r w:rsidRPr="000925A8">
              <w:rPr>
                <w:color w:val="auto"/>
                <w:sz w:val="16"/>
              </w:rPr>
              <w:t>(6)</w:t>
            </w:r>
          </w:p>
        </w:tc>
      </w:tr>
      <w:tr w:rsidR="00000000" w:rsidRPr="000925A8" w14:paraId="6C24EBE6" w14:textId="77777777">
        <w:tblPrEx>
          <w:tblCellMar>
            <w:top w:w="0" w:type="dxa"/>
            <w:bottom w:w="0" w:type="dxa"/>
          </w:tblCellMar>
        </w:tblPrEx>
        <w:tc>
          <w:tcPr>
            <w:tcW w:w="993" w:type="dxa"/>
          </w:tcPr>
          <w:p w14:paraId="3E580DAC" w14:textId="77777777" w:rsidR="00241093" w:rsidRPr="000925A8" w:rsidRDefault="00241093">
            <w:pPr>
              <w:spacing w:before="60" w:after="60"/>
              <w:jc w:val="left"/>
              <w:rPr>
                <w:b/>
                <w:sz w:val="16"/>
              </w:rPr>
            </w:pPr>
            <w:r w:rsidRPr="000925A8">
              <w:rPr>
                <w:b/>
                <w:sz w:val="16"/>
              </w:rPr>
              <w:t>Bet</w:t>
            </w:r>
            <w:r w:rsidRPr="000925A8">
              <w:rPr>
                <w:b/>
                <w:sz w:val="16"/>
              </w:rPr>
              <w:t>y</w:t>
            </w:r>
            <w:r w:rsidRPr="000925A8">
              <w:rPr>
                <w:b/>
                <w:sz w:val="16"/>
              </w:rPr>
              <w:t xml:space="preserve">delse </w:t>
            </w:r>
          </w:p>
        </w:tc>
        <w:tc>
          <w:tcPr>
            <w:tcW w:w="425" w:type="dxa"/>
          </w:tcPr>
          <w:p w14:paraId="53116131" w14:textId="77777777" w:rsidR="00241093" w:rsidRPr="000925A8" w:rsidRDefault="00241093">
            <w:pPr>
              <w:pStyle w:val="Punkter"/>
              <w:spacing w:before="60" w:after="60"/>
              <w:jc w:val="center"/>
              <w:rPr>
                <w:sz w:val="16"/>
              </w:rPr>
            </w:pPr>
            <w:r w:rsidRPr="000925A8">
              <w:rPr>
                <w:sz w:val="16"/>
              </w:rPr>
              <w:t>4,0</w:t>
            </w:r>
          </w:p>
        </w:tc>
        <w:tc>
          <w:tcPr>
            <w:tcW w:w="567" w:type="dxa"/>
          </w:tcPr>
          <w:p w14:paraId="5CCA693E" w14:textId="77777777" w:rsidR="00241093" w:rsidRPr="000925A8" w:rsidRDefault="00241093">
            <w:pPr>
              <w:pStyle w:val="Brdtext"/>
              <w:spacing w:before="60" w:after="60"/>
              <w:jc w:val="center"/>
              <w:rPr>
                <w:color w:val="auto"/>
                <w:sz w:val="16"/>
              </w:rPr>
            </w:pPr>
            <w:r w:rsidRPr="000925A8">
              <w:rPr>
                <w:color w:val="auto"/>
                <w:sz w:val="16"/>
              </w:rPr>
              <w:t>4,3</w:t>
            </w:r>
          </w:p>
        </w:tc>
        <w:tc>
          <w:tcPr>
            <w:tcW w:w="425" w:type="dxa"/>
          </w:tcPr>
          <w:p w14:paraId="5C34648F" w14:textId="77777777" w:rsidR="00241093" w:rsidRPr="000925A8" w:rsidRDefault="00241093">
            <w:pPr>
              <w:pStyle w:val="Brdtext"/>
              <w:spacing w:before="60" w:after="60"/>
              <w:jc w:val="center"/>
              <w:rPr>
                <w:color w:val="auto"/>
                <w:sz w:val="16"/>
              </w:rPr>
            </w:pPr>
            <w:r w:rsidRPr="000925A8">
              <w:rPr>
                <w:color w:val="auto"/>
                <w:sz w:val="16"/>
              </w:rPr>
              <w:t xml:space="preserve">4,0 </w:t>
            </w:r>
          </w:p>
        </w:tc>
        <w:tc>
          <w:tcPr>
            <w:tcW w:w="567" w:type="dxa"/>
          </w:tcPr>
          <w:p w14:paraId="6102B783" w14:textId="77777777" w:rsidR="00241093" w:rsidRPr="000925A8" w:rsidRDefault="00241093">
            <w:pPr>
              <w:pStyle w:val="Brdtext"/>
              <w:spacing w:before="60" w:after="60"/>
              <w:jc w:val="center"/>
              <w:rPr>
                <w:color w:val="auto"/>
                <w:sz w:val="16"/>
              </w:rPr>
            </w:pPr>
            <w:r w:rsidRPr="000925A8">
              <w:rPr>
                <w:color w:val="auto"/>
                <w:sz w:val="16"/>
              </w:rPr>
              <w:t>3,3</w:t>
            </w:r>
          </w:p>
        </w:tc>
        <w:tc>
          <w:tcPr>
            <w:tcW w:w="567" w:type="dxa"/>
          </w:tcPr>
          <w:p w14:paraId="4046F634" w14:textId="77777777" w:rsidR="00241093" w:rsidRPr="000925A8" w:rsidRDefault="00241093">
            <w:pPr>
              <w:pStyle w:val="Brdtext"/>
              <w:spacing w:before="60" w:after="60"/>
              <w:jc w:val="center"/>
              <w:rPr>
                <w:color w:val="auto"/>
                <w:sz w:val="16"/>
              </w:rPr>
            </w:pPr>
            <w:r w:rsidRPr="000925A8">
              <w:rPr>
                <w:color w:val="auto"/>
                <w:sz w:val="16"/>
              </w:rPr>
              <w:t>4,8</w:t>
            </w:r>
          </w:p>
        </w:tc>
        <w:tc>
          <w:tcPr>
            <w:tcW w:w="567" w:type="dxa"/>
          </w:tcPr>
          <w:p w14:paraId="7D600C04" w14:textId="77777777" w:rsidR="00241093" w:rsidRPr="000925A8" w:rsidRDefault="00241093">
            <w:pPr>
              <w:pStyle w:val="Brdtext"/>
              <w:spacing w:before="60" w:after="60"/>
              <w:jc w:val="center"/>
              <w:rPr>
                <w:color w:val="auto"/>
                <w:sz w:val="16"/>
              </w:rPr>
            </w:pPr>
            <w:r w:rsidRPr="000925A8">
              <w:rPr>
                <w:color w:val="auto"/>
                <w:sz w:val="16"/>
              </w:rPr>
              <w:t>4,2</w:t>
            </w:r>
          </w:p>
        </w:tc>
        <w:tc>
          <w:tcPr>
            <w:tcW w:w="567" w:type="dxa"/>
          </w:tcPr>
          <w:p w14:paraId="68BA0191" w14:textId="77777777" w:rsidR="00241093" w:rsidRPr="000925A8" w:rsidRDefault="00241093">
            <w:pPr>
              <w:pStyle w:val="Brdtext"/>
              <w:spacing w:before="60" w:after="60"/>
              <w:jc w:val="center"/>
              <w:rPr>
                <w:color w:val="auto"/>
                <w:sz w:val="16"/>
              </w:rPr>
            </w:pPr>
            <w:r w:rsidRPr="000925A8">
              <w:rPr>
                <w:color w:val="auto"/>
                <w:sz w:val="16"/>
              </w:rPr>
              <w:t>3,5</w:t>
            </w:r>
          </w:p>
        </w:tc>
        <w:tc>
          <w:tcPr>
            <w:tcW w:w="567" w:type="dxa"/>
          </w:tcPr>
          <w:p w14:paraId="42DB0B4A" w14:textId="77777777" w:rsidR="00241093" w:rsidRPr="000925A8" w:rsidRDefault="00241093">
            <w:pPr>
              <w:pStyle w:val="Brdtext"/>
              <w:spacing w:before="60" w:after="60"/>
              <w:jc w:val="center"/>
              <w:rPr>
                <w:color w:val="auto"/>
                <w:sz w:val="16"/>
              </w:rPr>
            </w:pPr>
            <w:r w:rsidRPr="000925A8">
              <w:rPr>
                <w:color w:val="auto"/>
                <w:sz w:val="16"/>
              </w:rPr>
              <w:t>3,8</w:t>
            </w:r>
          </w:p>
        </w:tc>
        <w:tc>
          <w:tcPr>
            <w:tcW w:w="709" w:type="dxa"/>
          </w:tcPr>
          <w:p w14:paraId="684CFA22" w14:textId="77777777" w:rsidR="00241093" w:rsidRPr="000925A8" w:rsidRDefault="00241093">
            <w:pPr>
              <w:pStyle w:val="Brdtext"/>
              <w:spacing w:before="60" w:after="60"/>
              <w:jc w:val="center"/>
              <w:rPr>
                <w:color w:val="auto"/>
                <w:sz w:val="16"/>
              </w:rPr>
            </w:pPr>
            <w:r w:rsidRPr="000925A8">
              <w:rPr>
                <w:color w:val="auto"/>
                <w:sz w:val="16"/>
              </w:rPr>
              <w:t>4,0</w:t>
            </w:r>
          </w:p>
        </w:tc>
      </w:tr>
      <w:tr w:rsidR="00000000" w:rsidRPr="000925A8" w14:paraId="46186567" w14:textId="77777777">
        <w:tblPrEx>
          <w:tblCellMar>
            <w:top w:w="0" w:type="dxa"/>
            <w:bottom w:w="0" w:type="dxa"/>
          </w:tblCellMar>
        </w:tblPrEx>
        <w:tc>
          <w:tcPr>
            <w:tcW w:w="993" w:type="dxa"/>
          </w:tcPr>
          <w:p w14:paraId="5F7AD8EE" w14:textId="77777777" w:rsidR="00241093" w:rsidRPr="000925A8" w:rsidRDefault="00241093">
            <w:pPr>
              <w:spacing w:before="60" w:after="60"/>
              <w:jc w:val="left"/>
              <w:rPr>
                <w:b/>
                <w:sz w:val="16"/>
              </w:rPr>
            </w:pPr>
            <w:r w:rsidRPr="000925A8">
              <w:rPr>
                <w:b/>
                <w:sz w:val="16"/>
              </w:rPr>
              <w:t>Omfat</w:t>
            </w:r>
            <w:r w:rsidRPr="000925A8">
              <w:rPr>
                <w:b/>
                <w:sz w:val="16"/>
              </w:rPr>
              <w:t>t</w:t>
            </w:r>
            <w:r w:rsidRPr="000925A8">
              <w:rPr>
                <w:b/>
                <w:sz w:val="16"/>
              </w:rPr>
              <w:t>ning</w:t>
            </w:r>
          </w:p>
        </w:tc>
        <w:tc>
          <w:tcPr>
            <w:tcW w:w="425" w:type="dxa"/>
          </w:tcPr>
          <w:p w14:paraId="06E0FE67" w14:textId="77777777" w:rsidR="00241093" w:rsidRPr="000925A8" w:rsidRDefault="00241093">
            <w:pPr>
              <w:spacing w:before="60" w:after="60"/>
              <w:jc w:val="center"/>
              <w:rPr>
                <w:sz w:val="16"/>
              </w:rPr>
            </w:pPr>
            <w:r w:rsidRPr="000925A8">
              <w:rPr>
                <w:sz w:val="16"/>
              </w:rPr>
              <w:t>3,0</w:t>
            </w:r>
          </w:p>
        </w:tc>
        <w:tc>
          <w:tcPr>
            <w:tcW w:w="567" w:type="dxa"/>
          </w:tcPr>
          <w:p w14:paraId="008C6407" w14:textId="77777777" w:rsidR="00241093" w:rsidRPr="000925A8" w:rsidRDefault="00241093">
            <w:pPr>
              <w:pStyle w:val="Brdtext"/>
              <w:spacing w:before="60" w:after="60"/>
              <w:jc w:val="center"/>
              <w:rPr>
                <w:color w:val="auto"/>
                <w:sz w:val="16"/>
              </w:rPr>
            </w:pPr>
            <w:r w:rsidRPr="000925A8">
              <w:rPr>
                <w:color w:val="auto"/>
                <w:sz w:val="16"/>
              </w:rPr>
              <w:t>3,0</w:t>
            </w:r>
          </w:p>
        </w:tc>
        <w:tc>
          <w:tcPr>
            <w:tcW w:w="425" w:type="dxa"/>
          </w:tcPr>
          <w:p w14:paraId="24E61345" w14:textId="77777777" w:rsidR="00241093" w:rsidRPr="000925A8" w:rsidRDefault="00241093">
            <w:pPr>
              <w:pStyle w:val="Brdtext"/>
              <w:spacing w:before="60" w:after="60"/>
              <w:jc w:val="center"/>
              <w:rPr>
                <w:color w:val="auto"/>
                <w:sz w:val="16"/>
              </w:rPr>
            </w:pPr>
            <w:r w:rsidRPr="000925A8">
              <w:rPr>
                <w:color w:val="auto"/>
                <w:sz w:val="16"/>
              </w:rPr>
              <w:t>2,6</w:t>
            </w:r>
          </w:p>
        </w:tc>
        <w:tc>
          <w:tcPr>
            <w:tcW w:w="567" w:type="dxa"/>
          </w:tcPr>
          <w:p w14:paraId="297E16C9" w14:textId="77777777" w:rsidR="00241093" w:rsidRPr="000925A8" w:rsidRDefault="00241093">
            <w:pPr>
              <w:pStyle w:val="Brdtext"/>
              <w:spacing w:before="60" w:after="60"/>
              <w:jc w:val="center"/>
              <w:rPr>
                <w:color w:val="auto"/>
                <w:sz w:val="16"/>
              </w:rPr>
            </w:pPr>
            <w:r w:rsidRPr="000925A8">
              <w:rPr>
                <w:color w:val="auto"/>
                <w:sz w:val="16"/>
              </w:rPr>
              <w:t>2,6</w:t>
            </w:r>
          </w:p>
        </w:tc>
        <w:tc>
          <w:tcPr>
            <w:tcW w:w="567" w:type="dxa"/>
          </w:tcPr>
          <w:p w14:paraId="653CDE64" w14:textId="77777777" w:rsidR="00241093" w:rsidRPr="000925A8" w:rsidRDefault="00241093">
            <w:pPr>
              <w:pStyle w:val="Brdtext"/>
              <w:spacing w:before="60" w:after="60"/>
              <w:jc w:val="center"/>
              <w:rPr>
                <w:color w:val="auto"/>
                <w:sz w:val="16"/>
              </w:rPr>
            </w:pPr>
            <w:r w:rsidRPr="000925A8">
              <w:rPr>
                <w:color w:val="auto"/>
                <w:sz w:val="16"/>
              </w:rPr>
              <w:t>3,4</w:t>
            </w:r>
          </w:p>
        </w:tc>
        <w:tc>
          <w:tcPr>
            <w:tcW w:w="567" w:type="dxa"/>
          </w:tcPr>
          <w:p w14:paraId="6B2CA1D1" w14:textId="77777777" w:rsidR="00241093" w:rsidRPr="000925A8" w:rsidRDefault="00241093">
            <w:pPr>
              <w:pStyle w:val="Brdtext"/>
              <w:spacing w:before="60" w:after="60"/>
              <w:jc w:val="center"/>
              <w:rPr>
                <w:color w:val="auto"/>
                <w:sz w:val="16"/>
              </w:rPr>
            </w:pPr>
            <w:r w:rsidRPr="000925A8">
              <w:rPr>
                <w:color w:val="auto"/>
                <w:sz w:val="16"/>
              </w:rPr>
              <w:t>3,2</w:t>
            </w:r>
          </w:p>
        </w:tc>
        <w:tc>
          <w:tcPr>
            <w:tcW w:w="567" w:type="dxa"/>
          </w:tcPr>
          <w:p w14:paraId="2A48BE45" w14:textId="77777777" w:rsidR="00241093" w:rsidRPr="000925A8" w:rsidRDefault="00241093">
            <w:pPr>
              <w:pStyle w:val="Brdtext"/>
              <w:spacing w:before="60" w:after="60"/>
              <w:jc w:val="center"/>
              <w:rPr>
                <w:color w:val="auto"/>
                <w:sz w:val="16"/>
              </w:rPr>
            </w:pPr>
            <w:r w:rsidRPr="000925A8">
              <w:rPr>
                <w:color w:val="auto"/>
                <w:sz w:val="16"/>
              </w:rPr>
              <w:t>3,25</w:t>
            </w:r>
          </w:p>
        </w:tc>
        <w:tc>
          <w:tcPr>
            <w:tcW w:w="567" w:type="dxa"/>
          </w:tcPr>
          <w:p w14:paraId="43B833E9" w14:textId="77777777" w:rsidR="00241093" w:rsidRPr="000925A8" w:rsidRDefault="00241093">
            <w:pPr>
              <w:pStyle w:val="Brdtext"/>
              <w:spacing w:before="60" w:after="60"/>
              <w:jc w:val="center"/>
              <w:rPr>
                <w:color w:val="auto"/>
                <w:sz w:val="16"/>
              </w:rPr>
            </w:pPr>
            <w:r w:rsidRPr="000925A8">
              <w:rPr>
                <w:color w:val="auto"/>
                <w:sz w:val="16"/>
              </w:rPr>
              <w:t>2,7</w:t>
            </w:r>
          </w:p>
        </w:tc>
        <w:tc>
          <w:tcPr>
            <w:tcW w:w="709" w:type="dxa"/>
          </w:tcPr>
          <w:p w14:paraId="0CAC3921" w14:textId="77777777" w:rsidR="00241093" w:rsidRPr="000925A8" w:rsidRDefault="00241093">
            <w:pPr>
              <w:pStyle w:val="Brdtext"/>
              <w:spacing w:before="60" w:after="60"/>
              <w:jc w:val="center"/>
              <w:rPr>
                <w:color w:val="auto"/>
                <w:sz w:val="16"/>
              </w:rPr>
            </w:pPr>
            <w:r w:rsidRPr="000925A8">
              <w:rPr>
                <w:color w:val="auto"/>
                <w:sz w:val="16"/>
              </w:rPr>
              <w:t>3,7</w:t>
            </w:r>
          </w:p>
        </w:tc>
      </w:tr>
      <w:tr w:rsidR="00000000" w:rsidRPr="000925A8" w14:paraId="312A2BDF" w14:textId="77777777">
        <w:tblPrEx>
          <w:tblCellMar>
            <w:top w:w="0" w:type="dxa"/>
            <w:bottom w:w="0" w:type="dxa"/>
          </w:tblCellMar>
        </w:tblPrEx>
        <w:tc>
          <w:tcPr>
            <w:tcW w:w="993" w:type="dxa"/>
          </w:tcPr>
          <w:p w14:paraId="30F70606" w14:textId="77777777" w:rsidR="00241093" w:rsidRPr="000925A8" w:rsidRDefault="00241093">
            <w:pPr>
              <w:spacing w:before="60" w:after="60"/>
              <w:jc w:val="left"/>
              <w:rPr>
                <w:b/>
                <w:sz w:val="16"/>
              </w:rPr>
            </w:pPr>
            <w:r w:rsidRPr="000925A8">
              <w:rPr>
                <w:b/>
                <w:sz w:val="16"/>
              </w:rPr>
              <w:t>Tillräc</w:t>
            </w:r>
            <w:r w:rsidRPr="000925A8">
              <w:rPr>
                <w:b/>
                <w:sz w:val="16"/>
              </w:rPr>
              <w:t>k</w:t>
            </w:r>
            <w:r w:rsidRPr="000925A8">
              <w:rPr>
                <w:b/>
                <w:sz w:val="16"/>
              </w:rPr>
              <w:t>ligt</w:t>
            </w:r>
          </w:p>
        </w:tc>
        <w:tc>
          <w:tcPr>
            <w:tcW w:w="425" w:type="dxa"/>
          </w:tcPr>
          <w:p w14:paraId="0FAED359" w14:textId="77777777" w:rsidR="00241093" w:rsidRPr="000925A8" w:rsidRDefault="00241093">
            <w:pPr>
              <w:spacing w:before="60" w:after="60"/>
              <w:jc w:val="center"/>
              <w:rPr>
                <w:sz w:val="16"/>
              </w:rPr>
            </w:pPr>
            <w:r w:rsidRPr="000925A8">
              <w:rPr>
                <w:sz w:val="16"/>
              </w:rPr>
              <w:t>4,5</w:t>
            </w:r>
          </w:p>
        </w:tc>
        <w:tc>
          <w:tcPr>
            <w:tcW w:w="567" w:type="dxa"/>
          </w:tcPr>
          <w:p w14:paraId="40EEB587" w14:textId="77777777" w:rsidR="00241093" w:rsidRPr="000925A8" w:rsidRDefault="00241093">
            <w:pPr>
              <w:pStyle w:val="Brdtext"/>
              <w:spacing w:before="60" w:after="60"/>
              <w:jc w:val="center"/>
              <w:rPr>
                <w:color w:val="auto"/>
                <w:sz w:val="16"/>
              </w:rPr>
            </w:pPr>
            <w:r w:rsidRPr="000925A8">
              <w:rPr>
                <w:color w:val="auto"/>
                <w:sz w:val="16"/>
              </w:rPr>
              <w:t>3,7</w:t>
            </w:r>
          </w:p>
        </w:tc>
        <w:tc>
          <w:tcPr>
            <w:tcW w:w="425" w:type="dxa"/>
          </w:tcPr>
          <w:p w14:paraId="20B6DEBA" w14:textId="77777777" w:rsidR="00241093" w:rsidRPr="000925A8" w:rsidRDefault="00241093">
            <w:pPr>
              <w:pStyle w:val="Brdtext"/>
              <w:spacing w:before="60" w:after="60"/>
              <w:jc w:val="center"/>
              <w:rPr>
                <w:color w:val="auto"/>
                <w:sz w:val="16"/>
              </w:rPr>
            </w:pPr>
            <w:r w:rsidRPr="000925A8">
              <w:rPr>
                <w:color w:val="auto"/>
                <w:sz w:val="16"/>
              </w:rPr>
              <w:t>4,6</w:t>
            </w:r>
          </w:p>
        </w:tc>
        <w:tc>
          <w:tcPr>
            <w:tcW w:w="567" w:type="dxa"/>
          </w:tcPr>
          <w:p w14:paraId="228B4184" w14:textId="77777777" w:rsidR="00241093" w:rsidRPr="000925A8" w:rsidRDefault="00241093">
            <w:pPr>
              <w:pStyle w:val="Brdtext"/>
              <w:spacing w:before="60" w:after="60"/>
              <w:jc w:val="center"/>
              <w:rPr>
                <w:color w:val="auto"/>
                <w:sz w:val="16"/>
              </w:rPr>
            </w:pPr>
            <w:r w:rsidRPr="000925A8">
              <w:rPr>
                <w:color w:val="auto"/>
                <w:sz w:val="16"/>
              </w:rPr>
              <w:t>5,1</w:t>
            </w:r>
          </w:p>
        </w:tc>
        <w:tc>
          <w:tcPr>
            <w:tcW w:w="567" w:type="dxa"/>
          </w:tcPr>
          <w:p w14:paraId="535D246B" w14:textId="77777777" w:rsidR="00241093" w:rsidRPr="000925A8" w:rsidRDefault="00241093">
            <w:pPr>
              <w:pStyle w:val="Brdtext"/>
              <w:spacing w:before="60" w:after="60"/>
              <w:jc w:val="center"/>
              <w:rPr>
                <w:color w:val="auto"/>
                <w:sz w:val="16"/>
              </w:rPr>
            </w:pPr>
            <w:r w:rsidRPr="000925A8">
              <w:rPr>
                <w:color w:val="auto"/>
                <w:sz w:val="16"/>
              </w:rPr>
              <w:t>4,4</w:t>
            </w:r>
          </w:p>
        </w:tc>
        <w:tc>
          <w:tcPr>
            <w:tcW w:w="567" w:type="dxa"/>
          </w:tcPr>
          <w:p w14:paraId="374AF0F1" w14:textId="77777777" w:rsidR="00241093" w:rsidRPr="000925A8" w:rsidRDefault="00241093">
            <w:pPr>
              <w:pStyle w:val="Brdtext"/>
              <w:spacing w:before="60" w:after="60"/>
              <w:jc w:val="center"/>
              <w:rPr>
                <w:color w:val="auto"/>
                <w:sz w:val="16"/>
              </w:rPr>
            </w:pPr>
            <w:r w:rsidRPr="000925A8">
              <w:rPr>
                <w:color w:val="auto"/>
                <w:sz w:val="16"/>
              </w:rPr>
              <w:t>3,2</w:t>
            </w:r>
          </w:p>
        </w:tc>
        <w:tc>
          <w:tcPr>
            <w:tcW w:w="567" w:type="dxa"/>
          </w:tcPr>
          <w:p w14:paraId="510A1FBF" w14:textId="77777777" w:rsidR="00241093" w:rsidRPr="000925A8" w:rsidRDefault="00241093">
            <w:pPr>
              <w:pStyle w:val="Brdtext"/>
              <w:spacing w:before="60" w:after="60"/>
              <w:jc w:val="center"/>
              <w:rPr>
                <w:color w:val="auto"/>
                <w:sz w:val="16"/>
              </w:rPr>
            </w:pPr>
            <w:r w:rsidRPr="000925A8">
              <w:rPr>
                <w:color w:val="auto"/>
                <w:sz w:val="16"/>
              </w:rPr>
              <w:t>5,0</w:t>
            </w:r>
          </w:p>
        </w:tc>
        <w:tc>
          <w:tcPr>
            <w:tcW w:w="567" w:type="dxa"/>
          </w:tcPr>
          <w:p w14:paraId="0C70C632" w14:textId="77777777" w:rsidR="00241093" w:rsidRPr="000925A8" w:rsidRDefault="00241093">
            <w:pPr>
              <w:pStyle w:val="Brdtext"/>
              <w:spacing w:before="60" w:after="60"/>
              <w:jc w:val="center"/>
              <w:rPr>
                <w:color w:val="auto"/>
                <w:sz w:val="16"/>
              </w:rPr>
            </w:pPr>
            <w:r w:rsidRPr="000925A8">
              <w:rPr>
                <w:color w:val="auto"/>
                <w:sz w:val="16"/>
              </w:rPr>
              <w:t>4,7</w:t>
            </w:r>
          </w:p>
        </w:tc>
        <w:tc>
          <w:tcPr>
            <w:tcW w:w="709" w:type="dxa"/>
          </w:tcPr>
          <w:p w14:paraId="5D701D8A" w14:textId="77777777" w:rsidR="00241093" w:rsidRPr="000925A8" w:rsidRDefault="00241093">
            <w:pPr>
              <w:pStyle w:val="Brdtext"/>
              <w:spacing w:before="60" w:after="60"/>
              <w:jc w:val="center"/>
              <w:rPr>
                <w:color w:val="auto"/>
                <w:sz w:val="16"/>
              </w:rPr>
            </w:pPr>
            <w:r w:rsidRPr="000925A8">
              <w:rPr>
                <w:color w:val="auto"/>
                <w:sz w:val="16"/>
              </w:rPr>
              <w:t>5,3</w:t>
            </w:r>
          </w:p>
        </w:tc>
      </w:tr>
      <w:tr w:rsidR="00000000" w:rsidRPr="000925A8" w14:paraId="1BC35EDD" w14:textId="77777777">
        <w:tblPrEx>
          <w:tblCellMar>
            <w:top w:w="0" w:type="dxa"/>
            <w:bottom w:w="0" w:type="dxa"/>
          </w:tblCellMar>
        </w:tblPrEx>
        <w:tc>
          <w:tcPr>
            <w:tcW w:w="993" w:type="dxa"/>
          </w:tcPr>
          <w:p w14:paraId="39E1E3B4" w14:textId="77777777" w:rsidR="00241093" w:rsidRPr="000925A8" w:rsidRDefault="00241093">
            <w:pPr>
              <w:spacing w:before="60" w:after="60"/>
              <w:jc w:val="left"/>
              <w:rPr>
                <w:b/>
                <w:sz w:val="16"/>
              </w:rPr>
            </w:pPr>
            <w:r w:rsidRPr="000925A8">
              <w:rPr>
                <w:b/>
                <w:sz w:val="16"/>
              </w:rPr>
              <w:t>Rel</w:t>
            </w:r>
            <w:r w:rsidRPr="000925A8">
              <w:rPr>
                <w:b/>
                <w:sz w:val="16"/>
              </w:rPr>
              <w:t>e</w:t>
            </w:r>
            <w:r w:rsidRPr="000925A8">
              <w:rPr>
                <w:b/>
                <w:sz w:val="16"/>
              </w:rPr>
              <w:t>vans</w:t>
            </w:r>
          </w:p>
        </w:tc>
        <w:tc>
          <w:tcPr>
            <w:tcW w:w="425" w:type="dxa"/>
          </w:tcPr>
          <w:p w14:paraId="29E93421" w14:textId="77777777" w:rsidR="00241093" w:rsidRPr="000925A8" w:rsidRDefault="00241093">
            <w:pPr>
              <w:spacing w:before="60" w:after="60"/>
              <w:jc w:val="center"/>
              <w:rPr>
                <w:sz w:val="16"/>
              </w:rPr>
            </w:pPr>
            <w:r w:rsidRPr="000925A8">
              <w:rPr>
                <w:sz w:val="16"/>
              </w:rPr>
              <w:t>4,1</w:t>
            </w:r>
          </w:p>
        </w:tc>
        <w:tc>
          <w:tcPr>
            <w:tcW w:w="567" w:type="dxa"/>
          </w:tcPr>
          <w:p w14:paraId="72819141" w14:textId="77777777" w:rsidR="00241093" w:rsidRPr="000925A8" w:rsidRDefault="00241093">
            <w:pPr>
              <w:pStyle w:val="Brdtext"/>
              <w:spacing w:before="60" w:after="60"/>
              <w:jc w:val="center"/>
              <w:rPr>
                <w:color w:val="auto"/>
                <w:sz w:val="16"/>
              </w:rPr>
            </w:pPr>
            <w:r w:rsidRPr="000925A8">
              <w:rPr>
                <w:color w:val="auto"/>
                <w:sz w:val="16"/>
              </w:rPr>
              <w:t>4,3</w:t>
            </w:r>
          </w:p>
        </w:tc>
        <w:tc>
          <w:tcPr>
            <w:tcW w:w="425" w:type="dxa"/>
          </w:tcPr>
          <w:p w14:paraId="6FAE5E73" w14:textId="77777777" w:rsidR="00241093" w:rsidRPr="000925A8" w:rsidRDefault="00241093">
            <w:pPr>
              <w:pStyle w:val="Brdtext"/>
              <w:spacing w:before="60" w:after="60"/>
              <w:jc w:val="center"/>
              <w:rPr>
                <w:color w:val="auto"/>
                <w:sz w:val="16"/>
              </w:rPr>
            </w:pPr>
            <w:r w:rsidRPr="000925A8">
              <w:rPr>
                <w:color w:val="auto"/>
                <w:sz w:val="16"/>
              </w:rPr>
              <w:t>3,6</w:t>
            </w:r>
          </w:p>
        </w:tc>
        <w:tc>
          <w:tcPr>
            <w:tcW w:w="567" w:type="dxa"/>
          </w:tcPr>
          <w:p w14:paraId="0F6A5B17" w14:textId="77777777" w:rsidR="00241093" w:rsidRPr="000925A8" w:rsidRDefault="00241093">
            <w:pPr>
              <w:pStyle w:val="Brdtext"/>
              <w:spacing w:before="60" w:after="60"/>
              <w:jc w:val="center"/>
              <w:rPr>
                <w:color w:val="auto"/>
                <w:sz w:val="16"/>
              </w:rPr>
            </w:pPr>
            <w:r w:rsidRPr="000925A8">
              <w:rPr>
                <w:color w:val="auto"/>
                <w:sz w:val="16"/>
              </w:rPr>
              <w:t>3,1</w:t>
            </w:r>
          </w:p>
        </w:tc>
        <w:tc>
          <w:tcPr>
            <w:tcW w:w="567" w:type="dxa"/>
          </w:tcPr>
          <w:p w14:paraId="7E3537D3" w14:textId="77777777" w:rsidR="00241093" w:rsidRPr="000925A8" w:rsidRDefault="00241093">
            <w:pPr>
              <w:pStyle w:val="Brdtext"/>
              <w:spacing w:before="60" w:after="60"/>
              <w:jc w:val="center"/>
              <w:rPr>
                <w:color w:val="auto"/>
                <w:sz w:val="16"/>
              </w:rPr>
            </w:pPr>
            <w:r w:rsidRPr="000925A8">
              <w:rPr>
                <w:color w:val="auto"/>
                <w:sz w:val="16"/>
              </w:rPr>
              <w:t>5,2</w:t>
            </w:r>
          </w:p>
        </w:tc>
        <w:tc>
          <w:tcPr>
            <w:tcW w:w="567" w:type="dxa"/>
          </w:tcPr>
          <w:p w14:paraId="5AAB9BE0" w14:textId="77777777" w:rsidR="00241093" w:rsidRPr="000925A8" w:rsidRDefault="00241093">
            <w:pPr>
              <w:pStyle w:val="Brdtext"/>
              <w:spacing w:before="60" w:after="60"/>
              <w:jc w:val="center"/>
              <w:rPr>
                <w:color w:val="auto"/>
                <w:sz w:val="16"/>
              </w:rPr>
            </w:pPr>
            <w:r w:rsidRPr="000925A8">
              <w:rPr>
                <w:color w:val="auto"/>
                <w:sz w:val="16"/>
              </w:rPr>
              <w:t>4,8</w:t>
            </w:r>
          </w:p>
        </w:tc>
        <w:tc>
          <w:tcPr>
            <w:tcW w:w="567" w:type="dxa"/>
          </w:tcPr>
          <w:p w14:paraId="0487D4E4" w14:textId="77777777" w:rsidR="00241093" w:rsidRPr="000925A8" w:rsidRDefault="00241093">
            <w:pPr>
              <w:pStyle w:val="Brdtext"/>
              <w:spacing w:before="60" w:after="60"/>
              <w:jc w:val="center"/>
              <w:rPr>
                <w:color w:val="auto"/>
                <w:sz w:val="16"/>
              </w:rPr>
            </w:pPr>
            <w:r w:rsidRPr="000925A8">
              <w:rPr>
                <w:color w:val="auto"/>
                <w:sz w:val="16"/>
              </w:rPr>
              <w:t>4,0</w:t>
            </w:r>
          </w:p>
        </w:tc>
        <w:tc>
          <w:tcPr>
            <w:tcW w:w="567" w:type="dxa"/>
          </w:tcPr>
          <w:p w14:paraId="69FEF39C" w14:textId="77777777" w:rsidR="00241093" w:rsidRPr="000925A8" w:rsidRDefault="00241093">
            <w:pPr>
              <w:pStyle w:val="Brdtext"/>
              <w:spacing w:before="60" w:after="60"/>
              <w:jc w:val="center"/>
              <w:rPr>
                <w:color w:val="auto"/>
                <w:sz w:val="16"/>
              </w:rPr>
            </w:pPr>
            <w:r w:rsidRPr="000925A8">
              <w:rPr>
                <w:color w:val="auto"/>
                <w:sz w:val="16"/>
              </w:rPr>
              <w:t>3,6</w:t>
            </w:r>
          </w:p>
        </w:tc>
        <w:tc>
          <w:tcPr>
            <w:tcW w:w="709" w:type="dxa"/>
          </w:tcPr>
          <w:p w14:paraId="74D49E21" w14:textId="77777777" w:rsidR="00241093" w:rsidRPr="000925A8" w:rsidRDefault="00241093">
            <w:pPr>
              <w:pStyle w:val="Brdtext"/>
              <w:spacing w:before="60" w:after="60"/>
              <w:jc w:val="center"/>
              <w:rPr>
                <w:color w:val="auto"/>
                <w:sz w:val="16"/>
              </w:rPr>
            </w:pPr>
            <w:r w:rsidRPr="000925A8">
              <w:rPr>
                <w:color w:val="auto"/>
                <w:sz w:val="16"/>
              </w:rPr>
              <w:t>4,5</w:t>
            </w:r>
          </w:p>
        </w:tc>
      </w:tr>
    </w:tbl>
    <w:p w14:paraId="311AF5F7" w14:textId="77777777" w:rsidR="00241093" w:rsidRPr="000925A8" w:rsidRDefault="00241093">
      <w:pPr>
        <w:rPr>
          <w:sz w:val="16"/>
        </w:rPr>
      </w:pPr>
      <w:r w:rsidRPr="000925A8">
        <w:rPr>
          <w:sz w:val="16"/>
        </w:rPr>
        <w:t>* Förkortningarna i tabellen förklaras i bilaga tre</w:t>
      </w:r>
    </w:p>
    <w:p w14:paraId="725AC89D" w14:textId="77777777" w:rsidR="00241093" w:rsidRPr="000925A8" w:rsidRDefault="00241093">
      <w:r w:rsidRPr="000925A8">
        <w:rPr>
          <w:sz w:val="16"/>
        </w:rPr>
        <w:t>** Siffrorna inom parentes anger antalet kommuner i kategorin som har besvarat frågorna.</w:t>
      </w:r>
    </w:p>
    <w:p w14:paraId="1FCF1E9B" w14:textId="77777777" w:rsidR="00241093" w:rsidRPr="000925A8" w:rsidRDefault="00241093">
      <w:r w:rsidRPr="000925A8">
        <w:t>Av tabellen kan utläsas att förortskommunerna anger det högsta värdet på variablerna Betydelse och Relevans. Även storstadskommunerna anger rel</w:t>
      </w:r>
      <w:r w:rsidRPr="000925A8">
        <w:t>a</w:t>
      </w:r>
      <w:r w:rsidRPr="000925A8">
        <w:t>tivt höga värden på båda dessa variabler. De större och de medelstora städe</w:t>
      </w:r>
      <w:r w:rsidRPr="000925A8">
        <w:t>r</w:t>
      </w:r>
      <w:r w:rsidRPr="000925A8">
        <w:t>na anger förhållandevis låga värden på variablerna Betydelse och Relevans. Detta kan sammanhänga med att den detaljplanering som sker förekommer i anslutning till centralorten och att denna inte ligger i närheten av kommu</w:t>
      </w:r>
      <w:r w:rsidRPr="000925A8">
        <w:t>n</w:t>
      </w:r>
      <w:r w:rsidRPr="000925A8">
        <w:t xml:space="preserve">gränsen. Dessa båda kommuntyper anger dessutom båda att länsstyrelsens arbete för att främja mellankommunal samordning är tillräckligt (medelvärdet &gt; fyra). </w:t>
      </w:r>
    </w:p>
    <w:p w14:paraId="67D5E59D" w14:textId="77777777" w:rsidR="00241093" w:rsidRPr="000925A8" w:rsidRDefault="00241093">
      <w:pPr>
        <w:pStyle w:val="Normaltindrag"/>
      </w:pPr>
      <w:r w:rsidRPr="000925A8">
        <w:t>De sammanvägda medelvärdena i tabellens två sista kolum</w:t>
      </w:r>
      <w:r w:rsidRPr="000925A8">
        <w:t>ner visar att skillnaden mellan ”städerna” och ”landsortskommunerna” när det gäller a</w:t>
      </w:r>
      <w:r w:rsidRPr="000925A8">
        <w:t>r</w:t>
      </w:r>
      <w:r w:rsidRPr="000925A8">
        <w:t>betets betydelse är liten, och medelvärdet hamnar i båda fallen nära det ”neutrala” svarsalternativet fyra. ”Städerna” anser att länsstyrelsens arbete har relativt liten omfattning men att det är tillräckligt (medelvärdet &gt; fyra). En liknande uppfattning uppvisar landsortskommunerna. Det kan tyckas något förvånande att ”landsortskommunernas” medelvärde för variabeln Relevans är högre än städernas. Förklaringen kan vara den</w:t>
      </w:r>
      <w:r w:rsidRPr="000925A8">
        <w:t>samma som för översiktspl</w:t>
      </w:r>
      <w:r w:rsidRPr="000925A8">
        <w:t>a</w:t>
      </w:r>
      <w:r w:rsidRPr="000925A8">
        <w:t>neringen, nämligen att de mindre kommunerna är i större behov av stöd från länsstyrelsen för att få gehör för sina synpunkter i mellankommunala frågor än de större ko</w:t>
      </w:r>
      <w:r w:rsidRPr="000925A8">
        <w:t>m</w:t>
      </w:r>
      <w:r w:rsidRPr="000925A8">
        <w:t>munerna.</w:t>
      </w:r>
    </w:p>
    <w:p w14:paraId="13D6B8EA" w14:textId="77777777" w:rsidR="00241093" w:rsidRPr="000925A8" w:rsidRDefault="00241093">
      <w:pPr>
        <w:pStyle w:val="R3"/>
      </w:pPr>
      <w:r w:rsidRPr="000925A8">
        <w:t>Kommunernas syn på länsstyrelsernas roll i samband med mellankommunala PBL-frågor</w:t>
      </w:r>
    </w:p>
    <w:p w14:paraId="2F80ACAB" w14:textId="77777777" w:rsidR="00241093" w:rsidRPr="000925A8" w:rsidRDefault="00241093">
      <w:pPr>
        <w:pStyle w:val="R4"/>
      </w:pPr>
      <w:r w:rsidRPr="000925A8">
        <w:t>Samordning med eller utan länsstyrelsen?</w:t>
      </w:r>
    </w:p>
    <w:p w14:paraId="766CF6C8" w14:textId="77777777" w:rsidR="00241093" w:rsidRPr="000925A8" w:rsidRDefault="00241093">
      <w:pPr>
        <w:pStyle w:val="Reservantfrslag"/>
      </w:pPr>
      <w:r w:rsidRPr="000925A8">
        <w:t>På motsvarande sätt som för länsstyrelserna ställdes ett antal frågor till ko</w:t>
      </w:r>
      <w:r w:rsidRPr="000925A8">
        <w:t>m</w:t>
      </w:r>
      <w:r w:rsidRPr="000925A8">
        <w:t>munerna om hur de ser på länsstyrelsernas roll i arbetet med mellankomm</w:t>
      </w:r>
      <w:r w:rsidRPr="000925A8">
        <w:t>u</w:t>
      </w:r>
      <w:r w:rsidRPr="000925A8">
        <w:t>nala PBL-frågor.</w:t>
      </w:r>
    </w:p>
    <w:p w14:paraId="4D444E9E" w14:textId="77777777" w:rsidR="00241093" w:rsidRPr="000925A8" w:rsidRDefault="00241093">
      <w:pPr>
        <w:pStyle w:val="Normaltindrag"/>
      </w:pPr>
    </w:p>
    <w:p w14:paraId="5088D5E5" w14:textId="3611D70A" w:rsidR="00241093" w:rsidRPr="000925A8" w:rsidRDefault="000925A8">
      <w:pPr>
        <w:pStyle w:val="Brdtext"/>
        <w:jc w:val="left"/>
        <w:rPr>
          <w:color w:val="auto"/>
        </w:rPr>
      </w:pPr>
      <w:r w:rsidRPr="000925A8">
        <w:rPr>
          <w:noProof/>
          <w:color w:val="auto"/>
        </w:rPr>
        <w:drawing>
          <wp:inline distT="0" distB="0" distL="0" distR="0" wp14:anchorId="40165925" wp14:editId="0A77EED3">
            <wp:extent cx="3543300" cy="216090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543300" cy="2160905"/>
                    </a:xfrm>
                    <a:prstGeom prst="rect">
                      <a:avLst/>
                    </a:prstGeom>
                    <a:noFill/>
                    <a:ln>
                      <a:noFill/>
                    </a:ln>
                  </pic:spPr>
                </pic:pic>
              </a:graphicData>
            </a:graphic>
          </wp:inline>
        </w:drawing>
      </w:r>
    </w:p>
    <w:p w14:paraId="2C828B82" w14:textId="77777777" w:rsidR="00241093" w:rsidRPr="000925A8" w:rsidRDefault="00241093">
      <w:pPr>
        <w:spacing w:before="0"/>
      </w:pPr>
      <w:r w:rsidRPr="000925A8">
        <w:t>Av figur 6.1 framgår att det är en relativt jämn spridning i inställningen till påståendet att kommunen huvudsakligen hanterar frågor om mellankommunal samordning inom PBL-området utan länsstyrelsens medverkan (medelvärdet är 4,2). Fjorton kommuner instämmer inte i att de hanterar mellankommunala frågor utan länsstyrelsens medverkan (värden &lt; fyra). Femton kommuner instämmer i att de huvudsakligen sköter mellankommunala frågor utan län</w:t>
      </w:r>
      <w:r w:rsidRPr="000925A8">
        <w:t>s</w:t>
      </w:r>
      <w:r w:rsidRPr="000925A8">
        <w:t>styrelsens direkta inblandning (värden &gt; fyra). Länsstyrelsernas svar på mo</w:t>
      </w:r>
      <w:r w:rsidRPr="000925A8">
        <w:t>t</w:t>
      </w:r>
      <w:r w:rsidRPr="000925A8">
        <w:t>svarande fråga (se figur 5.1) gav ett medelvärde på 3,6, och det var färre länsstyrelser som instämde i påståendet än som inte gjorde det. Noteras bör även att de länsvisa variationerna är relativt stora. Medelvärdet för komm</w:t>
      </w:r>
      <w:r w:rsidRPr="000925A8">
        <w:t>u</w:t>
      </w:r>
      <w:r w:rsidRPr="000925A8">
        <w:t>nernas svar i respektive län ligger mellan 1,5 och 6,0. Det innebär att ko</w:t>
      </w:r>
      <w:r w:rsidRPr="000925A8">
        <w:t>m</w:t>
      </w:r>
      <w:r w:rsidRPr="000925A8">
        <w:t>munerna i vissa län inte alls anser att man hanterar de mellankommunala frågorna utan länsstyrelsernas medverkan medan det omvända för</w:t>
      </w:r>
      <w:r w:rsidRPr="000925A8">
        <w:t>hållandet tycks råda i andra län.</w:t>
      </w:r>
      <w:r w:rsidRPr="000925A8">
        <w:rPr>
          <w:rStyle w:val="Fotnotsreferens"/>
        </w:rPr>
        <w:footnoteReference w:id="127"/>
      </w:r>
      <w:r w:rsidRPr="000925A8">
        <w:t xml:space="preserve"> </w:t>
      </w:r>
    </w:p>
    <w:p w14:paraId="272EC17C" w14:textId="77777777" w:rsidR="00241093" w:rsidRPr="000925A8" w:rsidRDefault="00241093">
      <w:pPr>
        <w:pStyle w:val="Normaltindrag"/>
      </w:pPr>
      <w:r w:rsidRPr="000925A8">
        <w:t>Tittar man närmare på de olika kommuntyperna finner man att variationen är stor även här. Landsbygdskommunerna uppvisar det lägsta medelvärdet (2,2) vilket kan sägas innebära att man i dessa kommuner inte hanterar me</w:t>
      </w:r>
      <w:r w:rsidRPr="000925A8">
        <w:t>l</w:t>
      </w:r>
      <w:r w:rsidRPr="000925A8">
        <w:t>lankommunala frågor utan länsstyrelsens medverkan. Den motsatta uppfat</w:t>
      </w:r>
      <w:r w:rsidRPr="000925A8">
        <w:t>t</w:t>
      </w:r>
      <w:r w:rsidRPr="000925A8">
        <w:t>ningen tycks råda i de tre storstäderna som uppvisar det högsta medelvärdet (5,7). En tolkning skulle kunna vara att man i storstäderna har resurser och erfarenheter av att hantera mellankommunala frågor medan detta saknas i landsbygdskommunerna. Länsstyrelsens roll kan i det senare fallet vara att genom sin medverkan i processen kompensera för dessa bristande resurser.</w:t>
      </w:r>
    </w:p>
    <w:p w14:paraId="47C181EC" w14:textId="77777777" w:rsidR="00241093" w:rsidRPr="000925A8" w:rsidRDefault="00241093">
      <w:pPr>
        <w:pStyle w:val="R4"/>
      </w:pPr>
      <w:r w:rsidRPr="000925A8">
        <w:t>Länsstyrelsen som medlare?</w:t>
      </w:r>
    </w:p>
    <w:p w14:paraId="65A20656" w14:textId="77777777" w:rsidR="00241093" w:rsidRPr="000925A8" w:rsidRDefault="00241093">
      <w:pPr>
        <w:spacing w:before="0"/>
      </w:pPr>
      <w:r w:rsidRPr="000925A8">
        <w:t>Studerar man figur 6.2 finner man att huvuddelen av kommunerna inte anser att länsstyrelsen främst intar en medlarroll i samband med hanteringen av mellankommunala PBL-frågor (anger värden &lt; fyra). Medelvärdet var 3,0. Motsvarande värde för länsstyrelserna var 3,9. I länsstyrelsernas fall var det några fler som instämde i påståendet än som inte gjorde det (se figur 5.2).</w:t>
      </w:r>
    </w:p>
    <w:p w14:paraId="13D9F5A6" w14:textId="569AF1D3" w:rsidR="00241093" w:rsidRPr="000925A8" w:rsidRDefault="000925A8">
      <w:pPr>
        <w:jc w:val="left"/>
      </w:pPr>
      <w:r w:rsidRPr="000925A8">
        <w:rPr>
          <w:noProof/>
        </w:rPr>
        <w:drawing>
          <wp:inline distT="0" distB="0" distL="0" distR="0" wp14:anchorId="3466BFFA" wp14:editId="3116E6A4">
            <wp:extent cx="3657600" cy="188849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657600" cy="1888490"/>
                    </a:xfrm>
                    <a:prstGeom prst="rect">
                      <a:avLst/>
                    </a:prstGeom>
                    <a:noFill/>
                    <a:ln>
                      <a:noFill/>
                    </a:ln>
                  </pic:spPr>
                </pic:pic>
              </a:graphicData>
            </a:graphic>
          </wp:inline>
        </w:drawing>
      </w:r>
    </w:p>
    <w:p w14:paraId="2BB1A411" w14:textId="77777777" w:rsidR="00241093" w:rsidRPr="000925A8" w:rsidRDefault="00241093">
      <w:r w:rsidRPr="000925A8">
        <w:t>Medelvärdena för respektive län uppvisar en variation mellan 1,5 och 5,0. I vissa län ser kommunerna såldes främst länsstyrelsen som en medlare medan uppfattningen i princip är den mo</w:t>
      </w:r>
      <w:r w:rsidRPr="000925A8">
        <w:t>t</w:t>
      </w:r>
      <w:r w:rsidRPr="000925A8">
        <w:t>satta i en del andra län.</w:t>
      </w:r>
    </w:p>
    <w:p w14:paraId="58EFF3F2" w14:textId="77777777" w:rsidR="00241093" w:rsidRPr="000925A8" w:rsidRDefault="00241093">
      <w:pPr>
        <w:pStyle w:val="Normaltindrag"/>
      </w:pPr>
      <w:r w:rsidRPr="000925A8">
        <w:t>Betraktar man variationen mellan olika kommuntyper framkommer att medelvärdena för samtliga kommuntyper, utom landsbygdskommunerna, hamnar under fyra, dvs. de flesta instämmer inte i att länsstyrelsen främst fungerar som medlare. Lägst medelvärde uppvisar de större st</w:t>
      </w:r>
      <w:r w:rsidRPr="000925A8">
        <w:t>ä</w:t>
      </w:r>
      <w:r w:rsidRPr="000925A8">
        <w:t>derna (2,0).</w:t>
      </w:r>
    </w:p>
    <w:p w14:paraId="086E679B" w14:textId="77777777" w:rsidR="00241093" w:rsidRPr="000925A8" w:rsidRDefault="00241093">
      <w:pPr>
        <w:pStyle w:val="R4"/>
      </w:pPr>
      <w:r w:rsidRPr="000925A8">
        <w:t>När agerar länsstyrelsen?</w:t>
      </w:r>
    </w:p>
    <w:p w14:paraId="0E894CE0" w14:textId="77777777" w:rsidR="00241093" w:rsidRPr="000925A8" w:rsidRDefault="00241093">
      <w:pPr>
        <w:spacing w:before="125"/>
      </w:pPr>
      <w:r w:rsidRPr="000925A8">
        <w:t xml:space="preserve">Kommunerna fick även ta ställning till ett påstående om </w:t>
      </w:r>
      <w:r w:rsidRPr="000925A8">
        <w:rPr>
          <w:i/>
        </w:rPr>
        <w:t>när</w:t>
      </w:r>
      <w:r w:rsidRPr="000925A8">
        <w:t xml:space="preserve"> i planprocesserna som länsstyrelserna agerar. Resu</w:t>
      </w:r>
      <w:r w:rsidRPr="000925A8">
        <w:t>l</w:t>
      </w:r>
      <w:r w:rsidRPr="000925A8">
        <w:t>tatet redovisas i figur 6.3.</w:t>
      </w:r>
    </w:p>
    <w:p w14:paraId="4456DD41" w14:textId="77777777" w:rsidR="00241093" w:rsidRPr="000925A8" w:rsidRDefault="00241093">
      <w:pPr>
        <w:pStyle w:val="Normaltindrag"/>
      </w:pPr>
    </w:p>
    <w:p w14:paraId="5372E313" w14:textId="28C234AB" w:rsidR="00241093" w:rsidRPr="000925A8" w:rsidRDefault="000925A8">
      <w:pPr>
        <w:pStyle w:val="Innehll1"/>
        <w:spacing w:after="240" w:line="240" w:lineRule="auto"/>
      </w:pPr>
      <w:r w:rsidRPr="000925A8">
        <w:rPr>
          <w:noProof/>
        </w:rPr>
        <w:drawing>
          <wp:inline distT="0" distB="0" distL="0" distR="0" wp14:anchorId="64DFA3FF" wp14:editId="725E5A7C">
            <wp:extent cx="3173095" cy="211709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173095" cy="2117090"/>
                    </a:xfrm>
                    <a:prstGeom prst="rect">
                      <a:avLst/>
                    </a:prstGeom>
                    <a:noFill/>
                    <a:ln>
                      <a:noFill/>
                    </a:ln>
                  </pic:spPr>
                </pic:pic>
              </a:graphicData>
            </a:graphic>
          </wp:inline>
        </w:drawing>
      </w:r>
    </w:p>
    <w:p w14:paraId="797E2F48" w14:textId="77777777" w:rsidR="00241093" w:rsidRPr="000925A8" w:rsidRDefault="00241093">
      <w:r w:rsidRPr="000925A8">
        <w:t>Av figuren framgår att en klar majoritet av kommunerna anser att länsstyre</w:t>
      </w:r>
      <w:r w:rsidRPr="000925A8">
        <w:t>l</w:t>
      </w:r>
      <w:r w:rsidRPr="000925A8">
        <w:t>sens arbete för att främja en lämplig mellankommunal samordning främst sker under planprocessernas program- respektive samrådsskeden. Medelvä</w:t>
      </w:r>
      <w:r w:rsidRPr="000925A8">
        <w:t>r</w:t>
      </w:r>
      <w:r w:rsidRPr="000925A8">
        <w:t xml:space="preserve">det var 5,1. </w:t>
      </w:r>
    </w:p>
    <w:p w14:paraId="78E8E61F" w14:textId="77777777" w:rsidR="00241093" w:rsidRPr="000925A8" w:rsidRDefault="00241093">
      <w:pPr>
        <w:pStyle w:val="Normaltindrag"/>
      </w:pPr>
      <w:r w:rsidRPr="000925A8">
        <w:t>När det gäller de länsvisa medelvärdena kan man konstatera att dessa, med ett undantag, endast avviker svagt från hela urvalets medelvärde. Medelvärdet för kommunerna i Stockholms län är nämligen endast 2,7. Förklaringen till detta kan antingen vara att Länsstyrelsen i Stockholms län främst agerar före eller vid sidan om de formella planprocesserna elle</w:t>
      </w:r>
      <w:r w:rsidRPr="000925A8">
        <w:t>r att de mellankommunala frågorna främst poängteras under senare delar av planprocesserna, exempelvis i samband med länsstyrelsens granskningsyttranden. För den senare tolknin</w:t>
      </w:r>
      <w:r w:rsidRPr="000925A8">
        <w:t>g</w:t>
      </w:r>
      <w:r w:rsidRPr="000925A8">
        <w:t xml:space="preserve">en talar den höga frekvensen påpekanden om brister som förekommer i Stockholms län. </w:t>
      </w:r>
    </w:p>
    <w:p w14:paraId="19D134F7" w14:textId="77777777" w:rsidR="00241093" w:rsidRPr="000925A8" w:rsidRDefault="00241093">
      <w:pPr>
        <w:pStyle w:val="Normaltindrag"/>
      </w:pPr>
      <w:r w:rsidRPr="000925A8">
        <w:t>De olika kommuntyperna visar ingen större variation kring hela urvalets medelvärde (5,1).</w:t>
      </w:r>
    </w:p>
    <w:p w14:paraId="09E9AB65" w14:textId="77777777" w:rsidR="00241093" w:rsidRPr="000925A8" w:rsidRDefault="00241093">
      <w:pPr>
        <w:pStyle w:val="R4"/>
      </w:pPr>
      <w:r w:rsidRPr="000925A8">
        <w:t xml:space="preserve">Är länsstyrelsen och kommunerna oftast överens i mellankommunala frågor? </w:t>
      </w:r>
    </w:p>
    <w:p w14:paraId="6460F5FD" w14:textId="77777777" w:rsidR="00241093" w:rsidRPr="000925A8" w:rsidRDefault="00241093">
      <w:pPr>
        <w:pStyle w:val="Reservantfrslag"/>
      </w:pPr>
      <w:r w:rsidRPr="000925A8">
        <w:t>Kommunerna fick ta ställning till om de ansåg att de och länsstyrelsen vanl</w:t>
      </w:r>
      <w:r w:rsidRPr="000925A8">
        <w:t>i</w:t>
      </w:r>
      <w:r w:rsidRPr="000925A8">
        <w:t>gen hade gemensamma uppfattningar i mellankommunala frågor. Resultatet redovisas i figur 6.4.</w:t>
      </w:r>
    </w:p>
    <w:p w14:paraId="76C9E2DE" w14:textId="2A00B265" w:rsidR="00241093" w:rsidRPr="000925A8" w:rsidRDefault="000925A8">
      <w:pPr>
        <w:pStyle w:val="Punkter"/>
        <w:spacing w:after="240"/>
        <w:jc w:val="left"/>
      </w:pPr>
      <w:r w:rsidRPr="000925A8">
        <w:rPr>
          <w:noProof/>
        </w:rPr>
        <w:drawing>
          <wp:inline distT="0" distB="0" distL="0" distR="0" wp14:anchorId="72A36718" wp14:editId="35B98A70">
            <wp:extent cx="3287395" cy="182308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287395" cy="1823085"/>
                    </a:xfrm>
                    <a:prstGeom prst="rect">
                      <a:avLst/>
                    </a:prstGeom>
                    <a:noFill/>
                    <a:ln>
                      <a:noFill/>
                    </a:ln>
                  </pic:spPr>
                </pic:pic>
              </a:graphicData>
            </a:graphic>
          </wp:inline>
        </w:drawing>
      </w:r>
    </w:p>
    <w:p w14:paraId="3A11576F" w14:textId="77777777" w:rsidR="00241093" w:rsidRPr="000925A8" w:rsidRDefault="00241093">
      <w:pPr>
        <w:spacing w:before="0"/>
      </w:pPr>
      <w:r w:rsidRPr="000925A8">
        <w:t xml:space="preserve">Svaren vittnar om en relativt god överensstämmelse mellan kommunernas och länsstyrelsens uppfattning i mellankommunala PBL-frågor. </w:t>
      </w:r>
    </w:p>
    <w:p w14:paraId="46540FAC" w14:textId="77777777" w:rsidR="00241093" w:rsidRPr="000925A8" w:rsidRDefault="00241093">
      <w:pPr>
        <w:pStyle w:val="Normaltindrag"/>
      </w:pPr>
      <w:r w:rsidRPr="000925A8">
        <w:t>Medelvärdet var 4,8. Två tredjedelar av de kommuner som besvarade fr</w:t>
      </w:r>
      <w:r w:rsidRPr="000925A8">
        <w:t>å</w:t>
      </w:r>
      <w:r w:rsidRPr="000925A8">
        <w:t>gan ansåg att länsstyrelsen och kommunen som regel har en gemensam up</w:t>
      </w:r>
      <w:r w:rsidRPr="000925A8">
        <w:t>p</w:t>
      </w:r>
      <w:r w:rsidRPr="000925A8">
        <w:t>fattning i dessa frågor (angav värden &gt; fyra). Medelvärdena för länen varier</w:t>
      </w:r>
      <w:r w:rsidRPr="000925A8">
        <w:t>a</w:t>
      </w:r>
      <w:r w:rsidRPr="000925A8">
        <w:t xml:space="preserve">de mellan 2,5 och 6,0. I några län överensstämmer således inte kommunernas syn på de mellankommunala frågorna med länsstyrelsens. De flesta länen uppvisade dock medelvärden över fyra. </w:t>
      </w:r>
    </w:p>
    <w:p w14:paraId="21EA04DD" w14:textId="77777777" w:rsidR="00241093" w:rsidRPr="000925A8" w:rsidRDefault="00241093">
      <w:pPr>
        <w:pStyle w:val="Normaltindrag"/>
      </w:pPr>
      <w:r w:rsidRPr="000925A8">
        <w:t>De olika kommuntypernas medelvärden uppvisar endast mindre avvikelser från hela urvalets medelvärde. Medelvärdet är dock högst för landsbygd</w:t>
      </w:r>
      <w:r w:rsidRPr="000925A8">
        <w:t>s</w:t>
      </w:r>
      <w:r w:rsidRPr="000925A8">
        <w:t>kommunerna (5,7). Lägger man samman landsbygdskommuner, glesbygd</w:t>
      </w:r>
      <w:r w:rsidRPr="000925A8">
        <w:t>s</w:t>
      </w:r>
      <w:r w:rsidRPr="000925A8">
        <w:t>kommuner och övriga mindre kommuner blir medelvärdet 5,3. Mindre och mer glesbefolkade kommuner tycks således ha lättare att komma överens med länsstyrelsen när det gäller mellankommunala PBL-frågor. Detta samma</w:t>
      </w:r>
      <w:r w:rsidRPr="000925A8">
        <w:t>n</w:t>
      </w:r>
      <w:r w:rsidRPr="000925A8">
        <w:t>hänger troligen med att de mellankommunala frågorna är få i dessa komm</w:t>
      </w:r>
      <w:r w:rsidRPr="000925A8">
        <w:t>u</w:t>
      </w:r>
      <w:r w:rsidRPr="000925A8">
        <w:t>ner och att de som förekommer inte är av det mer kontroversiella slaget, som exempelvis externhandel</w:t>
      </w:r>
      <w:r w:rsidRPr="000925A8">
        <w:t>s</w:t>
      </w:r>
      <w:r w:rsidRPr="000925A8">
        <w:t>etableringar.</w:t>
      </w:r>
    </w:p>
    <w:p w14:paraId="29C961C9" w14:textId="77777777" w:rsidR="00241093" w:rsidRPr="000925A8" w:rsidRDefault="00241093">
      <w:pPr>
        <w:pStyle w:val="R3"/>
      </w:pPr>
      <w:r w:rsidRPr="000925A8">
        <w:t>Kommunernas syn på när länsstyrelsen kan tillämp</w:t>
      </w:r>
      <w:r w:rsidRPr="000925A8">
        <w:t>a prövningsgrunden ”lämplig mellankommunal samordning” i 12 kap. 1 § PBL</w:t>
      </w:r>
    </w:p>
    <w:p w14:paraId="2DB92B25" w14:textId="77777777" w:rsidR="00241093" w:rsidRPr="000925A8" w:rsidRDefault="00241093">
      <w:r w:rsidRPr="000925A8">
        <w:t>I anslutning till figur 5.4 i föregående kapitel har länsstyrelsernas syn på möjligheterna att tillämpa prövningsgrunden ”inte lämplig mellankommunal samordning” i fall då kommuner är överens redovisats. Medelvärdet för län</w:t>
      </w:r>
      <w:r w:rsidRPr="000925A8">
        <w:t>s</w:t>
      </w:r>
      <w:r w:rsidRPr="000925A8">
        <w:t>styrelserna blev 5,2 med en betydande spridning i svaren. Motsvarande m</w:t>
      </w:r>
      <w:r w:rsidRPr="000925A8">
        <w:t>e</w:t>
      </w:r>
      <w:r w:rsidRPr="000925A8">
        <w:t>delvärde för kommunerna blev 4,4. Spridningen i kommunernas svar åskå</w:t>
      </w:r>
      <w:r w:rsidRPr="000925A8">
        <w:t>d</w:t>
      </w:r>
      <w:r w:rsidRPr="000925A8">
        <w:t>liggörs i figur 6.5.</w:t>
      </w:r>
    </w:p>
    <w:p w14:paraId="33B8FD17" w14:textId="67E15DA2" w:rsidR="00241093" w:rsidRPr="000925A8" w:rsidRDefault="000925A8">
      <w:pPr>
        <w:jc w:val="left"/>
      </w:pPr>
      <w:r w:rsidRPr="000925A8">
        <w:rPr>
          <w:noProof/>
        </w:rPr>
        <w:drawing>
          <wp:inline distT="0" distB="0" distL="0" distR="0" wp14:anchorId="01B6EE6C" wp14:editId="7D0FF2C5">
            <wp:extent cx="3641090" cy="237299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641090" cy="2372995"/>
                    </a:xfrm>
                    <a:prstGeom prst="rect">
                      <a:avLst/>
                    </a:prstGeom>
                    <a:noFill/>
                    <a:ln>
                      <a:noFill/>
                    </a:ln>
                  </pic:spPr>
                </pic:pic>
              </a:graphicData>
            </a:graphic>
          </wp:inline>
        </w:drawing>
      </w:r>
    </w:p>
    <w:p w14:paraId="5AD21C3E" w14:textId="77777777" w:rsidR="00241093" w:rsidRPr="000925A8" w:rsidRDefault="00241093">
      <w:r w:rsidRPr="000925A8">
        <w:t>Av figuren framgår att variationen i svaren var stor även bland kommune</w:t>
      </w:r>
      <w:r w:rsidRPr="000925A8">
        <w:t>r</w:t>
      </w:r>
      <w:r w:rsidRPr="000925A8">
        <w:t>na.</w:t>
      </w:r>
      <w:r w:rsidRPr="000925A8">
        <w:rPr>
          <w:rStyle w:val="Fotnotsreferens"/>
        </w:rPr>
        <w:footnoteReference w:id="128"/>
      </w:r>
      <w:r w:rsidRPr="000925A8">
        <w:t xml:space="preserve"> Det var exempelvis flera kommuner som ansåg att det inte alls fanns rättslig grund för länsstyrelsen att pröva en plan om kommunerna var överens. Det fanns även de som angav det andra ytterlighetsvärdet och som alltså menade att länsstyrelsen hade rätt att pröva planen även om kommunerna var överens. Det var dock flera kommuner som menade att det inte fanns en rätt</w:t>
      </w:r>
      <w:r w:rsidRPr="000925A8">
        <w:t>s</w:t>
      </w:r>
      <w:r w:rsidRPr="000925A8">
        <w:t>lig grund att pröva planen (fjorton kommuner angav värden &gt; fyra) än som inte ansåg detta (nio kommuner angav vä</w:t>
      </w:r>
      <w:r w:rsidRPr="000925A8">
        <w:t>r</w:t>
      </w:r>
      <w:r w:rsidRPr="000925A8">
        <w:t>den &lt; fyra).</w:t>
      </w:r>
    </w:p>
    <w:p w14:paraId="49925BE7" w14:textId="77777777" w:rsidR="00241093" w:rsidRPr="000925A8" w:rsidRDefault="00241093">
      <w:pPr>
        <w:pStyle w:val="R3"/>
      </w:pPr>
      <w:r w:rsidRPr="000925A8">
        <w:t>Kommunernas syn p</w:t>
      </w:r>
      <w:r w:rsidRPr="000925A8">
        <w:t>å problem i länsstyrelsernas arbete med mellankommunala PBL-frågor – och deras förslag till lösningar</w:t>
      </w:r>
    </w:p>
    <w:p w14:paraId="0EDC7D8B" w14:textId="77777777" w:rsidR="00241093" w:rsidRPr="000925A8" w:rsidRDefault="00241093">
      <w:pPr>
        <w:pStyle w:val="R4"/>
      </w:pPr>
      <w:r w:rsidRPr="000925A8">
        <w:t>Problem ...</w:t>
      </w:r>
    </w:p>
    <w:p w14:paraId="3BC9020E" w14:textId="77777777" w:rsidR="00241093" w:rsidRPr="000925A8" w:rsidRDefault="00241093">
      <w:pPr>
        <w:spacing w:before="0"/>
      </w:pPr>
      <w:r w:rsidRPr="000925A8">
        <w:t xml:space="preserve">Kommunerna ombads att ange vilka eventuella problem man upplevde i länsstyrelsernas arbete med mellankommunala PBL-frågor. Flera kommuner angav resursbrist eller personalbrist hos länsstyrelsen som ett problem. Enligt några kommuner leder detta bl.a. till att länsstyrelserna har svårt att ”ligga före program, regionala planer etc.” </w:t>
      </w:r>
    </w:p>
    <w:p w14:paraId="2960B4A5" w14:textId="77777777" w:rsidR="00241093" w:rsidRPr="000925A8" w:rsidRDefault="00241093">
      <w:pPr>
        <w:pStyle w:val="Normaltindrag"/>
      </w:pPr>
      <w:r w:rsidRPr="000925A8">
        <w:t>Den mellankommunala sakfråga som flera kommuner anser att länsstyre</w:t>
      </w:r>
      <w:r w:rsidRPr="000925A8">
        <w:t>l</w:t>
      </w:r>
      <w:r w:rsidRPr="000925A8">
        <w:t xml:space="preserve">serna har haft problem att hantera är externa handelsetableringar. I några fall anges bristande regional samordning kring större infrastruktursatsningar som ett mellankommunalt problem. </w:t>
      </w:r>
    </w:p>
    <w:p w14:paraId="7DFEE472" w14:textId="77777777" w:rsidR="00241093" w:rsidRPr="000925A8" w:rsidRDefault="00241093">
      <w:pPr>
        <w:pStyle w:val="Normaltindrag"/>
      </w:pPr>
      <w:r w:rsidRPr="000925A8">
        <w:t>Någon mindre kommun menar att länsstyrelsens möjligheter att åsta</w:t>
      </w:r>
      <w:r w:rsidRPr="000925A8">
        <w:t>d</w:t>
      </w:r>
      <w:r w:rsidRPr="000925A8">
        <w:t xml:space="preserve">komma förändringar är begränsade. Skälet skulle vara att det är svårt för länsstyrelsen att ändra en stor kommuns åsikter. </w:t>
      </w:r>
    </w:p>
    <w:p w14:paraId="368EE6B2" w14:textId="77777777" w:rsidR="00241093" w:rsidRPr="000925A8" w:rsidRDefault="00241093">
      <w:pPr>
        <w:pStyle w:val="Normaltindrag"/>
      </w:pPr>
      <w:r w:rsidRPr="000925A8">
        <w:t>Några kommuner ifrågasätter länsstyrelsens mandat och roll i förhållande till regionala självstyrelseorgan eller regionplaneorgan. Man menar att län</w:t>
      </w:r>
      <w:r w:rsidRPr="000925A8">
        <w:t>s</w:t>
      </w:r>
      <w:r w:rsidRPr="000925A8">
        <w:t>styrelsen går utöver sina ansvarsområden och engagerar sig för djupt i vissa detaljer eller sakfrågor. Länsstyrelsen kan i sådana situationer uppfattas mer som en part med ett visst intresse än som en möjlig medlare. Samtidigt kan vissa frågor ”hamna mellan stolarna” i betydelsen att det råder oenighet me</w:t>
      </w:r>
      <w:r w:rsidRPr="000925A8">
        <w:t>l</w:t>
      </w:r>
      <w:r w:rsidRPr="000925A8">
        <w:t xml:space="preserve">lan länsstyrelsen och de regionala självstyrelseorganen om vem eller hur en viss fråga ska hanteras. </w:t>
      </w:r>
    </w:p>
    <w:p w14:paraId="2335091E" w14:textId="77777777" w:rsidR="00241093" w:rsidRPr="000925A8" w:rsidRDefault="00241093">
      <w:pPr>
        <w:pStyle w:val="Normaltindrag"/>
      </w:pPr>
      <w:r w:rsidRPr="000925A8">
        <w:t xml:space="preserve">En kommun uttrycker det på följande sätt: Region Skåne har ett tydligt mandat att driva och bevaka de </w:t>
      </w:r>
      <w:r w:rsidRPr="000925A8">
        <w:t>regionala utvecklingsfr</w:t>
      </w:r>
      <w:r w:rsidRPr="000925A8">
        <w:t>å</w:t>
      </w:r>
      <w:r w:rsidRPr="000925A8">
        <w:t>gorna samt (...) RTI-planeringen [RTI=Regional transportinfrastruktur]. I realiteten har regio</w:t>
      </w:r>
      <w:r w:rsidRPr="000925A8">
        <w:softHyphen/>
        <w:t>nen valt att ligga mycket lågt i planeringsfrågor. Detta har i sin tur medfört att länsstyrelsen antagit en mer försiktig hållning eftersom det regionala plane</w:t>
      </w:r>
      <w:r w:rsidRPr="000925A8">
        <w:softHyphen/>
        <w:t xml:space="preserve">ringsmandatet lagts på Region Skåne. </w:t>
      </w:r>
    </w:p>
    <w:p w14:paraId="44AB7E31" w14:textId="77777777" w:rsidR="00241093" w:rsidRPr="000925A8" w:rsidRDefault="00241093">
      <w:pPr>
        <w:pStyle w:val="Normaltindrag"/>
      </w:pPr>
      <w:r w:rsidRPr="000925A8">
        <w:t>Den uppkomna situationen har lett till att möjligheterna att utveckla en funge</w:t>
      </w:r>
      <w:r w:rsidRPr="000925A8">
        <w:softHyphen/>
        <w:t>rande och meningsfull planering i Skåne i realiteten har försämrats. Detta är särskilt allvarligt i den rådande situationen med en snabbare utvec</w:t>
      </w:r>
      <w:r w:rsidRPr="000925A8">
        <w:t>k</w:t>
      </w:r>
      <w:r w:rsidRPr="000925A8">
        <w:t>ling i Skåne, med regionförstoring och påbörjad integration med Danmark ... Den rådande situationen har i praktiken lett till att [kommunens namn] til</w:t>
      </w:r>
      <w:r w:rsidRPr="000925A8">
        <w:t>l</w:t>
      </w:r>
      <w:r w:rsidRPr="000925A8">
        <w:t xml:space="preserve">sammans med andra kommuner driver ett antal regionala planeringsfrågor. </w:t>
      </w:r>
    </w:p>
    <w:p w14:paraId="021503C8" w14:textId="77777777" w:rsidR="00241093" w:rsidRPr="000925A8" w:rsidRDefault="00241093">
      <w:pPr>
        <w:pStyle w:val="Normaltindrag"/>
      </w:pPr>
      <w:r w:rsidRPr="000925A8">
        <w:t>En kommun framhåller att länsstyrelsens arbete försvåras av att komm</w:t>
      </w:r>
      <w:r w:rsidRPr="000925A8">
        <w:t>u</w:t>
      </w:r>
      <w:r w:rsidRPr="000925A8">
        <w:t xml:space="preserve">nernas översiktsplanearbete inte alltid ligger i fas tidsmässigt och att det drivs på olika sätt i olika kommuner. </w:t>
      </w:r>
    </w:p>
    <w:p w14:paraId="7B3ECB4C" w14:textId="77777777" w:rsidR="00241093" w:rsidRPr="000925A8" w:rsidRDefault="00241093">
      <w:pPr>
        <w:pStyle w:val="Normaltindrag"/>
      </w:pPr>
      <w:r w:rsidRPr="000925A8">
        <w:t>Några kommuner antyder särskilda svårigheter när en mellankommunal fråga sträcker sig över länsgränsen. Samordningen mellan grannlän anses inte vara så väl utvecklad.</w:t>
      </w:r>
    </w:p>
    <w:p w14:paraId="330A12EE" w14:textId="77777777" w:rsidR="00241093" w:rsidRPr="000925A8" w:rsidRDefault="00241093">
      <w:pPr>
        <w:pStyle w:val="R4"/>
      </w:pPr>
      <w:r w:rsidRPr="000925A8">
        <w:t>... lösningar</w:t>
      </w:r>
    </w:p>
    <w:p w14:paraId="248509A8" w14:textId="77777777" w:rsidR="00241093" w:rsidRPr="000925A8" w:rsidRDefault="00241093">
      <w:pPr>
        <w:spacing w:before="0"/>
      </w:pPr>
      <w:r w:rsidRPr="000925A8">
        <w:t>Kommunerna fick även ange vilka förändringar man önskar i länsstyrelsernas arbete med mellankommunala PBL-frågor. Flera kommuner önskar ett mer offensivt, aktivt eller förebyggande agerande från länsstyrelsens sida i syfte att skapa mellankommunal samverkan inom områden som utifrån länsstyre</w:t>
      </w:r>
      <w:r w:rsidRPr="000925A8">
        <w:t>l</w:t>
      </w:r>
      <w:r w:rsidRPr="000925A8">
        <w:t>sens översiktliga perspektiv anses angelägna. Detta arbete bör ske tidigt i processerna och vara mer inriktat på regional utveckling än på att tillämpa restriktioner. Kommunerna önskar mer översiktliga diskussioner än att län</w:t>
      </w:r>
      <w:r w:rsidRPr="000925A8">
        <w:t>s</w:t>
      </w:r>
      <w:r w:rsidRPr="000925A8">
        <w:t xml:space="preserve">styrelsen ”förlorar sig” i detaljer. Flera gemensamma seminarier och ”planeringsgrupper” efterfrågas också. </w:t>
      </w:r>
    </w:p>
    <w:p w14:paraId="1ED039AA" w14:textId="77777777" w:rsidR="00241093" w:rsidRPr="000925A8" w:rsidRDefault="00241093">
      <w:pPr>
        <w:pStyle w:val="Normaltindrag"/>
      </w:pPr>
      <w:r w:rsidRPr="000925A8">
        <w:t>Flera kommuner betonar länsstyrelsens roll som kunskapsförmedlare och framför önskemål om ett mer aktivt arbete med att ta fram gemensamma planeringsunderlag för hela länet ell</w:t>
      </w:r>
      <w:r w:rsidRPr="000925A8">
        <w:t>er för kommuner som berörs av mella</w:t>
      </w:r>
      <w:r w:rsidRPr="000925A8">
        <w:t>n</w:t>
      </w:r>
      <w:r w:rsidRPr="000925A8">
        <w:t>kommunala frågor.</w:t>
      </w:r>
    </w:p>
    <w:p w14:paraId="3540FB1C" w14:textId="77777777" w:rsidR="00241093" w:rsidRPr="000925A8" w:rsidRDefault="00241093">
      <w:pPr>
        <w:pStyle w:val="Normaltindrag"/>
      </w:pPr>
      <w:r w:rsidRPr="000925A8">
        <w:t>Några kommuner menar att kommunerna själv kan ta fler mellankomm</w:t>
      </w:r>
      <w:r w:rsidRPr="000925A8">
        <w:t>u</w:t>
      </w:r>
      <w:r w:rsidRPr="000925A8">
        <w:t xml:space="preserve">nala initiativ. Kommunförbundets lokala kontor anses kunna vara ett stöd i detta arbete. </w:t>
      </w:r>
    </w:p>
    <w:p w14:paraId="18EE3E89" w14:textId="77777777" w:rsidR="00241093" w:rsidRPr="000925A8" w:rsidRDefault="00241093">
      <w:pPr>
        <w:pStyle w:val="Normaltindrag"/>
      </w:pPr>
      <w:r w:rsidRPr="000925A8">
        <w:t>Mellankommunala frågor som sträcker sig över länsgränser ställer särski</w:t>
      </w:r>
      <w:r w:rsidRPr="000925A8">
        <w:t>l</w:t>
      </w:r>
      <w:r w:rsidRPr="000925A8">
        <w:t>da krav på länsstyrelserna. Några kommuner menar att länsstyrelserna måste agera för att länsgränsen inte ska bli ett hinder för mellankommunal samor</w:t>
      </w:r>
      <w:r w:rsidRPr="000925A8">
        <w:t>d</w:t>
      </w:r>
      <w:r w:rsidRPr="000925A8">
        <w:t>ning eller samverkan.</w:t>
      </w:r>
    </w:p>
    <w:p w14:paraId="06E1CDB0" w14:textId="77777777" w:rsidR="00241093" w:rsidRPr="000925A8" w:rsidRDefault="00241093">
      <w:pPr>
        <w:pStyle w:val="Rubrik2"/>
      </w:pPr>
      <w:r w:rsidRPr="000925A8">
        <w:br w:type="page"/>
      </w:r>
      <w:bookmarkStart w:id="96" w:name="_Toc4898248"/>
      <w:r w:rsidRPr="000925A8">
        <w:t>7 Extern handel som mellankommunal PBL-fråga</w:t>
      </w:r>
      <w:bookmarkEnd w:id="96"/>
    </w:p>
    <w:p w14:paraId="1F9C8A18" w14:textId="77777777" w:rsidR="00241093" w:rsidRPr="000925A8" w:rsidRDefault="00241093">
      <w:pPr>
        <w:spacing w:before="0"/>
      </w:pPr>
      <w:r w:rsidRPr="000925A8">
        <w:t>Enligt regeringens bedömning bör etablering av externa köpcentra övervägas i ett regionalt perspektiv. Det är särskilt viktigt att underlaget för beslut om etablering tydligt redovisar förväntade effekter bl.a. på trafikarbete, servic</w:t>
      </w:r>
      <w:r w:rsidRPr="000925A8">
        <w:t>e</w:t>
      </w:r>
      <w:r w:rsidRPr="000925A8">
        <w:t>utbud och tätortscentra både i ett mellankommunalt och lokalt perspe</w:t>
      </w:r>
      <w:r w:rsidRPr="000925A8">
        <w:t>k</w:t>
      </w:r>
      <w:r w:rsidRPr="000925A8">
        <w:t>tiv.</w:t>
      </w:r>
      <w:r w:rsidRPr="000925A8">
        <w:rPr>
          <w:rStyle w:val="Fotnotsreferens"/>
          <w:i/>
          <w:sz w:val="20"/>
        </w:rPr>
        <w:footnoteReference w:id="129"/>
      </w:r>
    </w:p>
    <w:p w14:paraId="536A7430" w14:textId="77777777" w:rsidR="00241093" w:rsidRPr="000925A8" w:rsidRDefault="00241093">
      <w:pPr>
        <w:pStyle w:val="R3"/>
      </w:pPr>
      <w:r w:rsidRPr="000925A8">
        <w:t>Inledning</w:t>
      </w:r>
    </w:p>
    <w:p w14:paraId="35F83B7E" w14:textId="77777777" w:rsidR="00241093" w:rsidRPr="000925A8" w:rsidRDefault="00241093">
      <w:r w:rsidRPr="000925A8">
        <w:t>Som framgått av tidigare kapitel har frågor om etablering av storskalig handel utanför kommunernas centralorter väckt mycken debatt. Problemen med dessa externa handelsetableringar är bl.a. att de vanligen förutsätter bilinn</w:t>
      </w:r>
      <w:r w:rsidRPr="000925A8">
        <w:t>e</w:t>
      </w:r>
      <w:r w:rsidRPr="000925A8">
        <w:t>hav och därmed ökar biltrafiken. De externa etableringarna kan också bidra till att försvaga handelsutbudet i centralorterna och i omgivande landsbygd</w:t>
      </w:r>
      <w:r w:rsidRPr="000925A8">
        <w:t>s</w:t>
      </w:r>
      <w:r w:rsidRPr="000925A8">
        <w:t xml:space="preserve">områden. Ett försämrat utbud i kombination med ökat behov av bil gör att mindre rörliga, ofta socialt mer utsatta, grupper drabbas. De fördelar som nämns är ofta lägre priser och generösa öppettider. </w:t>
      </w:r>
    </w:p>
    <w:p w14:paraId="0F0F1363" w14:textId="77777777" w:rsidR="00241093" w:rsidRPr="000925A8" w:rsidRDefault="00241093">
      <w:pPr>
        <w:pStyle w:val="Normaltindrag"/>
      </w:pPr>
      <w:r w:rsidRPr="000925A8">
        <w:t>I vissa fall kan man även befara att handelssituationen i angränsande kommuner påverkas på ett negativt sätt. Planeringen av dessa etableringar har därmed ofta</w:t>
      </w:r>
      <w:r w:rsidRPr="000925A8">
        <w:t xml:space="preserve"> en mellankommunal dimension. Frågans sprängkraft understryks dessutom av att det är nära nog uteslutande planer som omfattar externha</w:t>
      </w:r>
      <w:r w:rsidRPr="000925A8">
        <w:t>n</w:t>
      </w:r>
      <w:r w:rsidRPr="000925A8">
        <w:t>delsetableringar som länsstyrelserna har prövat med motivet att den mella</w:t>
      </w:r>
      <w:r w:rsidRPr="000925A8">
        <w:t>n</w:t>
      </w:r>
      <w:r w:rsidRPr="000925A8">
        <w:t xml:space="preserve">kommunala samordningen inte har varit lämplig. </w:t>
      </w:r>
    </w:p>
    <w:p w14:paraId="506782CC" w14:textId="77777777" w:rsidR="00241093" w:rsidRPr="000925A8" w:rsidRDefault="00241093">
      <w:pPr>
        <w:pStyle w:val="Normaltindrag"/>
      </w:pPr>
      <w:r w:rsidRPr="000925A8">
        <w:t>Som har nämnts ovan har regeringen för avsikt att inkludera frågan om externa köpcentrum för dagligvaruhandel i den översyn av PBL som tidigare har aviserats.</w:t>
      </w:r>
      <w:r w:rsidRPr="000925A8">
        <w:rPr>
          <w:rStyle w:val="Fotnotsreferens"/>
        </w:rPr>
        <w:footnoteReference w:id="130"/>
      </w:r>
    </w:p>
    <w:p w14:paraId="2E11B10A" w14:textId="77777777" w:rsidR="00241093" w:rsidRPr="000925A8" w:rsidRDefault="00241093">
      <w:pPr>
        <w:pStyle w:val="R3"/>
      </w:pPr>
      <w:r w:rsidRPr="000925A8">
        <w:t>Handelsändamålet i PBL</w:t>
      </w:r>
    </w:p>
    <w:p w14:paraId="77C199CE" w14:textId="77777777" w:rsidR="00241093" w:rsidRPr="000925A8" w:rsidRDefault="00241093">
      <w:r w:rsidRPr="000925A8">
        <w:t>Riksdagen har under 1990-talet främst behandlat frågan om externhandelset</w:t>
      </w:r>
      <w:r w:rsidRPr="000925A8">
        <w:t>a</w:t>
      </w:r>
      <w:r w:rsidRPr="000925A8">
        <w:t>bleringar i samband med ställningstaganden till det s.k. handels-ändamålet i PBL. 1992 beslutade riksdagen att lätta på de restriktioner som fanns för ändamålen med olika handelsetableringar.</w:t>
      </w:r>
      <w:r w:rsidRPr="000925A8">
        <w:rPr>
          <w:rStyle w:val="Fotnotsreferens"/>
        </w:rPr>
        <w:footnoteReference w:id="131"/>
      </w:r>
      <w:r w:rsidRPr="000925A8">
        <w:t xml:space="preserve"> Kommunerna fråntogs möjli</w:t>
      </w:r>
      <w:r w:rsidRPr="000925A8">
        <w:t>g</w:t>
      </w:r>
      <w:r w:rsidRPr="000925A8">
        <w:t>heten att genom detaljplanebestämmelser närmare reglera formen för handeln inom planer avsedda för handelsändamål. Motivet till förändringen var att främja konkurrensen. Med förändringarna var det inte längre en kommunal angelägenhet att avgöra var eller i vilken omfattning livsmedelsförsäljning får ske inom detaljplanelagda områden med handelsändamål. Boverket menar att den nya bestämmelsen tycks ha tolkats så att ingen särreglering av handelsä</w:t>
      </w:r>
      <w:r w:rsidRPr="000925A8">
        <w:t>n</w:t>
      </w:r>
      <w:r w:rsidRPr="000925A8">
        <w:t>damålet fick ske. Detta resulterade</w:t>
      </w:r>
      <w:r w:rsidRPr="000925A8">
        <w:t xml:space="preserve"> i en betydande försiktighet bland komm</w:t>
      </w:r>
      <w:r w:rsidRPr="000925A8">
        <w:t>u</w:t>
      </w:r>
      <w:r w:rsidRPr="000925A8">
        <w:t>nerna att detaljplanera för handelsområden.</w:t>
      </w:r>
      <w:r w:rsidRPr="000925A8">
        <w:rPr>
          <w:rStyle w:val="Fotnotsreferens"/>
        </w:rPr>
        <w:footnoteReference w:id="132"/>
      </w:r>
      <w:r w:rsidRPr="000925A8">
        <w:t xml:space="preserve"> </w:t>
      </w:r>
    </w:p>
    <w:p w14:paraId="5936777C" w14:textId="77777777" w:rsidR="00241093" w:rsidRPr="000925A8" w:rsidRDefault="00241093">
      <w:pPr>
        <w:pStyle w:val="Normaltindrag"/>
      </w:pPr>
      <w:r w:rsidRPr="000925A8">
        <w:t xml:space="preserve">Från och med den 1 januari 1997 infördes på nytt regler i PBL som gjorde det möjligt att genom planbestämmelser begränsa vilken typ av handel som får bedrivas på en viss plats. Det krävs emellertid ”skäl av betydande vikt” för att få reglera handelsändamålet i en detaljplan. Detta innebär i sin tur att en begränsning inte kan ske med mindre än att den aktuella kommunen har gjort en utredning som motiverar en sådan särreglering. </w:t>
      </w:r>
    </w:p>
    <w:p w14:paraId="1992AF6F" w14:textId="77777777" w:rsidR="00241093" w:rsidRPr="000925A8" w:rsidRDefault="00241093">
      <w:pPr>
        <w:pStyle w:val="Normaltindrag"/>
      </w:pPr>
      <w:r w:rsidRPr="000925A8">
        <w:t>Efter lagändringen har det vid flera tillfällen lämnats motionsförslag om att riksdagen på nytt avskaffar kommunernas rätt att i detaljplan precisera ha</w:t>
      </w:r>
      <w:r w:rsidRPr="000925A8">
        <w:t>n</w:t>
      </w:r>
      <w:r w:rsidRPr="000925A8">
        <w:t>delsändamålet.</w:t>
      </w:r>
      <w:r w:rsidRPr="000925A8">
        <w:rPr>
          <w:rStyle w:val="Fotnotsreferens"/>
        </w:rPr>
        <w:footnoteReference w:id="133"/>
      </w:r>
      <w:r w:rsidRPr="000925A8">
        <w:t xml:space="preserve"> Bostadsutskottet har avstyrkt dessa förslag bl.a. med hä</w:t>
      </w:r>
      <w:r w:rsidRPr="000925A8">
        <w:t>n</w:t>
      </w:r>
      <w:r w:rsidRPr="000925A8">
        <w:t>visning till att gällande regler ligger i linje med riksdagens begäran 1995 och att farhågorna om att regleringen skulle begränsa konkurrensen fick anses vara ogrundade. Utskottet har också pekat på att en förutsättning för att en reglering av handelsändamålet ska bli aktuell är att det föreligger särskilda skäl.</w:t>
      </w:r>
      <w:r w:rsidRPr="000925A8">
        <w:rPr>
          <w:rStyle w:val="Fotnotsreferens"/>
        </w:rPr>
        <w:footnoteReference w:id="134"/>
      </w:r>
    </w:p>
    <w:p w14:paraId="2B60F191" w14:textId="77777777" w:rsidR="00241093" w:rsidRPr="000925A8" w:rsidRDefault="00241093">
      <w:pPr>
        <w:pStyle w:val="R3"/>
      </w:pPr>
      <w:r w:rsidRPr="000925A8">
        <w:t>Riksdagens syn på reglering av externhandelsetableringar</w:t>
      </w:r>
    </w:p>
    <w:p w14:paraId="41202303" w14:textId="77777777" w:rsidR="00241093" w:rsidRPr="000925A8" w:rsidRDefault="00241093">
      <w:r w:rsidRPr="000925A8">
        <w:t>På senare år har det i flera riksdagsmotioner framförts krav på att det ska utarbetas en nationell policy för utveckling av externa köpcentrum inklusive restriktioner för denna typ av etableringar. Några motionärer har även för</w:t>
      </w:r>
      <w:r w:rsidRPr="000925A8">
        <w:t>e</w:t>
      </w:r>
      <w:r w:rsidRPr="000925A8">
        <w:t>slagit att grannkommuner ska få vetorätt i dessa frågor samt att det införs ett moratorium för etablering av nya köpcentrum i likhet med det som finns i Norge sedan 1999 (se nedan).</w:t>
      </w:r>
      <w:r w:rsidRPr="000925A8">
        <w:rPr>
          <w:rStyle w:val="Fotnotsreferens"/>
        </w:rPr>
        <w:footnoteReference w:id="135"/>
      </w:r>
      <w:r w:rsidRPr="000925A8">
        <w:t xml:space="preserve"> </w:t>
      </w:r>
    </w:p>
    <w:p w14:paraId="08EC140B" w14:textId="77777777" w:rsidR="00241093" w:rsidRPr="000925A8" w:rsidRDefault="00241093">
      <w:pPr>
        <w:pStyle w:val="Normaltindrag"/>
      </w:pPr>
      <w:r w:rsidRPr="000925A8">
        <w:t>Senast bostadsutskottet behandlade motioner på detta tema var våren 2001. Utskottet avstyrkte förslagen med hänvisning bl.a. till de möjligheter som kommunerna har att styra etableringar, länsstyrelsens ansvar för samordning och deras bevakning av att allmänna intressen tillgodoses.</w:t>
      </w:r>
      <w:r w:rsidRPr="000925A8">
        <w:rPr>
          <w:rStyle w:val="Fotnotsreferens"/>
        </w:rPr>
        <w:footnoteReference w:id="136"/>
      </w:r>
      <w:r w:rsidRPr="000925A8">
        <w:t xml:space="preserve"> Utskottet erinr</w:t>
      </w:r>
      <w:r w:rsidRPr="000925A8">
        <w:t>a</w:t>
      </w:r>
      <w:r w:rsidRPr="000925A8">
        <w:t>de dessutom om att det vid planläggning enligt PBL ska tas hänsyn till fö</w:t>
      </w:r>
      <w:r w:rsidRPr="000925A8">
        <w:t>r</w:t>
      </w:r>
      <w:r w:rsidRPr="000925A8">
        <w:t>hållandena i angränsande kommuner. Bestämmelsen ställer krav på änd</w:t>
      </w:r>
      <w:r w:rsidRPr="000925A8">
        <w:t>a</w:t>
      </w:r>
      <w:r w:rsidRPr="000925A8">
        <w:t>målsenlig samordning av kommunernas planläggning i syfte att åstadkomma ett samarbete mellan kommunerna. Utskottet avstyrkte motione</w:t>
      </w:r>
      <w:r w:rsidRPr="000925A8">
        <w:t>r</w:t>
      </w:r>
      <w:r w:rsidRPr="000925A8">
        <w:t>na.</w:t>
      </w:r>
    </w:p>
    <w:p w14:paraId="63C99753" w14:textId="77777777" w:rsidR="00241093" w:rsidRPr="000925A8" w:rsidRDefault="00241093">
      <w:pPr>
        <w:pStyle w:val="R3"/>
      </w:pPr>
      <w:r w:rsidRPr="000925A8">
        <w:t>Boverkets roll</w:t>
      </w:r>
    </w:p>
    <w:p w14:paraId="47BF473C" w14:textId="77777777" w:rsidR="00241093" w:rsidRPr="000925A8" w:rsidRDefault="00241093">
      <w:r w:rsidRPr="000925A8">
        <w:t>Delvis som ett resultat av den allt intensivare debatten om externa handels</w:t>
      </w:r>
      <w:r w:rsidRPr="000925A8">
        <w:softHyphen/>
        <w:t>etableringar gav Boverket hösten 1999 ut rapporten Handeln i planeringen. Rapporten var en utvidgning av ett arbete vars syfte ursprungligen var att belysa innehållet i den lagändring som trädde i kraft den 1 januari 1997 avs</w:t>
      </w:r>
      <w:r w:rsidRPr="000925A8">
        <w:t>e</w:t>
      </w:r>
      <w:r w:rsidRPr="000925A8">
        <w:t>ende handelns reglering i detaljplaneringen (se ovan). Syftet med rapporten var bl.a. att visa på de möjligheter PBL ger när man planerar för handel.</w:t>
      </w:r>
      <w:r w:rsidRPr="000925A8">
        <w:rPr>
          <w:rStyle w:val="Fotnotsreferens"/>
        </w:rPr>
        <w:footnoteReference w:id="137"/>
      </w:r>
      <w:r w:rsidRPr="000925A8">
        <w:t xml:space="preserve"> </w:t>
      </w:r>
    </w:p>
    <w:p w14:paraId="101C9AD9" w14:textId="77777777" w:rsidR="00241093" w:rsidRPr="000925A8" w:rsidRDefault="00241093">
      <w:pPr>
        <w:pStyle w:val="Normaltindrag"/>
      </w:pPr>
      <w:r w:rsidRPr="000925A8">
        <w:t>I rapporten beskriver Boverket utvecklingslinjer inom handelsstrukturen och de problem dessa kan medföra. Vidare redovisas en del internationella trender på området samt den betydelse handeln har inte bara ur ett lokalis</w:t>
      </w:r>
      <w:r w:rsidRPr="000925A8">
        <w:t>e</w:t>
      </w:r>
      <w:r w:rsidRPr="000925A8">
        <w:t xml:space="preserve">ringsperspektiv. </w:t>
      </w:r>
    </w:p>
    <w:p w14:paraId="346D2656" w14:textId="77777777" w:rsidR="00241093" w:rsidRPr="000925A8" w:rsidRDefault="00241093">
      <w:pPr>
        <w:pStyle w:val="Normaltindrag"/>
      </w:pPr>
      <w:r w:rsidRPr="000925A8">
        <w:t>Boverkets analys mynnade bl.a. ut i att man rekommenderade att komm</w:t>
      </w:r>
      <w:r w:rsidRPr="000925A8">
        <w:t>u</w:t>
      </w:r>
      <w:r w:rsidRPr="000925A8">
        <w:t>nerna upprättar en handelspolicy. Man menade också att de handelsetabl</w:t>
      </w:r>
      <w:r w:rsidRPr="000925A8">
        <w:t>e</w:t>
      </w:r>
      <w:r w:rsidRPr="000925A8">
        <w:t xml:space="preserve">ringar som påverkar förhållanden i angränsande kommuner ska behandlas på regional nivå så att de mellankommunala intressena sammanvägs. Boverket betonade betydelsen av att kommunerna beskriver den egna förväntade nyttan av en etablering på ett genomgripande sätt. </w:t>
      </w:r>
    </w:p>
    <w:p w14:paraId="5A649139" w14:textId="77777777" w:rsidR="00241093" w:rsidRPr="000925A8" w:rsidRDefault="00241093">
      <w:pPr>
        <w:pStyle w:val="Normaltindrag"/>
      </w:pPr>
      <w:r w:rsidRPr="000925A8">
        <w:t>I detta sammanhang bör även nämnas att Boverket betonade länsstyrelse</w:t>
      </w:r>
      <w:r w:rsidRPr="000925A8">
        <w:t>r</w:t>
      </w:r>
      <w:r w:rsidRPr="000925A8">
        <w:t>nas tydliga roll i utvecklingen av en regional samsyn kring frågor om ha</w:t>
      </w:r>
      <w:r w:rsidRPr="000925A8">
        <w:t>n</w:t>
      </w:r>
      <w:r w:rsidRPr="000925A8">
        <w:t>delsetableringar. Det gäller bl.a. att länsstyrelsen bör uppmärksamma berörda kommuner på förhållanden som behöver samordnas i ett mellankommunalt perspektiv. Vidare bör länsstyrelsen medverka till att etableringar som fö</w:t>
      </w:r>
      <w:r w:rsidRPr="000925A8">
        <w:t>r</w:t>
      </w:r>
      <w:r w:rsidRPr="000925A8">
        <w:t>väntas få mellankommunala eller regionala konsekvenser konsekvensbeskrivs i den kommunala översiktsplanen eller i en särskild handelspolicy och att erforderlig samordning sker mellan berörda kommuner. Boverket menade</w:t>
      </w:r>
      <w:r w:rsidRPr="000925A8">
        <w:t xml:space="preserve"> vidare att om en kommun har gjort erforderliga strategiska bedömningar av en etablering bör detta få stor betydelse för länsstyrelsens agerande. </w:t>
      </w:r>
    </w:p>
    <w:p w14:paraId="5F242BB2" w14:textId="77777777" w:rsidR="00241093" w:rsidRPr="000925A8" w:rsidRDefault="00241093">
      <w:pPr>
        <w:pStyle w:val="Normaltindrag"/>
        <w:rPr>
          <w:snapToGrid w:val="0"/>
          <w:lang w:eastAsia="sv-SE"/>
        </w:rPr>
      </w:pPr>
      <w:r w:rsidRPr="000925A8">
        <w:t>Boverkets rapport spreds till kommuner, länsstyrelser m.fl. berörda parter, och verket har sedan rapporten publicerades genomfört flera seminarier kring externhandelsfrågor. Boverket har inte gjort någon systematisk uppföljning av vad detta arbete har lett till, som exempelvis fler kommunala handelsstrateg</w:t>
      </w:r>
      <w:r w:rsidRPr="000925A8">
        <w:t>i</w:t>
      </w:r>
      <w:r w:rsidRPr="000925A8">
        <w:t xml:space="preserve">er. Man gör dock bedömningen att det </w:t>
      </w:r>
      <w:r w:rsidRPr="000925A8">
        <w:rPr>
          <w:snapToGrid w:val="0"/>
          <w:lang w:eastAsia="sv-SE"/>
        </w:rPr>
        <w:t xml:space="preserve">görs mellan fem och tio </w:t>
      </w:r>
      <w:r w:rsidRPr="000925A8">
        <w:t xml:space="preserve">mer </w:t>
      </w:r>
      <w:r w:rsidRPr="000925A8">
        <w:rPr>
          <w:snapToGrid w:val="0"/>
          <w:lang w:eastAsia="sv-SE"/>
        </w:rPr>
        <w:t>genoma</w:t>
      </w:r>
      <w:r w:rsidRPr="000925A8">
        <w:rPr>
          <w:snapToGrid w:val="0"/>
          <w:lang w:eastAsia="sv-SE"/>
        </w:rPr>
        <w:t>r</w:t>
      </w:r>
      <w:r w:rsidRPr="000925A8">
        <w:rPr>
          <w:snapToGrid w:val="0"/>
          <w:lang w:eastAsia="sv-SE"/>
        </w:rPr>
        <w:t>betade kommunala handelsstrategier. Dessa inkluderar grundliga statistikst</w:t>
      </w:r>
      <w:r w:rsidRPr="000925A8">
        <w:rPr>
          <w:snapToGrid w:val="0"/>
          <w:lang w:eastAsia="sv-SE"/>
        </w:rPr>
        <w:t>u</w:t>
      </w:r>
      <w:r w:rsidRPr="000925A8">
        <w:rPr>
          <w:snapToGrid w:val="0"/>
          <w:lang w:eastAsia="sv-SE"/>
        </w:rPr>
        <w:t>dier, djupare utredningar och konsekvensbedömningar. Därutöver görs en del enklare detaljhandelsutredningar. Det förekommer även att kommuner på ett mer eller mindre utvecklat sätt tar ställning till handelsfrågor i sina översikt</w:t>
      </w:r>
      <w:r w:rsidRPr="000925A8">
        <w:rPr>
          <w:snapToGrid w:val="0"/>
          <w:lang w:eastAsia="sv-SE"/>
        </w:rPr>
        <w:t>s</w:t>
      </w:r>
      <w:r w:rsidRPr="000925A8">
        <w:rPr>
          <w:snapToGrid w:val="0"/>
          <w:lang w:eastAsia="sv-SE"/>
        </w:rPr>
        <w:t xml:space="preserve">planer. </w:t>
      </w:r>
    </w:p>
    <w:p w14:paraId="09AD2C66" w14:textId="77777777" w:rsidR="00241093" w:rsidRPr="000925A8" w:rsidRDefault="00241093">
      <w:pPr>
        <w:pStyle w:val="Normaltindrag"/>
      </w:pPr>
      <w:r w:rsidRPr="000925A8">
        <w:t xml:space="preserve">De enda försök med regionala handelsstrategier som Boverket känner till är det som Region- och trafikplanekontoret har gjort </w:t>
      </w:r>
      <w:r w:rsidRPr="000925A8">
        <w:t>i Stockholms län samt det i Skåne län som beskrivs närmare längre fram i detta kapitel.</w:t>
      </w:r>
    </w:p>
    <w:p w14:paraId="538D0BA3" w14:textId="77777777" w:rsidR="00241093" w:rsidRPr="000925A8" w:rsidRDefault="00241093">
      <w:pPr>
        <w:pStyle w:val="R3"/>
      </w:pPr>
      <w:r w:rsidRPr="000925A8">
        <w:t>Konkurrensverket om PBL och extern handel</w:t>
      </w:r>
    </w:p>
    <w:p w14:paraId="65044A19" w14:textId="77777777" w:rsidR="00241093" w:rsidRPr="000925A8" w:rsidRDefault="00241093">
      <w:r w:rsidRPr="000925A8">
        <w:t>I oktober 2001 presenterade Konkurrensverket (KKV) rapporten Kan ko</w:t>
      </w:r>
      <w:r w:rsidRPr="000925A8">
        <w:t>m</w:t>
      </w:r>
      <w:r w:rsidRPr="000925A8">
        <w:t>munerna pressa matpriserna?</w:t>
      </w:r>
      <w:r w:rsidRPr="000925A8">
        <w:rPr>
          <w:rStyle w:val="Fotnotsreferens"/>
        </w:rPr>
        <w:footnoteReference w:id="138"/>
      </w:r>
      <w:r w:rsidRPr="000925A8">
        <w:t xml:space="preserve"> KKV konstaterade att en viktig förklaring till att Sverige har matpriser som ligger väl över OECD-genomsnittet är de b</w:t>
      </w:r>
      <w:r w:rsidRPr="000925A8">
        <w:t>e</w:t>
      </w:r>
      <w:r w:rsidRPr="000925A8">
        <w:t>gränsningar som finns för en aktör att etablera sig på marknaden. Kommune</w:t>
      </w:r>
      <w:r w:rsidRPr="000925A8">
        <w:t>r</w:t>
      </w:r>
      <w:r w:rsidRPr="000925A8">
        <w:t xml:space="preserve">nas detaljplanering är, enligt KKV, en avgörande faktor i det avseendet. </w:t>
      </w:r>
    </w:p>
    <w:p w14:paraId="709B91C6" w14:textId="77777777" w:rsidR="00241093" w:rsidRPr="000925A8" w:rsidRDefault="00241093">
      <w:pPr>
        <w:pStyle w:val="Normaltindrag"/>
      </w:pPr>
      <w:r w:rsidRPr="000925A8">
        <w:t>En genomgång av 16 000 detaljplaner i 162 kommuner visade, enligt KKV, att en ökad marknadsandel för lågprisbutiker och stormarknader ofta resulterar i en generellt sett lägre prisnivå än den genomsnittliga i landet. Detta samband ansågs vara ä</w:t>
      </w:r>
      <w:r w:rsidRPr="000925A8">
        <w:t xml:space="preserve">n tydligare i storstadskommunerna än i övriga landet. </w:t>
      </w:r>
    </w:p>
    <w:p w14:paraId="1B3439F7" w14:textId="77777777" w:rsidR="00241093" w:rsidRPr="000925A8" w:rsidRDefault="00241093">
      <w:pPr>
        <w:pStyle w:val="Normaltindrag"/>
      </w:pPr>
      <w:r w:rsidRPr="000925A8">
        <w:t>KKV menade också att de handelsutredningar som görs i samband med planeringen nästan uteslutande fokuserar de negativa effekterna av en etabl</w:t>
      </w:r>
      <w:r w:rsidRPr="000925A8">
        <w:t>e</w:t>
      </w:r>
      <w:r w:rsidRPr="000925A8">
        <w:t>ring och att för lite kraft läggs på att belysa motåtgärder för att undvika att exempelvis handeln i en stadskärna utarmas. KKV föreslog därför att PBL förtydligas när det gäller konkurrensintresset för att därigenom säkerställa att både positiva och negativa effekter av handeln vägs in i bedömningen. KKV ansåg också att kunskapen om konkurrensfrågorna bör stärkas i det komm</w:t>
      </w:r>
      <w:r w:rsidRPr="000925A8">
        <w:t>u</w:t>
      </w:r>
      <w:r w:rsidRPr="000925A8">
        <w:t>nala planarb</w:t>
      </w:r>
      <w:r w:rsidRPr="000925A8">
        <w:t>e</w:t>
      </w:r>
      <w:r w:rsidRPr="000925A8">
        <w:t>tet. Både länsstyrelsen och KKV kan här spela en viktig roll.</w:t>
      </w:r>
    </w:p>
    <w:p w14:paraId="3DA074E6" w14:textId="77777777" w:rsidR="00241093" w:rsidRPr="000925A8" w:rsidRDefault="00241093">
      <w:pPr>
        <w:pStyle w:val="R3"/>
      </w:pPr>
      <w:r w:rsidRPr="000925A8">
        <w:t>Nordisk utblick</w:t>
      </w:r>
    </w:p>
    <w:p w14:paraId="4FB16FEC" w14:textId="77777777" w:rsidR="00241093" w:rsidRPr="000925A8" w:rsidRDefault="00241093">
      <w:r w:rsidRPr="000925A8">
        <w:t>Frågan om externhandelsetableringar diskuteras flitigt även i de andra nordi</w:t>
      </w:r>
      <w:r w:rsidRPr="000925A8">
        <w:t>s</w:t>
      </w:r>
      <w:r w:rsidRPr="000925A8">
        <w:t>ka länderna. Mot den bakgrunden gav Miljödepartementet i samverkan med sina motsvarigheter i Norge, Danmark, Island och Finland ut en gemensam skrift om planläggning för detaljhandel i Norden.</w:t>
      </w:r>
      <w:r w:rsidRPr="000925A8">
        <w:rPr>
          <w:rStyle w:val="Fotnotsreferens"/>
        </w:rPr>
        <w:footnoteReference w:id="139"/>
      </w:r>
      <w:r w:rsidRPr="000925A8">
        <w:t xml:space="preserve"> </w:t>
      </w:r>
    </w:p>
    <w:p w14:paraId="651F9ECD" w14:textId="77777777" w:rsidR="00241093" w:rsidRPr="000925A8" w:rsidRDefault="00241093">
      <w:pPr>
        <w:pStyle w:val="Normaltindrag"/>
      </w:pPr>
      <w:r w:rsidRPr="000925A8">
        <w:t>Av rapporten framkommer att de olika länderna har hanterat frågan på lite olika sätt. Detta beror till viss del på grundläggande olikheter i plansystemen som bl.a. sammanhänger med rollfördelningen mellan den nationella, regi</w:t>
      </w:r>
      <w:r w:rsidRPr="000925A8">
        <w:t>o</w:t>
      </w:r>
      <w:r w:rsidRPr="000925A8">
        <w:t>nala och lokala nivån. I Danmark tillkom en ny lag 1997 som tydligare u</w:t>
      </w:r>
      <w:r w:rsidRPr="000925A8">
        <w:t>t</w:t>
      </w:r>
      <w:r w:rsidRPr="000925A8">
        <w:t>tryckte krav på att handel ska lokaliseras till stadskärnorna. Möjligheterna till handelstillväxt i de större städerna begränsades och främjades i mindre och mellanstora städer. Etablering av nya butikscentrum skulle undvikas. I Da</w:t>
      </w:r>
      <w:r w:rsidRPr="000925A8">
        <w:t>n</w:t>
      </w:r>
      <w:r w:rsidRPr="000925A8">
        <w:t>mark har regionplaneringen större betydelse än i Sverige och i dessa planer läggs en struktur fast för den samlade detaljhandeln för hela länet (amtet). Där regleras också den maximala storleken på butiker s</w:t>
      </w:r>
      <w:r w:rsidRPr="000925A8">
        <w:t xml:space="preserve">om kan planläggas i den kommunala planläggningen. I Danmark finns dessutom tydligare nationella mål för detaljhandelns utveckling än i Sverige. </w:t>
      </w:r>
    </w:p>
    <w:p w14:paraId="091C1829" w14:textId="77777777" w:rsidR="00241093" w:rsidRPr="000925A8" w:rsidRDefault="00241093">
      <w:pPr>
        <w:pStyle w:val="Normaltindrag"/>
      </w:pPr>
      <w:r w:rsidRPr="000925A8">
        <w:t>I Norge infördes 1999 ett femårigt stopp för tillkomsten av butiksarealer överstigande 3000 m</w:t>
      </w:r>
      <w:r w:rsidRPr="000925A8">
        <w:rPr>
          <w:vertAlign w:val="superscript"/>
        </w:rPr>
        <w:t>2</w:t>
      </w:r>
      <w:r w:rsidRPr="000925A8">
        <w:t xml:space="preserve"> utanför stadskärnorna. Detta stopp kommer att ersättas av de nya regionala </w:t>
      </w:r>
      <w:r w:rsidRPr="000925A8">
        <w:rPr>
          <w:i/>
        </w:rPr>
        <w:t>fylkesplaner</w:t>
      </w:r>
      <w:r w:rsidRPr="000925A8">
        <w:t xml:space="preserve"> som är under utarbetande. I dessa ska bl.a. riktlinjer för detaljhandelns lokalisering och omfattning slås fast. Samtidigt ses den norska motsvarigheten till PBL över i syfte att strama upp reglerna för handelsetableringar. </w:t>
      </w:r>
    </w:p>
    <w:p w14:paraId="15D78FC6" w14:textId="77777777" w:rsidR="00241093" w:rsidRPr="000925A8" w:rsidRDefault="00241093">
      <w:pPr>
        <w:pStyle w:val="Normaltindrag"/>
      </w:pPr>
      <w:r w:rsidRPr="000925A8">
        <w:t>Finland antog år 2000 en ny markanvändnings- och bygglag. I lagen fra</w:t>
      </w:r>
      <w:r w:rsidRPr="000925A8">
        <w:t>m</w:t>
      </w:r>
      <w:r w:rsidRPr="000925A8">
        <w:t>kommer att stadskärnorna ska prioriteras vid lokalisering av större handel</w:t>
      </w:r>
      <w:r w:rsidRPr="000925A8">
        <w:t>s</w:t>
      </w:r>
      <w:r w:rsidRPr="000925A8">
        <w:t>centrum. Liksom i Danmark läggs en övergripande regional struktur för ha</w:t>
      </w:r>
      <w:r w:rsidRPr="000925A8">
        <w:t>n</w:t>
      </w:r>
      <w:r w:rsidRPr="000925A8">
        <w:t xml:space="preserve">delsutvecklingen fast i det som betecknas </w:t>
      </w:r>
      <w:r w:rsidRPr="000925A8">
        <w:rPr>
          <w:i/>
        </w:rPr>
        <w:t>landskapsplan</w:t>
      </w:r>
      <w:r w:rsidRPr="000925A8">
        <w:t>. Landskapsplanen utarbetas av landskapsförbunden i dialog med Miljöministeriet. Landskap</w:t>
      </w:r>
      <w:r w:rsidRPr="000925A8">
        <w:t>s</w:t>
      </w:r>
      <w:r w:rsidRPr="000925A8">
        <w:t xml:space="preserve">förbundet är en sammanslutning av kommunerna i en region. </w:t>
      </w:r>
    </w:p>
    <w:p w14:paraId="09B35F39" w14:textId="77777777" w:rsidR="00241093" w:rsidRPr="000925A8" w:rsidRDefault="00241093">
      <w:pPr>
        <w:pStyle w:val="Normaltindrag"/>
      </w:pPr>
      <w:r w:rsidRPr="000925A8">
        <w:t xml:space="preserve">I den beskrivning som görs av förhållandena i några av de gränsområden där det förekommer externa handelsetableringar (Öresundsregionen m.fl.) konstateras att </w:t>
      </w:r>
      <w:r w:rsidRPr="000925A8">
        <w:t>den svenska planläggningen för detaljhandel skiljer sig från motsvarande planläggning i grannländerna. Man noterar att det i den offentl</w:t>
      </w:r>
      <w:r w:rsidRPr="000925A8">
        <w:t>i</w:t>
      </w:r>
      <w:r w:rsidRPr="000925A8">
        <w:t>ga planeringen under en längre tid har varit en mindre fokusering på detal</w:t>
      </w:r>
      <w:r w:rsidRPr="000925A8">
        <w:t>j</w:t>
      </w:r>
      <w:r w:rsidRPr="000925A8">
        <w:t>handelns lokalisering i Sverige och att den i stället främst styrs av handelns egna intressen. Detta har resulterat i en större extern etablering och i att ha</w:t>
      </w:r>
      <w:r w:rsidRPr="000925A8">
        <w:t>n</w:t>
      </w:r>
      <w:r w:rsidRPr="000925A8">
        <w:t xml:space="preserve">delscentrum har lokaliserats nära gränsen till en grannkommun. </w:t>
      </w:r>
    </w:p>
    <w:p w14:paraId="4158BB57" w14:textId="77777777" w:rsidR="00241093" w:rsidRPr="000925A8" w:rsidRDefault="00241093">
      <w:pPr>
        <w:pStyle w:val="Normaltindrag"/>
      </w:pPr>
      <w:r w:rsidRPr="000925A8">
        <w:t>I sammanhanget kan även nämnas att det i de flesta av EU:s medlemslä</w:t>
      </w:r>
      <w:r w:rsidRPr="000925A8">
        <w:t>n</w:t>
      </w:r>
      <w:r w:rsidRPr="000925A8">
        <w:t>der finns en nationell policy för hur man ska hantera externhandelsfrågor och hur man kan hindra en ogynnsam utveckling. Sverige saknar en sådan policy, vilket gör att förhållandena mer liknar de i USA där handeln i allt större u</w:t>
      </w:r>
      <w:r w:rsidRPr="000925A8">
        <w:t>t</w:t>
      </w:r>
      <w:r w:rsidRPr="000925A8">
        <w:t>sträckning inriktas mot bilberoende externha</w:t>
      </w:r>
      <w:r w:rsidRPr="000925A8">
        <w:t>n</w:t>
      </w:r>
      <w:r w:rsidRPr="000925A8">
        <w:t>del.</w:t>
      </w:r>
      <w:r w:rsidRPr="000925A8">
        <w:rPr>
          <w:rStyle w:val="Fotnotsreferens"/>
        </w:rPr>
        <w:footnoteReference w:id="140"/>
      </w:r>
    </w:p>
    <w:p w14:paraId="0417C3D6" w14:textId="77777777" w:rsidR="00241093" w:rsidRPr="000925A8" w:rsidRDefault="00241093">
      <w:pPr>
        <w:pStyle w:val="R3"/>
      </w:pPr>
      <w:r w:rsidRPr="000925A8">
        <w:t>Extern handel i Skåne län</w:t>
      </w:r>
    </w:p>
    <w:p w14:paraId="1EC0AA4F" w14:textId="77777777" w:rsidR="00241093" w:rsidRPr="000925A8" w:rsidRDefault="00241093">
      <w:pPr>
        <w:pStyle w:val="R4"/>
      </w:pPr>
      <w:r w:rsidRPr="000925A8">
        <w:t>Inledning</w:t>
      </w:r>
    </w:p>
    <w:p w14:paraId="605249B3" w14:textId="77777777" w:rsidR="00241093" w:rsidRPr="000925A8" w:rsidRDefault="00241093">
      <w:pPr>
        <w:spacing w:before="0"/>
      </w:pPr>
      <w:r w:rsidRPr="000925A8">
        <w:t xml:space="preserve">Skåne län är tätbefolkat och består av många till ytan relativt små kommuner. Avstånden mellan kommunernas centralorter är ofta litet, vilket gör att större externhandelsetableringar inte sällan har upptagningsområden som påverkar handeln i en eller flera grannkommuner. </w:t>
      </w:r>
    </w:p>
    <w:p w14:paraId="4FE25049" w14:textId="77777777" w:rsidR="00241093" w:rsidRPr="000925A8" w:rsidRDefault="00241093">
      <w:pPr>
        <w:pStyle w:val="Normaltindrag"/>
      </w:pPr>
      <w:r w:rsidRPr="000925A8">
        <w:t>Med Öresundsbrons tillkomst växte förväntningarna på en tillväxt i ha</w:t>
      </w:r>
      <w:r w:rsidRPr="000925A8">
        <w:t>n</w:t>
      </w:r>
      <w:r w:rsidRPr="000925A8">
        <w:t>deln. Fler skånska kommuner planerade därför etablering av externa handel</w:t>
      </w:r>
      <w:r w:rsidRPr="000925A8">
        <w:t>s</w:t>
      </w:r>
      <w:r w:rsidRPr="000925A8">
        <w:t>centrum. Situationen blev så kritisk att den danske miljöministern uppvaktade den svenska inrikesministern för en diskussion om situationen. Detta bl.a. mot bakgrund av att man i Danmark då nyligen hade antagit strängare etablering</w:t>
      </w:r>
      <w:r w:rsidRPr="000925A8">
        <w:t>s</w:t>
      </w:r>
      <w:r w:rsidRPr="000925A8">
        <w:t xml:space="preserve">bestämmelser. Länsstyrelsen i Skåne län beskrev situationen på följande sätt: </w:t>
      </w:r>
    </w:p>
    <w:p w14:paraId="382EEED1" w14:textId="77777777" w:rsidR="00241093" w:rsidRPr="000925A8" w:rsidRDefault="00241093">
      <w:pPr>
        <w:pStyle w:val="Normaltindrag"/>
      </w:pPr>
      <w:r w:rsidRPr="000925A8">
        <w:t>Det finns en oro på den danska sidan över att en tillåtande policy angående externhandel i Sverige motverkar deras egna sträva</w:t>
      </w:r>
      <w:r w:rsidRPr="000925A8">
        <w:t>nden att genom en mer restriktiv planering sörja för välmående stadskä</w:t>
      </w:r>
      <w:r w:rsidRPr="000925A8">
        <w:t>r</w:t>
      </w:r>
      <w:r w:rsidRPr="000925A8">
        <w:t>nor.</w:t>
      </w:r>
      <w:r w:rsidRPr="000925A8">
        <w:rPr>
          <w:rStyle w:val="Fotnotsreferens"/>
          <w:sz w:val="20"/>
        </w:rPr>
        <w:footnoteReference w:id="141"/>
      </w:r>
    </w:p>
    <w:p w14:paraId="7B8C89C9" w14:textId="77777777" w:rsidR="00241093" w:rsidRPr="000925A8" w:rsidRDefault="00241093">
      <w:pPr>
        <w:pStyle w:val="R4"/>
      </w:pPr>
      <w:r w:rsidRPr="000925A8">
        <w:t>Länsstyrelsen som kunskapsförmedlare</w:t>
      </w:r>
    </w:p>
    <w:p w14:paraId="598ED742" w14:textId="77777777" w:rsidR="00241093" w:rsidRPr="000925A8" w:rsidRDefault="00241093">
      <w:pPr>
        <w:spacing w:before="0"/>
      </w:pPr>
      <w:r w:rsidRPr="000925A8">
        <w:t>Länsstyrelsen i Skåne län tog i slutet av 1990-talet initiativ till att det i dåv</w:t>
      </w:r>
      <w:r w:rsidRPr="000925A8">
        <w:t>a</w:t>
      </w:r>
      <w:r w:rsidRPr="000925A8">
        <w:t>rande Regionförbundet Skånes regi togs fram en för samtliga kommuner i Skåne gemensam policy avseende externhandelsetableringar. Styrelsen för regionförbundet rekommenderade kommunerna att följa policyn, men polit</w:t>
      </w:r>
      <w:r w:rsidRPr="000925A8">
        <w:t>i</w:t>
      </w:r>
      <w:r w:rsidRPr="000925A8">
        <w:t>kerna i den nya regionala myndigheten Region Skåne valde att inte ta stäl</w:t>
      </w:r>
      <w:r w:rsidRPr="000925A8">
        <w:t>l</w:t>
      </w:r>
      <w:r w:rsidRPr="000925A8">
        <w:t xml:space="preserve">ning till policyn. Dokumentet har emellertid legat till grund för länsstyrelsens agerande i två av de fall som beskrivs närmare nedan. Länsstyrelsens syn på behovet av en gemensam hållning i denna fråga kan sammanfattas på </w:t>
      </w:r>
      <w:r w:rsidRPr="000925A8">
        <w:t xml:space="preserve">följande sätt: </w:t>
      </w:r>
    </w:p>
    <w:p w14:paraId="57E4E6E7" w14:textId="77777777" w:rsidR="00241093" w:rsidRPr="000925A8" w:rsidRDefault="00241093">
      <w:pPr>
        <w:pStyle w:val="Normaltindrag"/>
      </w:pPr>
      <w:r w:rsidRPr="000925A8">
        <w:t>Det mellankommunala och regionala samarbetet återkommer ständigt som en av de viktigaste faktorerna för att nå en godtagbar utveckling av exter</w:t>
      </w:r>
      <w:r w:rsidRPr="000925A8">
        <w:t>n</w:t>
      </w:r>
      <w:r w:rsidRPr="000925A8">
        <w:t>handelsetableringar. I avsaknad av lagstiftning som direkt reglerar handel</w:t>
      </w:r>
      <w:r w:rsidRPr="000925A8">
        <w:t>s</w:t>
      </w:r>
      <w:r w:rsidRPr="000925A8">
        <w:t>planeringen krävs en regional samsyn i frågan.</w:t>
      </w:r>
      <w:r w:rsidRPr="000925A8">
        <w:rPr>
          <w:rStyle w:val="Fotnotsreferens"/>
          <w:sz w:val="20"/>
        </w:rPr>
        <w:footnoteReference w:id="142"/>
      </w:r>
      <w:r w:rsidRPr="000925A8">
        <w:t xml:space="preserve"> </w:t>
      </w:r>
    </w:p>
    <w:p w14:paraId="037B034A" w14:textId="77777777" w:rsidR="00241093" w:rsidRPr="000925A8" w:rsidRDefault="00241093">
      <w:pPr>
        <w:pStyle w:val="Normaltindrag"/>
      </w:pPr>
      <w:r w:rsidRPr="000925A8">
        <w:t>Länsstyrelsen har också genomfört en kartläggning av förekomsten av e</w:t>
      </w:r>
      <w:r w:rsidRPr="000925A8">
        <w:t>x</w:t>
      </w:r>
      <w:r w:rsidRPr="000925A8">
        <w:t>tern handel i Skåne. Länsstyrelsen menade att ett samlat planeringsunderlag kunde vara värdefullt för den fysiska planeringen både i kommunerna och på länsstyrelsen. Kartläggningen skulle komplettera kommunernas eget unde</w:t>
      </w:r>
      <w:r w:rsidRPr="000925A8">
        <w:t>r</w:t>
      </w:r>
      <w:r w:rsidRPr="000925A8">
        <w:t xml:space="preserve">lagsmaterial. Länsstyrelsen betonade också att handels-etableringar i många fall är en mellankommunal fråga och att det därför kunde vara nyttigt för kommunerna att känna till kringliggande kommuners utbyggnadsplaner för att bättre kunna planera i den egna kommunen. </w:t>
      </w:r>
    </w:p>
    <w:p w14:paraId="2139D96B" w14:textId="77777777" w:rsidR="00241093" w:rsidRPr="000925A8" w:rsidRDefault="00241093">
      <w:pPr>
        <w:pStyle w:val="Normaltindrag"/>
      </w:pPr>
      <w:r w:rsidRPr="000925A8">
        <w:t>Som underlag för kart</w:t>
      </w:r>
      <w:r w:rsidRPr="000925A8">
        <w:t>läggningen användes bl.a. en enkät till samtliga 33 kommuner i länet med frågor om förekomsten av extern handel av regional betydelse. Därutöver gjordes en genomgång av handelsfrågornas hantering i de kommunala översiktsplanerna.</w:t>
      </w:r>
      <w:r w:rsidRPr="000925A8">
        <w:rPr>
          <w:rStyle w:val="Fotnotsreferens"/>
        </w:rPr>
        <w:footnoteReference w:id="143"/>
      </w:r>
      <w:r w:rsidRPr="000925A8">
        <w:t xml:space="preserve"> </w:t>
      </w:r>
    </w:p>
    <w:p w14:paraId="4356A5CD" w14:textId="77777777" w:rsidR="00241093" w:rsidRPr="000925A8" w:rsidRDefault="00241093">
      <w:pPr>
        <w:pStyle w:val="Normaltindrag"/>
      </w:pPr>
      <w:r w:rsidRPr="000925A8">
        <w:t>Vid länsstyrelsens genomgång av kommunernas översiktsplaner framkom att det i fråga om extern handel ofta talades om samordning, behovet av en gemensam strategi och policy. Detta tog länsstyrelsen fasta på och skapade, med utgångspunkt från den politiskt icke förankrade externhandelspolicy som tidigare hade utarbetats av Regionförbundet Skåne, det man kallade en praxis för planer som inbegriper handel. Denna praxis kan sammanfattas med att länsstyrelsen i Skåne län betraktar etableringar som innefattar me</w:t>
      </w:r>
      <w:r w:rsidRPr="000925A8">
        <w:t>r än 3 000 m</w:t>
      </w:r>
      <w:r w:rsidRPr="000925A8">
        <w:rPr>
          <w:vertAlign w:val="superscript"/>
        </w:rPr>
        <w:t>2</w:t>
      </w:r>
      <w:r w:rsidRPr="000925A8">
        <w:t xml:space="preserve"> handelsyta som mellankommunala frågor. Man ställer då krav på kons</w:t>
      </w:r>
      <w:r w:rsidRPr="000925A8">
        <w:t>e</w:t>
      </w:r>
      <w:r w:rsidRPr="000925A8">
        <w:t>kvensbeskrivningar, ofta kompletterade med trafikutredningar och handelsu</w:t>
      </w:r>
      <w:r w:rsidRPr="000925A8">
        <w:t>t</w:t>
      </w:r>
      <w:r w:rsidRPr="000925A8">
        <w:t xml:space="preserve">redningar, samt yttranden från berörda kommuner. </w:t>
      </w:r>
    </w:p>
    <w:p w14:paraId="6E2391B2" w14:textId="77777777" w:rsidR="00241093" w:rsidRPr="000925A8" w:rsidRDefault="00241093">
      <w:pPr>
        <w:pStyle w:val="Normaltindrag"/>
      </w:pPr>
      <w:r w:rsidRPr="000925A8">
        <w:t xml:space="preserve">Länsstyrelsen i Skåne län har vissa planer </w:t>
      </w:r>
      <w:r w:rsidRPr="000925A8">
        <w:rPr>
          <w:snapToGrid w:val="0"/>
          <w:lang w:eastAsia="sv-SE"/>
        </w:rPr>
        <w:t>på ett fortsatt arbete med ha</w:t>
      </w:r>
      <w:r w:rsidRPr="000925A8">
        <w:rPr>
          <w:snapToGrid w:val="0"/>
          <w:lang w:eastAsia="sv-SE"/>
        </w:rPr>
        <w:t>n</w:t>
      </w:r>
      <w:r w:rsidRPr="000925A8">
        <w:rPr>
          <w:snapToGrid w:val="0"/>
          <w:lang w:eastAsia="sv-SE"/>
        </w:rPr>
        <w:t>delsfrågorna. Tanken är bl.a. att ta fram goda exempel på konsekvensbeskri</w:t>
      </w:r>
      <w:r w:rsidRPr="000925A8">
        <w:rPr>
          <w:snapToGrid w:val="0"/>
          <w:lang w:eastAsia="sv-SE"/>
        </w:rPr>
        <w:t>v</w:t>
      </w:r>
      <w:r w:rsidRPr="000925A8">
        <w:rPr>
          <w:snapToGrid w:val="0"/>
          <w:lang w:eastAsia="sv-SE"/>
        </w:rPr>
        <w:t>ningar, handelsutredningar, trafikutredningar m.m. i samband med externa handelsetableringar.</w:t>
      </w:r>
    </w:p>
    <w:p w14:paraId="65994CE7" w14:textId="77777777" w:rsidR="00241093" w:rsidRPr="000925A8" w:rsidRDefault="00241093">
      <w:pPr>
        <w:pStyle w:val="R4"/>
      </w:pPr>
      <w:r w:rsidRPr="000925A8">
        <w:t>Fallet Stora Bernstorps industriområde i Burlövs kommun</w:t>
      </w:r>
    </w:p>
    <w:p w14:paraId="452821D8" w14:textId="77777777" w:rsidR="00241093" w:rsidRPr="000925A8" w:rsidRDefault="00241093">
      <w:pPr>
        <w:spacing w:before="0"/>
      </w:pPr>
      <w:r w:rsidRPr="000925A8">
        <w:t>Burlövs kommun antog i augusti 1996 en detaljplan för en del av Stora Bernstorps industriområde.</w:t>
      </w:r>
      <w:r w:rsidRPr="000925A8">
        <w:rPr>
          <w:rStyle w:val="Fotnotsreferens"/>
        </w:rPr>
        <w:footnoteReference w:id="144"/>
      </w:r>
      <w:r w:rsidRPr="000925A8">
        <w:t xml:space="preserve"> Syftet med planen var att inom en yta på ca 40 000 m</w:t>
      </w:r>
      <w:r w:rsidRPr="000925A8">
        <w:rPr>
          <w:vertAlign w:val="superscript"/>
        </w:rPr>
        <w:t>2</w:t>
      </w:r>
      <w:r w:rsidRPr="000925A8">
        <w:t xml:space="preserve"> skapa friare etableringsmöjligheter för all typ av handel inklus</w:t>
      </w:r>
      <w:r w:rsidRPr="000925A8">
        <w:t>i</w:t>
      </w:r>
      <w:r w:rsidRPr="000925A8">
        <w:t>ve livsmedelshandel. Länsstyrelsen hade under samrådsskedet inga invän</w:t>
      </w:r>
      <w:r w:rsidRPr="000925A8">
        <w:t>d</w:t>
      </w:r>
      <w:r w:rsidRPr="000925A8">
        <w:t>ningar mot planen ur mellankommunal synvinkel och beslutade sedermera att inte pröva planen enligt 12 kap. 1 § PBL. Visserligen konstaterade länsstyre</w:t>
      </w:r>
      <w:r w:rsidRPr="000925A8">
        <w:t>l</w:t>
      </w:r>
      <w:r w:rsidRPr="000925A8">
        <w:t>sen att planen berörde frågor av regionalt och mellankommunalt intresse. Enligt då gällande bestämmelser var det dock inte tillåtet att begränsa ha</w:t>
      </w:r>
      <w:r w:rsidRPr="000925A8">
        <w:t>n</w:t>
      </w:r>
      <w:r w:rsidRPr="000925A8">
        <w:t>delsändamålet i en pla</w:t>
      </w:r>
      <w:r w:rsidRPr="000925A8">
        <w:t>n varför planens slopande av detta förbud, enligt län</w:t>
      </w:r>
      <w:r w:rsidRPr="000925A8">
        <w:t>s</w:t>
      </w:r>
      <w:r w:rsidRPr="000925A8">
        <w:t>styrelsens uppfattning, var i överensstämmelse med lagens intentioner. Län</w:t>
      </w:r>
      <w:r w:rsidRPr="000925A8">
        <w:t>s</w:t>
      </w:r>
      <w:r w:rsidRPr="000925A8">
        <w:t>styrelsen menade att Burlövs kommun i ett område som redan var avsatt för handelsä</w:t>
      </w:r>
      <w:r w:rsidRPr="000925A8">
        <w:t>n</w:t>
      </w:r>
      <w:r w:rsidRPr="000925A8">
        <w:t xml:space="preserve">damål hade gjort en anpassning till gällande rätt. </w:t>
      </w:r>
    </w:p>
    <w:p w14:paraId="2FA732D6" w14:textId="77777777" w:rsidR="00241093" w:rsidRPr="000925A8" w:rsidRDefault="00241093">
      <w:pPr>
        <w:pStyle w:val="Normaltindrag"/>
      </w:pPr>
      <w:r w:rsidRPr="000925A8">
        <w:t>Planen överklagades av Lund och Malmö kommuner bl.a. med motive</w:t>
      </w:r>
      <w:r w:rsidRPr="000925A8">
        <w:t>r</w:t>
      </w:r>
      <w:r w:rsidRPr="000925A8">
        <w:t>ingen att planens tillkomst borde ha föregåtts av ett programarbete som hade möjliggjort för berörda grannkommuner att framföra synpunkter på planen i ett tidigt skede. Malmö kommun menade att det var uppenbart att en livsm</w:t>
      </w:r>
      <w:r w:rsidRPr="000925A8">
        <w:t>e</w:t>
      </w:r>
      <w:r w:rsidRPr="000925A8">
        <w:t>delsanläggning i det aktuella området riktade sig till boende i östra Malmö kommun och till pendlare mellan Staffanstorp och Malmö. Lunds kommun ansåg att ärendet hade sådan mellankommunal betydelse att bristerna i han</w:t>
      </w:r>
      <w:r w:rsidRPr="000925A8">
        <w:t>d</w:t>
      </w:r>
      <w:r w:rsidRPr="000925A8">
        <w:t xml:space="preserve">läggningen inte kunde anses vara försumbara. </w:t>
      </w:r>
    </w:p>
    <w:p w14:paraId="3C560DA4" w14:textId="77777777" w:rsidR="00241093" w:rsidRPr="000925A8" w:rsidRDefault="00241093">
      <w:pPr>
        <w:pStyle w:val="Normaltindrag"/>
      </w:pPr>
      <w:r w:rsidRPr="000925A8">
        <w:t xml:space="preserve"> I sitt avslag på över</w:t>
      </w:r>
      <w:r w:rsidRPr="000925A8">
        <w:t>klagandena framhöll länsstyrelsen att de åberopade mellankommunala intressena i allt väsentligt borde ha kopplats till konku</w:t>
      </w:r>
      <w:r w:rsidRPr="000925A8">
        <w:t>r</w:t>
      </w:r>
      <w:r w:rsidRPr="000925A8">
        <w:t>rensfrågan, vilken man ansåg hade särskild tyngd i gällande rätt. Länsstyre</w:t>
      </w:r>
      <w:r w:rsidRPr="000925A8">
        <w:t>l</w:t>
      </w:r>
      <w:r w:rsidRPr="000925A8">
        <w:t>sen menade att det därför kunde ifrågasättas om de överklagande kommune</w:t>
      </w:r>
      <w:r w:rsidRPr="000925A8">
        <w:t>r</w:t>
      </w:r>
      <w:r w:rsidRPr="000925A8">
        <w:t xml:space="preserve">na var så berörda att samråd måste tillämpas. </w:t>
      </w:r>
    </w:p>
    <w:p w14:paraId="4C561482" w14:textId="77777777" w:rsidR="00241093" w:rsidRPr="000925A8" w:rsidRDefault="00241093">
      <w:pPr>
        <w:pStyle w:val="Normaltindrag"/>
      </w:pPr>
      <w:r w:rsidRPr="000925A8">
        <w:t>Malmö och Lunds kommuner överklagade länsstyrelsens beslut till rege</w:t>
      </w:r>
      <w:r w:rsidRPr="000925A8">
        <w:t>r</w:t>
      </w:r>
      <w:r w:rsidRPr="000925A8">
        <w:t>ingen. I ett yttrande framhöll Boverket bl.a. att avsteg från en översiktsplan inte bör tillåtas utan ingående utredning och motivering. Detta gäller särskilt ett så ”grannkommunpå</w:t>
      </w:r>
      <w:r w:rsidRPr="000925A8">
        <w:softHyphen/>
        <w:t>verkande” läge i en tät region som den aktuella. B</w:t>
      </w:r>
      <w:r w:rsidRPr="000925A8">
        <w:t>o</w:t>
      </w:r>
      <w:r w:rsidRPr="000925A8">
        <w:t xml:space="preserve">verket föreslog att överklagandena skulle bifallas. </w:t>
      </w:r>
    </w:p>
    <w:p w14:paraId="1D5DA774" w14:textId="77777777" w:rsidR="00241093" w:rsidRPr="000925A8" w:rsidRDefault="00241093">
      <w:pPr>
        <w:pStyle w:val="Normaltindrag"/>
      </w:pPr>
      <w:r w:rsidRPr="000925A8">
        <w:t>I sin behandling av ärendet konstaterade regeringen bl.a. att angränsande kommuner skulle påverkas av en etablering och att de därför ansågs ha ett berättigat intresse av samråd i planfrågan. Regeringen ansåg vidare att etabl</w:t>
      </w:r>
      <w:r w:rsidRPr="000925A8">
        <w:t>e</w:t>
      </w:r>
      <w:r w:rsidRPr="000925A8">
        <w:t>ring av externa köpcentrum bör övervägas i översiktlig planering och i ett regionalt perspektiv. Regeringen ansåg att det förelåg brister i dessa avsee</w:t>
      </w:r>
      <w:r w:rsidRPr="000925A8">
        <w:t>n</w:t>
      </w:r>
      <w:r w:rsidRPr="000925A8">
        <w:t>den i det aktuella detaljplaneärendet. Vidare betonade regeringen vikten av att beslutsunderlaget vid externhandelsetableringar redovisar förväntade effekter på bl.a. konkurrenssituation och serviceutbud både i ett lokalt och ett mella</w:t>
      </w:r>
      <w:r w:rsidRPr="000925A8">
        <w:t>n</w:t>
      </w:r>
      <w:r w:rsidRPr="000925A8">
        <w:t>kommunalt perspektiv. Även här förelåg, enligt regeringens uppfattning, brister i det aktuella ärendet. Sammantaget innebar</w:t>
      </w:r>
      <w:r w:rsidRPr="000925A8">
        <w:t xml:space="preserve"> detta att regeringen ansåg att det fanns grund för att upphäva planbesl</w:t>
      </w:r>
      <w:r w:rsidRPr="000925A8">
        <w:t>u</w:t>
      </w:r>
      <w:r w:rsidRPr="000925A8">
        <w:t>tet.</w:t>
      </w:r>
      <w:r w:rsidRPr="000925A8">
        <w:rPr>
          <w:rStyle w:val="Fotnotsreferens"/>
        </w:rPr>
        <w:footnoteReference w:id="145"/>
      </w:r>
    </w:p>
    <w:p w14:paraId="2CEDDA05" w14:textId="77777777" w:rsidR="00241093" w:rsidRPr="000925A8" w:rsidRDefault="00241093">
      <w:pPr>
        <w:pStyle w:val="R4"/>
      </w:pPr>
      <w:r w:rsidRPr="000925A8">
        <w:t>Fallet Örja Östra i Landskrona kommun</w:t>
      </w:r>
    </w:p>
    <w:p w14:paraId="3BD1B33B" w14:textId="77777777" w:rsidR="00241093" w:rsidRPr="000925A8" w:rsidRDefault="00241093">
      <w:pPr>
        <w:spacing w:before="0"/>
      </w:pPr>
      <w:r w:rsidRPr="000925A8">
        <w:t xml:space="preserve">I juni 1998 beslutade Landskrona kommun att anta en detaljplan för området Örja Östra i norra delen av kommunen. Planen innebar en ändring från att ha gällt kontor och småindustri med mindre handelsinslag till att möjliggöra etablering av en större handelsanläggning. Tanken var att etablera en s.k. </w:t>
      </w:r>
      <w:r w:rsidRPr="000925A8">
        <w:rPr>
          <w:i/>
        </w:rPr>
        <w:t>factory outlet</w:t>
      </w:r>
      <w:r w:rsidRPr="000925A8">
        <w:t xml:space="preserve"> i området. Planens utformning tillät emellertid all typ av handel exklusive livsmedelshandel.</w:t>
      </w:r>
      <w:r w:rsidRPr="000925A8">
        <w:rPr>
          <w:rStyle w:val="Fotnotsreferens"/>
        </w:rPr>
        <w:footnoteReference w:id="146"/>
      </w:r>
      <w:r w:rsidRPr="000925A8">
        <w:t xml:space="preserve"> </w:t>
      </w:r>
    </w:p>
    <w:p w14:paraId="76D5A7DC" w14:textId="77777777" w:rsidR="00241093" w:rsidRPr="000925A8" w:rsidRDefault="00241093">
      <w:pPr>
        <w:pStyle w:val="Normaltindrag"/>
      </w:pPr>
      <w:r w:rsidRPr="000925A8">
        <w:t>Länsstyrelsen upphävde sedermera planen.</w:t>
      </w:r>
      <w:r w:rsidRPr="000925A8">
        <w:rPr>
          <w:rStyle w:val="Fotnotsreferens"/>
        </w:rPr>
        <w:footnoteReference w:id="147"/>
      </w:r>
      <w:r w:rsidRPr="000925A8">
        <w:t xml:space="preserve"> Man konstaterade att frågan om externa handelsetableringar hade behandlats vid en av länsstyrelsen a</w:t>
      </w:r>
      <w:r w:rsidRPr="000925A8">
        <w:t>n</w:t>
      </w:r>
      <w:r w:rsidRPr="000925A8">
        <w:t>ordnad konferens och att Regionförbundet hade åtagit sig att utreda frågan bl.a. i syfte att presentera ett förslag till policy för denna typ av etableringar. Länsstyrelsen konstaterade också att grannkommunerna hade hörts under samråd och utställning och att Helsingborgs stad hade ansett att planförslaget måste kompletteras med en redovisning av de regionala konsekvenserna. Helsingborg ansåg vidare att det</w:t>
      </w:r>
      <w:r w:rsidRPr="000925A8">
        <w:t xml:space="preserve"> inte fanns några garantier för att det verkl</w:t>
      </w:r>
      <w:r w:rsidRPr="000925A8">
        <w:t>i</w:t>
      </w:r>
      <w:r w:rsidRPr="000925A8">
        <w:t xml:space="preserve">gen skulle bli fråga om en s.k. </w:t>
      </w:r>
      <w:r w:rsidRPr="000925A8">
        <w:rPr>
          <w:i/>
        </w:rPr>
        <w:t>factory</w:t>
      </w:r>
      <w:r w:rsidRPr="000925A8">
        <w:t xml:space="preserve"> </w:t>
      </w:r>
      <w:r w:rsidRPr="000925A8">
        <w:rPr>
          <w:i/>
        </w:rPr>
        <w:t>outlet</w:t>
      </w:r>
      <w:r w:rsidRPr="000925A8">
        <w:t xml:space="preserve"> och att en utredning därför borde redovisa konsekvenserna även av en detaljhandelsetablering av ”normal sto</w:t>
      </w:r>
      <w:r w:rsidRPr="000925A8">
        <w:t>r</w:t>
      </w:r>
      <w:r w:rsidRPr="000925A8">
        <w:t xml:space="preserve">marknadstyp”. </w:t>
      </w:r>
    </w:p>
    <w:p w14:paraId="7D95A36C" w14:textId="77777777" w:rsidR="00241093" w:rsidRPr="000925A8" w:rsidRDefault="00241093">
      <w:pPr>
        <w:pStyle w:val="Normaltindrag"/>
      </w:pPr>
      <w:r w:rsidRPr="000925A8">
        <w:t>Även Svalövs och Lunds kommuner hade synpunkter på planen. Svalöv villkorade sin tillstyrkan av planen med att livsmedelshandel eller annan detaljhandel inte fick bli aktuell i området. Lunds kommun menade att innan det hade konstaterats att ytterligare extern handel av den typ som planen omfatt</w:t>
      </w:r>
      <w:r w:rsidRPr="000925A8">
        <w:t>ade inte stod i konflikt med målsättningen om en långsiktigt hållbar ut</w:t>
      </w:r>
      <w:r w:rsidRPr="000925A8">
        <w:softHyphen/>
        <w:t>veckling såväl i Lund som i Skåne i övrigt borde ingen ytterligare extern handel tillåtas. Även de fem amtskommunala myndigheterna i Köpenhamn</w:t>
      </w:r>
      <w:r w:rsidRPr="000925A8">
        <w:t>s</w:t>
      </w:r>
      <w:r w:rsidRPr="000925A8">
        <w:t>området hade framfört synpunkter till länsstyrelsen om att den aktuella ha</w:t>
      </w:r>
      <w:r w:rsidRPr="000925A8">
        <w:t>n</w:t>
      </w:r>
      <w:r w:rsidRPr="000925A8">
        <w:t xml:space="preserve">delsetableringen inte innebar en långsiktigt hållbar lösning mellan länderna. </w:t>
      </w:r>
    </w:p>
    <w:p w14:paraId="70AB53DA" w14:textId="77777777" w:rsidR="00241093" w:rsidRPr="000925A8" w:rsidRDefault="00241093">
      <w:pPr>
        <w:pStyle w:val="Normaltindrag"/>
      </w:pPr>
      <w:r w:rsidRPr="000925A8">
        <w:t>Sammantaget ansåg länsstyrelsen bl.a. att då detaljplanen tillät annan d</w:t>
      </w:r>
      <w:r w:rsidRPr="000925A8">
        <w:t>e</w:t>
      </w:r>
      <w:r w:rsidRPr="000925A8">
        <w:t xml:space="preserve">taljhandel än en </w:t>
      </w:r>
      <w:r w:rsidRPr="000925A8">
        <w:rPr>
          <w:i/>
        </w:rPr>
        <w:t>factory</w:t>
      </w:r>
      <w:r w:rsidRPr="000925A8">
        <w:t xml:space="preserve"> </w:t>
      </w:r>
      <w:r w:rsidRPr="000925A8">
        <w:rPr>
          <w:i/>
        </w:rPr>
        <w:t>outlet</w:t>
      </w:r>
      <w:r w:rsidRPr="000925A8">
        <w:t xml:space="preserve"> kunde en etablering eventuellt påverka förhå</w:t>
      </w:r>
      <w:r w:rsidRPr="000925A8">
        <w:t>l</w:t>
      </w:r>
      <w:r w:rsidRPr="000925A8">
        <w:t xml:space="preserve">landen i angränsande kommuner. Man menade därför att planen inte kunde anses vara förenlig med de hänsyn som anges i 12 kap. 1 § PBL. </w:t>
      </w:r>
    </w:p>
    <w:p w14:paraId="77BCC881" w14:textId="77777777" w:rsidR="00241093" w:rsidRPr="000925A8" w:rsidRDefault="00241093">
      <w:pPr>
        <w:pStyle w:val="Normaltindrag"/>
      </w:pPr>
      <w:r w:rsidRPr="000925A8">
        <w:t>Landskrona kommun överklagade länsstyrelsens beslut om upphävande till regeringen. Boverket ombads att lämna synpunkter och författade då ett o</w:t>
      </w:r>
      <w:r w:rsidRPr="000925A8">
        <w:t>m</w:t>
      </w:r>
      <w:r w:rsidRPr="000925A8">
        <w:t>fattande yttrande.</w:t>
      </w:r>
      <w:r w:rsidRPr="000925A8">
        <w:rPr>
          <w:rStyle w:val="Fotnotsreferens"/>
        </w:rPr>
        <w:footnoteReference w:id="148"/>
      </w:r>
      <w:r w:rsidRPr="000925A8">
        <w:t xml:space="preserve"> Detta baserade sig till stor del på innehållet i verkets rapport Handeln i planeringen (se ovan). Boverket konstaterade att fallet var av principiellt viktig natur och att det var första gången som staten genom en länsstyrelse hade tillämpat prövningsgrunden bristande mellankommunal samordning i en fråga om handel. Boverket gjorde, liksom länsstyrelsen, bedömningen att den speciella handelsform som var aktuell (</w:t>
      </w:r>
      <w:r w:rsidRPr="000925A8">
        <w:rPr>
          <w:i/>
        </w:rPr>
        <w:t>factory outlet</w:t>
      </w:r>
      <w:r w:rsidRPr="000925A8">
        <w:t>) endast skulle få begränsad inverkan på förhållanden i angränsande komm</w:t>
      </w:r>
      <w:r w:rsidRPr="000925A8">
        <w:t>u</w:t>
      </w:r>
      <w:r w:rsidRPr="000925A8">
        <w:t>ner. Verk</w:t>
      </w:r>
      <w:r w:rsidRPr="000925A8">
        <w:t>et ansåg därför att om Landskrona kommun i samråd med länsst</w:t>
      </w:r>
      <w:r w:rsidRPr="000925A8">
        <w:t>y</w:t>
      </w:r>
      <w:r w:rsidRPr="000925A8">
        <w:t xml:space="preserve">relsen, Regionförbundet och berörda grannkommuner kunde komma fram till en sådan utformning av detaljplanen att den endast gav utrymme för den avsedda handeln kunde den vara möjlig att acceptera ur mellankommunalt perspektiv. </w:t>
      </w:r>
    </w:p>
    <w:p w14:paraId="2064F5E0" w14:textId="77777777" w:rsidR="00241093" w:rsidRPr="000925A8" w:rsidRDefault="00241093">
      <w:pPr>
        <w:pStyle w:val="Normaltindrag"/>
      </w:pPr>
      <w:r w:rsidRPr="000925A8">
        <w:t>Kommunen medgav, efter att ha tagit del av Boverkets yttrande, att detal</w:t>
      </w:r>
      <w:r w:rsidRPr="000925A8">
        <w:t>j</w:t>
      </w:r>
      <w:r w:rsidRPr="000925A8">
        <w:t xml:space="preserve">planen fick ändras enligt 13 kap. 8 § PBL på ett sådant sätt att handeln i det aktuella området begränsades till att gälla s.k. </w:t>
      </w:r>
      <w:r w:rsidRPr="000925A8">
        <w:rPr>
          <w:i/>
        </w:rPr>
        <w:t>factory outlet</w:t>
      </w:r>
      <w:r w:rsidRPr="000925A8">
        <w:t>-försäljning. Med denna revidering ansåg Boverket att planen var acceptabel ur mellankomm</w:t>
      </w:r>
      <w:r w:rsidRPr="000925A8">
        <w:t>u</w:t>
      </w:r>
      <w:r w:rsidRPr="000925A8">
        <w:t>nal synvinkel.</w:t>
      </w:r>
      <w:r w:rsidRPr="000925A8">
        <w:rPr>
          <w:rStyle w:val="Fotnotsreferens"/>
        </w:rPr>
        <w:footnoteReference w:id="149"/>
      </w:r>
      <w:r w:rsidRPr="000925A8">
        <w:t xml:space="preserve"> Inte heller länsstyrelsen hade något att erinra mot den revid</w:t>
      </w:r>
      <w:r w:rsidRPr="000925A8">
        <w:t>e</w:t>
      </w:r>
      <w:r w:rsidRPr="000925A8">
        <w:t>rade versionen. Regeringen upphävde därför länsstyrelsens beslut och fastslog den reviderade versionen av pl</w:t>
      </w:r>
      <w:r w:rsidRPr="000925A8">
        <w:t>a</w:t>
      </w:r>
      <w:r w:rsidRPr="000925A8">
        <w:t>nen.</w:t>
      </w:r>
      <w:r w:rsidRPr="000925A8">
        <w:rPr>
          <w:rStyle w:val="Fotnotsreferens"/>
        </w:rPr>
        <w:footnoteReference w:id="150"/>
      </w:r>
    </w:p>
    <w:p w14:paraId="5C395356" w14:textId="77777777" w:rsidR="00241093" w:rsidRPr="000925A8" w:rsidRDefault="00241093">
      <w:pPr>
        <w:pStyle w:val="R4"/>
      </w:pPr>
      <w:r w:rsidRPr="000925A8">
        <w:t>Fallet Center Syd i Kävlinge kommun</w:t>
      </w:r>
    </w:p>
    <w:p w14:paraId="1E3EF697" w14:textId="77777777" w:rsidR="00241093" w:rsidRPr="000925A8" w:rsidRDefault="00241093">
      <w:pPr>
        <w:spacing w:before="0"/>
      </w:pPr>
      <w:r w:rsidRPr="000925A8">
        <w:t>I november 1997 antog Kävlinge kommun en detaljplan som syftade till att möjliggöra en utvidgning av handelsmöjligheterna vid det s.k. Center Syd. Utvidgningen avsåg dock inte livsmedelshandel. Under planläggningen fra</w:t>
      </w:r>
      <w:r w:rsidRPr="000925A8">
        <w:t>m</w:t>
      </w:r>
      <w:r w:rsidRPr="000925A8">
        <w:t>förde flera grannkommuner invändningar mot planen. Motiven var bl.a. ri</w:t>
      </w:r>
      <w:r w:rsidRPr="000925A8">
        <w:t>s</w:t>
      </w:r>
      <w:r w:rsidRPr="000925A8">
        <w:t>ken för utarmning av stadskärnor, ökad biltrafik och bilberoende. Detaljpl</w:t>
      </w:r>
      <w:r w:rsidRPr="000925A8">
        <w:t>a</w:t>
      </w:r>
      <w:r w:rsidRPr="000925A8">
        <w:t>nen överklagades också av Lunds kommun bl.a. med motiveringen att pla</w:t>
      </w:r>
      <w:r w:rsidRPr="000925A8">
        <w:t>n</w:t>
      </w:r>
      <w:r w:rsidRPr="000925A8">
        <w:t xml:space="preserve">förslaget borde ha grundats på ett program och att samråd borde ha skett med berörda kommuner tidigare i planeringsprocessen. </w:t>
      </w:r>
    </w:p>
    <w:p w14:paraId="7086CB5B" w14:textId="77777777" w:rsidR="00241093" w:rsidRPr="000925A8" w:rsidRDefault="00241093">
      <w:pPr>
        <w:pStyle w:val="Normaltindrag"/>
      </w:pPr>
      <w:r w:rsidRPr="000925A8">
        <w:t>Länsstyrelsen beslutade i december 1997 att pröva planen enligt 12 kap. 1 § PBL med hänvisning till befarade brister i den mellankommunala samor</w:t>
      </w:r>
      <w:r w:rsidRPr="000925A8">
        <w:t>d</w:t>
      </w:r>
      <w:r w:rsidRPr="000925A8">
        <w:t>ningen. Prövningen skedde parallellt med det ovan beskrivna fallet Örja Östra och resulterade i att länsstyrelsen upphävde planen.</w:t>
      </w:r>
      <w:r w:rsidRPr="000925A8">
        <w:rPr>
          <w:rStyle w:val="Fotnotsreferens"/>
        </w:rPr>
        <w:footnoteReference w:id="151"/>
      </w:r>
      <w:r w:rsidRPr="000925A8">
        <w:t xml:space="preserve"> Motivet till prövningen var bl.a. att den tänkta etableringen ansågs ha en mellankommunal påverkan och att det därför måste ske en mellankommunal samordning. Man menade att detaljplanen var ett bidrag till koncentrationen av handeln i regionen till stora externt belägna handelscentrum vilket riskerade att utarma näraliggande stadskärnor och tätortscentrum på handel och annan service samt att dessa skulle förlora sin roll som mötesplats. Dessutom menade man att planen bi</w:t>
      </w:r>
      <w:r w:rsidRPr="000925A8">
        <w:softHyphen/>
        <w:t>drog till att förstärka den inomregi</w:t>
      </w:r>
      <w:r w:rsidRPr="000925A8">
        <w:t>onala obalansen och till att vissa kons</w:t>
      </w:r>
      <w:r w:rsidRPr="000925A8">
        <w:t>u</w:t>
      </w:r>
      <w:r w:rsidRPr="000925A8">
        <w:t xml:space="preserve">mentgrupper åsidosattes. Denna påverkan på förhållanden i andra kommuner föranledde länsstyrelsen att upphäva planen då den inte ansågs vara förenlig med de hänsyn som anges i 12 kap. PBL. Länsstyrelsen hänvisade även till den externhandelspolicy som hade utarbetats av Regionförbundet i Skåne. </w:t>
      </w:r>
    </w:p>
    <w:p w14:paraId="7E344D5A" w14:textId="77777777" w:rsidR="00241093" w:rsidRPr="000925A8" w:rsidRDefault="00241093">
      <w:pPr>
        <w:pStyle w:val="Normaltindrag"/>
      </w:pPr>
      <w:r w:rsidRPr="000925A8">
        <w:t>Kävlinge kommun överklagade sedermera länsstyrelsens beslut till rege</w:t>
      </w:r>
      <w:r w:rsidRPr="000925A8">
        <w:t>r</w:t>
      </w:r>
      <w:r w:rsidRPr="000925A8">
        <w:t>ingen. Regeringen ombad Boverket att yttra sig, vilket man gjorde på ett liknande sätt som i fallet Örja Östra. Kommunens överklagan drogs dock tillbaka och regeringen avskrev ärendet. Skälet till att kommunen drog tillb</w:t>
      </w:r>
      <w:r w:rsidRPr="000925A8">
        <w:t>a</w:t>
      </w:r>
      <w:r w:rsidRPr="000925A8">
        <w:t>ka sin överklagan var att man i stället antog en ny plan där handeln begräns</w:t>
      </w:r>
      <w:r w:rsidRPr="000925A8">
        <w:t>a</w:t>
      </w:r>
      <w:r w:rsidRPr="000925A8">
        <w:t>des till s.k. skrymmande varor i form av bilhandel och möbelförsäljning. Denna handel ansågs inte konkurrera med stadskärnehandel i omgivande kommuner. Den nya planen förankrades hos såväl Lunds kommun som hos län</w:t>
      </w:r>
      <w:r w:rsidRPr="000925A8">
        <w:t>sstyrelsen. Lunds kommun drog därför tillbaka sin överklagan och länsst</w:t>
      </w:r>
      <w:r w:rsidRPr="000925A8">
        <w:t>y</w:t>
      </w:r>
      <w:r w:rsidRPr="000925A8">
        <w:t>relsen avstod från att pröva planen.</w:t>
      </w:r>
    </w:p>
    <w:p w14:paraId="37887A18" w14:textId="77777777" w:rsidR="00241093" w:rsidRPr="000925A8" w:rsidRDefault="00241093">
      <w:pPr>
        <w:pStyle w:val="R3"/>
      </w:pPr>
      <w:r w:rsidRPr="000925A8">
        <w:t>Extern handel i Jämtlands län</w:t>
      </w:r>
    </w:p>
    <w:p w14:paraId="09C0C310" w14:textId="77777777" w:rsidR="00241093" w:rsidRPr="000925A8" w:rsidRDefault="00241093">
      <w:pPr>
        <w:pStyle w:val="R4"/>
      </w:pPr>
      <w:r w:rsidRPr="000925A8">
        <w:t>Fallet Krokom–Östersund</w:t>
      </w:r>
    </w:p>
    <w:p w14:paraId="4307F635" w14:textId="77777777" w:rsidR="00241093" w:rsidRPr="000925A8" w:rsidRDefault="00241093">
      <w:pPr>
        <w:spacing w:before="0"/>
      </w:pPr>
      <w:r w:rsidRPr="000925A8">
        <w:t xml:space="preserve">Utöver de redovisade fallen i Skåne har frågor om externhandelsetableringar även behandlats i Jämtlands län under 2001. Såväl Krokoms som Östersunds kommuner har antagit detaljplaner som bl.a. innebär handelsetableringar i externa lägen. I Krokoms fall syftade planen bl.a. till att skapa en jämnare fördelning av handeln i Östersunds närhet. I juni beslutade länsstyrelsen att pröva planen enligt 12 kap. 1 § PBL. Motivet var att den aktuella planen befarades få stora konsekvenser för handeln med dagligvaror </w:t>
      </w:r>
      <w:r w:rsidRPr="000925A8">
        <w:t>och livsmedel i regionen och att det kunde befaras att frågan inte hade samordnats på ett lämpligt sätt mellan flera kommuner. Vid prövningen konstaterade länsstyre</w:t>
      </w:r>
      <w:r w:rsidRPr="000925A8">
        <w:t>l</w:t>
      </w:r>
      <w:r w:rsidRPr="000925A8">
        <w:t>sen att detaljplanen ej hade samordnats på ett lämpligt sätt mellan komm</w:t>
      </w:r>
      <w:r w:rsidRPr="000925A8">
        <w:t>u</w:t>
      </w:r>
      <w:r w:rsidRPr="000925A8">
        <w:t>nerna och att planen därför skulle upphävas. Beslutet fattades av länsstyre</w:t>
      </w:r>
      <w:r w:rsidRPr="000925A8">
        <w:t>l</w:t>
      </w:r>
      <w:r w:rsidRPr="000925A8">
        <w:t>sens styrelse. Flera av styrelsens ledamöter anmälde avvikande mening eller avstod från att rösta, däribland den tillförordnade landshövdingen.</w:t>
      </w:r>
      <w:r w:rsidRPr="000925A8">
        <w:rPr>
          <w:rStyle w:val="Fotnotsreferens"/>
        </w:rPr>
        <w:footnoteReference w:id="152"/>
      </w:r>
      <w:r w:rsidRPr="000925A8">
        <w:t xml:space="preserve"> Krokoms kommun överklagade länsstyrelsens beslut till regeringen. Rege</w:t>
      </w:r>
      <w:r w:rsidRPr="000925A8">
        <w:t>r</w:t>
      </w:r>
      <w:r w:rsidRPr="000925A8">
        <w:t>ingen har sänt ärendet för yttrande till Boverket och förväntas inte ta ställning i frågan förrän under våren 2002.</w:t>
      </w:r>
    </w:p>
    <w:p w14:paraId="237D2E57" w14:textId="77777777" w:rsidR="00241093" w:rsidRPr="000925A8" w:rsidRDefault="00241093">
      <w:pPr>
        <w:pStyle w:val="Normaltindrag"/>
      </w:pPr>
      <w:r w:rsidRPr="000925A8">
        <w:t>Östersundsfallet väcktes strax efter Krokomfallet. Kommunen antog i a</w:t>
      </w:r>
      <w:r w:rsidRPr="000925A8">
        <w:t>u</w:t>
      </w:r>
      <w:r w:rsidRPr="000925A8">
        <w:t>gusti 2001 en detaljplan som syftade till att skapa arbetsplatser, bilistservice och handel. Länsstyrelsen beslutade med samma motivering som i Kroko</w:t>
      </w:r>
      <w:r w:rsidRPr="000925A8">
        <w:t>m</w:t>
      </w:r>
      <w:r w:rsidRPr="000925A8">
        <w:t>fallet att pröva planen enligt 12 kap. 1 § PBL. Med samma motivering och vid samma tidpunkt som i Krokomfallet beslutade länsstyrelsens styrelse att upphäva planen. Även i detta fall anmälde flera av styrelsens ledamöter avv</w:t>
      </w:r>
      <w:r w:rsidRPr="000925A8">
        <w:t>i</w:t>
      </w:r>
      <w:r w:rsidRPr="000925A8">
        <w:t>kande mening eller avstod från att rösta.</w:t>
      </w:r>
      <w:r w:rsidRPr="000925A8">
        <w:rPr>
          <w:rStyle w:val="Fotnotsreferens"/>
        </w:rPr>
        <w:footnoteReference w:id="153"/>
      </w:r>
      <w:r w:rsidRPr="000925A8">
        <w:t xml:space="preserve"> Liksom i Krokomfallet har Öste</w:t>
      </w:r>
      <w:r w:rsidRPr="000925A8">
        <w:t>r</w:t>
      </w:r>
      <w:r w:rsidRPr="000925A8">
        <w:t>sunds kommun överklagat länsstyrelsens beslut. Beslutet har även överklagats av ett antal företagare i det arbetsområde som gränsar till planen. Regeringen har sänt ärendet för yttrande till Boverket och förväntas inte ta ställning i frågan förrän under våren 2002. Troligen kommer detta att ske samtidigt i de två Jäm</w:t>
      </w:r>
      <w:r w:rsidRPr="000925A8">
        <w:t>t</w:t>
      </w:r>
      <w:r w:rsidRPr="000925A8">
        <w:t>landsfallen.</w:t>
      </w:r>
    </w:p>
    <w:p w14:paraId="14678657" w14:textId="77777777" w:rsidR="00241093" w:rsidRPr="000925A8" w:rsidRDefault="00241093">
      <w:pPr>
        <w:pStyle w:val="R3"/>
      </w:pPr>
      <w:r w:rsidRPr="000925A8">
        <w:t>Extern handel i Blekinge län</w:t>
      </w:r>
    </w:p>
    <w:p w14:paraId="62997D10" w14:textId="77777777" w:rsidR="00241093" w:rsidRPr="000925A8" w:rsidRDefault="00241093">
      <w:pPr>
        <w:pStyle w:val="R4"/>
      </w:pPr>
      <w:r w:rsidRPr="000925A8">
        <w:t>Fallet Vedeby i Karlskrona kommun</w:t>
      </w:r>
    </w:p>
    <w:p w14:paraId="355FB743" w14:textId="77777777" w:rsidR="00241093" w:rsidRPr="000925A8" w:rsidRDefault="00241093">
      <w:pPr>
        <w:spacing w:before="0" w:line="240" w:lineRule="atLeast"/>
        <w:rPr>
          <w:snapToGrid w:val="0"/>
          <w:lang w:eastAsia="sv-SE"/>
        </w:rPr>
      </w:pPr>
      <w:r w:rsidRPr="000925A8">
        <w:t xml:space="preserve">I ett nyligen avslutat ärende har Länsstyrelsen i Blekinge län behandlat en detaljplan omfattande en externhandelsetablering i anslutning till Karlskrona tätort. </w:t>
      </w:r>
      <w:r w:rsidRPr="000925A8">
        <w:rPr>
          <w:snapToGrid w:val="0"/>
          <w:lang w:eastAsia="sv-SE"/>
        </w:rPr>
        <w:t>Länsstyrelsen pekade</w:t>
      </w:r>
      <w:r w:rsidRPr="000925A8">
        <w:rPr>
          <w:rStyle w:val="Kommentarsreferens"/>
          <w:vanish/>
        </w:rPr>
        <w:t>pekadepoqsd</w:t>
      </w:r>
      <w:r w:rsidRPr="000925A8">
        <w:rPr>
          <w:snapToGrid w:val="0"/>
          <w:lang w:eastAsia="sv-SE"/>
        </w:rPr>
        <w:t xml:space="preserve"> vid samrådet i december 1999 och vid granskningen under utställningstiden i juli 2001 på bristerna i den mella</w:t>
      </w:r>
      <w:r w:rsidRPr="000925A8">
        <w:rPr>
          <w:snapToGrid w:val="0"/>
          <w:lang w:eastAsia="sv-SE"/>
        </w:rPr>
        <w:t>n</w:t>
      </w:r>
      <w:r w:rsidRPr="000925A8">
        <w:rPr>
          <w:snapToGrid w:val="0"/>
          <w:lang w:eastAsia="sv-SE"/>
        </w:rPr>
        <w:t xml:space="preserve">kommunala samordningen. </w:t>
      </w:r>
    </w:p>
    <w:p w14:paraId="3406671F" w14:textId="77777777" w:rsidR="00241093" w:rsidRPr="000925A8" w:rsidRDefault="00241093">
      <w:pPr>
        <w:spacing w:before="0" w:line="240" w:lineRule="atLeast"/>
        <w:rPr>
          <w:snapToGrid w:val="0"/>
          <w:lang w:eastAsia="sv-SE"/>
        </w:rPr>
      </w:pPr>
      <w:r w:rsidRPr="000925A8">
        <w:rPr>
          <w:snapToGrid w:val="0"/>
          <w:lang w:eastAsia="sv-SE"/>
        </w:rPr>
        <w:t>Den 23 november 2001 träffade länsarkitekten och ytterligare ett par repr</w:t>
      </w:r>
      <w:r w:rsidRPr="000925A8">
        <w:rPr>
          <w:snapToGrid w:val="0"/>
          <w:lang w:eastAsia="sv-SE"/>
        </w:rPr>
        <w:t>e</w:t>
      </w:r>
      <w:r w:rsidRPr="000925A8">
        <w:rPr>
          <w:snapToGrid w:val="0"/>
          <w:lang w:eastAsia="sv-SE"/>
        </w:rPr>
        <w:t>sentanter för länsstyrelsen företrädare för Karlskrona kommun för att diskut</w:t>
      </w:r>
      <w:r w:rsidRPr="000925A8">
        <w:rPr>
          <w:snapToGrid w:val="0"/>
          <w:lang w:eastAsia="sv-SE"/>
        </w:rPr>
        <w:t>e</w:t>
      </w:r>
      <w:r w:rsidRPr="000925A8">
        <w:rPr>
          <w:snapToGrid w:val="0"/>
          <w:lang w:eastAsia="sv-SE"/>
        </w:rPr>
        <w:t>ra hur ärendet skulle handläggas. Under mötet kom man bl.a. överens om vilka kompletteringar som kommunen skulle göra. Då nödvändiga komplett</w:t>
      </w:r>
      <w:r w:rsidRPr="000925A8">
        <w:rPr>
          <w:snapToGrid w:val="0"/>
          <w:lang w:eastAsia="sv-SE"/>
        </w:rPr>
        <w:t>e</w:t>
      </w:r>
      <w:r w:rsidRPr="000925A8">
        <w:rPr>
          <w:snapToGrid w:val="0"/>
          <w:lang w:eastAsia="sv-SE"/>
        </w:rPr>
        <w:t xml:space="preserve">ringar inte gjordes inom utsatt tid beslutade länsstyrelsen att pröva planen bl.a. med motivet att den mellankommunala samordningen inte hade varit lämplig. </w:t>
      </w:r>
    </w:p>
    <w:p w14:paraId="74AEEBAC" w14:textId="77777777" w:rsidR="00241093" w:rsidRPr="000925A8" w:rsidRDefault="00241093">
      <w:pPr>
        <w:pStyle w:val="Normaltindrag"/>
      </w:pPr>
      <w:r w:rsidRPr="000925A8">
        <w:t>Länsstyrelsen beslutade dock efter prövningen att godkänna kommunful</w:t>
      </w:r>
      <w:r w:rsidRPr="000925A8">
        <w:t>l</w:t>
      </w:r>
      <w:r w:rsidRPr="000925A8">
        <w:t>mäktiges beslut att anta planen.</w:t>
      </w:r>
      <w:r w:rsidRPr="000925A8">
        <w:rPr>
          <w:rStyle w:val="Fotnotsreferens"/>
        </w:rPr>
        <w:footnoteReference w:id="154"/>
      </w:r>
      <w:r w:rsidRPr="000925A8">
        <w:t xml:space="preserve"> Länsstyrelsen vidhöll visserligen uppfat</w:t>
      </w:r>
      <w:r w:rsidRPr="000925A8">
        <w:t>t</w:t>
      </w:r>
      <w:r w:rsidRPr="000925A8">
        <w:t>ningen att den utökningen av det befintliga handelsområdet var av sådan volym att den måste anses vara av mellankommunalt intresse. Länsstyrelsen ansåg att konsekvenserna av etableringen, inom kommunen och för andra kommuner, inte var redovisade i beslutsunderlaget inför antagandet. Det aktuella området fanns visserligen utpekat som ett område för handel och verksamheter i gällande översiktsplan (från 1991) men volymen och kons</w:t>
      </w:r>
      <w:r w:rsidRPr="000925A8">
        <w:t>e</w:t>
      </w:r>
      <w:r w:rsidRPr="000925A8">
        <w:t>kvenserna för övrig handel inom och ut</w:t>
      </w:r>
      <w:r w:rsidRPr="000925A8">
        <w:t xml:space="preserve">anför kommunen var inte belysta. </w:t>
      </w:r>
    </w:p>
    <w:p w14:paraId="75941666" w14:textId="77777777" w:rsidR="00241093" w:rsidRPr="000925A8" w:rsidRDefault="00241093">
      <w:pPr>
        <w:pStyle w:val="Normaltindrag"/>
      </w:pPr>
      <w:r w:rsidRPr="000925A8">
        <w:t>Länsstyrelsen framhöll att endast Ronneby kommun hade tagit del av pla</w:t>
      </w:r>
      <w:r w:rsidRPr="000925A8">
        <w:t>n</w:t>
      </w:r>
      <w:r w:rsidRPr="000925A8">
        <w:t>förslaget inför antagandet och meddelat att den inte hade några synpunkter på planförslaget. Inga andra kommuner hade beretts tillfälle att yttra sig. Län</w:t>
      </w:r>
      <w:r w:rsidRPr="000925A8">
        <w:t>s</w:t>
      </w:r>
      <w:r w:rsidRPr="000925A8">
        <w:t>styrelsen ansåg att påverkansområdet var större och att frågan därför berörde flera kommuner. Den mellankommunala samordningen hade, enligt länsst</w:t>
      </w:r>
      <w:r w:rsidRPr="000925A8">
        <w:t>y</w:t>
      </w:r>
      <w:r w:rsidRPr="000925A8">
        <w:t xml:space="preserve">relsens uppfattning, varit bristfällig. </w:t>
      </w:r>
    </w:p>
    <w:p w14:paraId="4D2C3D11" w14:textId="77777777" w:rsidR="00241093" w:rsidRPr="000925A8" w:rsidRDefault="00241093">
      <w:pPr>
        <w:pStyle w:val="Normaltindrag"/>
      </w:pPr>
      <w:r w:rsidRPr="000925A8">
        <w:t>Under prövningstiden hade kommunen låtit Torsås och Emmaboda ko</w:t>
      </w:r>
      <w:r w:rsidRPr="000925A8">
        <w:t>m</w:t>
      </w:r>
      <w:r w:rsidRPr="000925A8">
        <w:t>muner (Kalmar län) yttra sig över det antagna planförslaget. Dessa hade då inga erinringar mot planen. De hade dock inte beretts tillfälle att dessförinnan ta del av den handelsutredning som kommunen låtit komplettera planhan</w:t>
      </w:r>
      <w:r w:rsidRPr="000925A8">
        <w:t>d</w:t>
      </w:r>
      <w:r w:rsidRPr="000925A8">
        <w:t>lingarna med. Länsstyrelsen hade därför sett till att de kommuner som enligt handelsutredningen ansetts vara berörda av etableringen (Ronneby, Emmab</w:t>
      </w:r>
      <w:r w:rsidRPr="000925A8">
        <w:t>o</w:t>
      </w:r>
      <w:r w:rsidRPr="000925A8">
        <w:t>da, Torsås och Karlshamn) fått tillfälle att yttra sig över planen. De tre förs</w:t>
      </w:r>
      <w:r w:rsidRPr="000925A8">
        <w:t>t</w:t>
      </w:r>
      <w:r w:rsidRPr="000925A8">
        <w:t>nämnda kommunerna vidhöll sina tidigare yttranden. Karls</w:t>
      </w:r>
      <w:r w:rsidRPr="000925A8">
        <w:t>hamns kommun, ansåg att remisstiden hade varit för kort och att det därför hade varit svårt att utröna på vilka grunder vissa antaganden i handelsutredningen var gjorda. Karlshamns kommun före-slog att varje detaljplan som berör ändamålet Ha</w:t>
      </w:r>
      <w:r w:rsidRPr="000925A8">
        <w:t>n</w:t>
      </w:r>
      <w:r w:rsidRPr="000925A8">
        <w:t>del och är av en viss storlek ska kompletteras med en professionellt utförd konsekvensbeskrivning med regionalt perspektiv samt att alla Blekinges kommuner ska ingå i samrådskretsen.</w:t>
      </w:r>
    </w:p>
    <w:p w14:paraId="352F9250" w14:textId="77777777" w:rsidR="00241093" w:rsidRPr="000925A8" w:rsidRDefault="00241093">
      <w:pPr>
        <w:pStyle w:val="Normaltindrag"/>
      </w:pPr>
      <w:r w:rsidRPr="000925A8">
        <w:t>Länsstyrelsens sammantagna bedömning var att det ovan beskrivna r</w:t>
      </w:r>
      <w:r w:rsidRPr="000925A8">
        <w:t>e</w:t>
      </w:r>
      <w:r w:rsidRPr="000925A8">
        <w:t>missförfarandet under prövningstiden hade givit berörda kommuner inform</w:t>
      </w:r>
      <w:r w:rsidRPr="000925A8">
        <w:t>a</w:t>
      </w:r>
      <w:r w:rsidRPr="000925A8">
        <w:t>tion om konsekvenserna av den planerade exploateringen. Detta ansåg län</w:t>
      </w:r>
      <w:r w:rsidRPr="000925A8">
        <w:t>s</w:t>
      </w:r>
      <w:r w:rsidRPr="000925A8">
        <w:t>styrelsen vara ett minimum av samordning och i detta fall även tillfyllest, då ingen av de berörda kommunerna hade haft någon invändning mot planen. Länsstyrelsen menade att det därför inte längre fanns underlag för att ifråg</w:t>
      </w:r>
      <w:r w:rsidRPr="000925A8">
        <w:t>a</w:t>
      </w:r>
      <w:r w:rsidRPr="000925A8">
        <w:t>sätta den mellankommunala samordningen och därmed heller ingen grund för att up</w:t>
      </w:r>
      <w:r w:rsidRPr="000925A8">
        <w:t>p</w:t>
      </w:r>
      <w:r w:rsidRPr="000925A8">
        <w:t>häva planen.</w:t>
      </w:r>
    </w:p>
    <w:p w14:paraId="7D0CD86E" w14:textId="77777777" w:rsidR="00241093" w:rsidRPr="000925A8" w:rsidRDefault="00241093">
      <w:pPr>
        <w:pStyle w:val="R3"/>
      </w:pPr>
      <w:r w:rsidRPr="000925A8">
        <w:t>Extern handel i Södermanlands län</w:t>
      </w:r>
    </w:p>
    <w:p w14:paraId="70D7FE33" w14:textId="77777777" w:rsidR="00241093" w:rsidRPr="000925A8" w:rsidRDefault="00241093">
      <w:pPr>
        <w:pStyle w:val="R4"/>
      </w:pPr>
      <w:r w:rsidRPr="000925A8">
        <w:t>Fallet Svista i Eskilstuna kommun</w:t>
      </w:r>
    </w:p>
    <w:p w14:paraId="293FEFAD" w14:textId="77777777" w:rsidR="00241093" w:rsidRPr="000925A8" w:rsidRDefault="00241093">
      <w:pPr>
        <w:spacing w:before="0"/>
      </w:pPr>
      <w:r w:rsidRPr="000925A8">
        <w:t>Inom Eskilstuna kommun planerades i slutet av 1990-talet en externhandel</w:t>
      </w:r>
      <w:r w:rsidRPr="000925A8">
        <w:t>s</w:t>
      </w:r>
      <w:r w:rsidRPr="000925A8">
        <w:t>etablering i Svista nära gränsen till Strängnäs kommun. Denna skulle bli den största i länet. Under samrådet påpekade länsstyrelsen att frågan hade mella</w:t>
      </w:r>
      <w:r w:rsidRPr="000925A8">
        <w:t>n</w:t>
      </w:r>
      <w:r w:rsidRPr="000925A8">
        <w:t>kommunala dimensioner, att en konsekvensanalys borde ha upprättats och att etableringen borde ha diskuterats med Strängnäs kommun. Eskilstuna ko</w:t>
      </w:r>
      <w:r w:rsidRPr="000925A8">
        <w:t>m</w:t>
      </w:r>
      <w:r w:rsidRPr="000925A8">
        <w:t xml:space="preserve">mun ansåg dock att detta inte var nödvändigt. </w:t>
      </w:r>
    </w:p>
    <w:p w14:paraId="14DA9126" w14:textId="77777777" w:rsidR="00241093" w:rsidRPr="000925A8" w:rsidRDefault="00241093">
      <w:pPr>
        <w:pStyle w:val="Normaltindrag"/>
      </w:pPr>
      <w:r w:rsidRPr="000925A8">
        <w:t>Länsstyrelsen valde då att på egen bekostnad genomföra en konsekvensu</w:t>
      </w:r>
      <w:r w:rsidRPr="000925A8">
        <w:t>t</w:t>
      </w:r>
      <w:r w:rsidRPr="000925A8">
        <w:t>redning som även Strängnäs kommun fick ta del av. Utredningen visade att handeln i Strängnäs tätort skulle påverkas negativt av etableringen i Svista.</w:t>
      </w:r>
      <w:r w:rsidRPr="000925A8">
        <w:rPr>
          <w:rStyle w:val="Fotnotsreferens"/>
        </w:rPr>
        <w:footnoteReference w:id="155"/>
      </w:r>
      <w:r w:rsidRPr="000925A8">
        <w:t xml:space="preserve"> Trots detta valde Strängnäs kommun att inte motsätta sig etableringen. </w:t>
      </w:r>
    </w:p>
    <w:p w14:paraId="1FFF155B" w14:textId="77777777" w:rsidR="00241093" w:rsidRPr="000925A8" w:rsidRDefault="00241093">
      <w:pPr>
        <w:pStyle w:val="Normaltindrag"/>
      </w:pPr>
      <w:r w:rsidRPr="000925A8">
        <w:t>Enligt tjänstemän hos länsstyrelsen handlade detta om en överenskomme</w:t>
      </w:r>
      <w:r w:rsidRPr="000925A8">
        <w:t>l</w:t>
      </w:r>
      <w:r w:rsidRPr="000925A8">
        <w:t>se mellan kommunerna som man inte hade någon insyn i. Länsstyrelsen up</w:t>
      </w:r>
      <w:r w:rsidRPr="000925A8">
        <w:t>p</w:t>
      </w:r>
      <w:r w:rsidRPr="000925A8">
        <w:t>fattade det som att det fanns ett önskemål från båda kommunerna inte ”blanda in” länsstyrelsen i frågan. Sedermera övergav Eskilstuna kommun, trots öve</w:t>
      </w:r>
      <w:r w:rsidRPr="000925A8">
        <w:t>r</w:t>
      </w:r>
      <w:r w:rsidRPr="000925A8">
        <w:t>en</w:t>
      </w:r>
      <w:r w:rsidRPr="000925A8">
        <w:t>s</w:t>
      </w:r>
      <w:r w:rsidRPr="000925A8">
        <w:t xml:space="preserve">kommelsen med Strängnäs, planerna på en handelsetablering i Svista. </w:t>
      </w:r>
    </w:p>
    <w:p w14:paraId="17E30087" w14:textId="77777777" w:rsidR="00241093" w:rsidRPr="000925A8" w:rsidRDefault="00241093">
      <w:pPr>
        <w:pStyle w:val="Normaltindrag"/>
      </w:pPr>
      <w:r w:rsidRPr="000925A8">
        <w:t>I sammanhanget kan också nämnas att Länsstyrelsen i Södermanlands län har agerat för att få till stånd en övergripande handelsstrategi för länets ko</w:t>
      </w:r>
      <w:r w:rsidRPr="000925A8">
        <w:t>m</w:t>
      </w:r>
      <w:r w:rsidRPr="000925A8">
        <w:t>muner. Man väckte frågan i länets partnerskap för regional utveckling, men kommunerna vara inte intresserade av att en sådan gemensam strategi uta</w:t>
      </w:r>
      <w:r w:rsidRPr="000925A8">
        <w:t>r</w:t>
      </w:r>
      <w:r w:rsidRPr="000925A8">
        <w:t xml:space="preserve">betades. </w:t>
      </w:r>
    </w:p>
    <w:p w14:paraId="7A9804EB" w14:textId="77777777" w:rsidR="00241093" w:rsidRPr="000925A8" w:rsidRDefault="00241093">
      <w:pPr>
        <w:pStyle w:val="Rubrik2"/>
        <w:spacing w:before="0"/>
      </w:pPr>
      <w:r w:rsidRPr="000925A8">
        <w:br w:type="page"/>
      </w:r>
      <w:bookmarkStart w:id="97" w:name="_Toc4898249"/>
      <w:r w:rsidRPr="000925A8">
        <w:t>8 Vindkraftsetableringar som mellankommunal PBL-fråga</w:t>
      </w:r>
      <w:bookmarkEnd w:id="97"/>
    </w:p>
    <w:p w14:paraId="3501AF52" w14:textId="77777777" w:rsidR="00241093" w:rsidRPr="000925A8" w:rsidRDefault="00241093">
      <w:pPr>
        <w:pStyle w:val="R3"/>
      </w:pPr>
      <w:r w:rsidRPr="000925A8">
        <w:t>Inledning</w:t>
      </w:r>
    </w:p>
    <w:p w14:paraId="1CAFB1AF" w14:textId="77777777" w:rsidR="00241093" w:rsidRPr="000925A8" w:rsidRDefault="00241093">
      <w:r w:rsidRPr="000925A8">
        <w:t>Etablering av vindkraftverk innebär ibland sådana ingrepp i landskapet att de medför mellankommunal påverkan. Detta är inte minst påtagligt i de öppna ”vindgynnade” landskap där vindkraftsetableringar ur energiutvinningspe</w:t>
      </w:r>
      <w:r w:rsidRPr="000925A8">
        <w:t>r</w:t>
      </w:r>
      <w:r w:rsidRPr="000925A8">
        <w:t xml:space="preserve">spektiv är lämpliga. Vindkraftsetableringar innebär vidare vissa negativa effekter på närmiljön i form av exempelvis buller. </w:t>
      </w:r>
    </w:p>
    <w:p w14:paraId="1B4058B3" w14:textId="77777777" w:rsidR="00241093" w:rsidRPr="000925A8" w:rsidRDefault="00241093">
      <w:pPr>
        <w:pStyle w:val="Normaltindrag"/>
      </w:pPr>
      <w:r w:rsidRPr="000925A8">
        <w:t>Byggande av enskilda större vindkraftverk kräver bygglov.</w:t>
      </w:r>
      <w:r w:rsidRPr="000925A8">
        <w:rPr>
          <w:rStyle w:val="Fotnotsreferens"/>
        </w:rPr>
        <w:footnoteReference w:id="156"/>
      </w:r>
      <w:r w:rsidRPr="000925A8">
        <w:t xml:space="preserve"> Enligt PBL ställs krav på detaljplan vid tillkomst av ”ny sammanhållen bebyggelse”. Denna bestämmelse kan anses omfatta etablering av s.k. vindkraftsparker. Större vindkraftsetableringar kräver tillstånd enligt miljöbalken och kravs ställs på att miljökonsekvensbeskrivning (MKB) up</w:t>
      </w:r>
      <w:r w:rsidRPr="000925A8">
        <w:t>p</w:t>
      </w:r>
      <w:r w:rsidRPr="000925A8">
        <w:t>rättas.</w:t>
      </w:r>
      <w:r w:rsidRPr="000925A8">
        <w:rPr>
          <w:rStyle w:val="Fotnotsreferens"/>
        </w:rPr>
        <w:footnoteReference w:id="157"/>
      </w:r>
    </w:p>
    <w:p w14:paraId="0E978181" w14:textId="77777777" w:rsidR="00241093" w:rsidRPr="000925A8" w:rsidRDefault="00241093">
      <w:pPr>
        <w:pStyle w:val="R3"/>
      </w:pPr>
      <w:r w:rsidRPr="000925A8">
        <w:t>Förbättrad vindkraftsplanering</w:t>
      </w:r>
    </w:p>
    <w:p w14:paraId="654FE75C" w14:textId="77777777" w:rsidR="00241093" w:rsidRPr="000925A8" w:rsidRDefault="00241093">
      <w:r w:rsidRPr="000925A8">
        <w:t>I februari 2000 inledde Energimyndigheten tillsammans med Naturvårdsve</w:t>
      </w:r>
      <w:r w:rsidRPr="000925A8">
        <w:t>r</w:t>
      </w:r>
      <w:r w:rsidRPr="000925A8">
        <w:t>ket, Boverket och Riksantikvarieämbetet ett metodutvecklingsarbete för hur planeringen för vindkraft kan förbättras i den kommunala översiktsplanerin</w:t>
      </w:r>
      <w:r w:rsidRPr="000925A8">
        <w:t>g</w:t>
      </w:r>
      <w:r w:rsidRPr="000925A8">
        <w:t xml:space="preserve">en. </w:t>
      </w:r>
    </w:p>
    <w:p w14:paraId="456BA8C9" w14:textId="77777777" w:rsidR="00241093" w:rsidRPr="000925A8" w:rsidRDefault="00241093">
      <w:pPr>
        <w:pStyle w:val="Normaltindrag"/>
        <w:rPr>
          <w:snapToGrid w:val="0"/>
          <w:lang w:eastAsia="sv-SE"/>
        </w:rPr>
      </w:pPr>
      <w:r w:rsidRPr="000925A8">
        <w:rPr>
          <w:snapToGrid w:val="0"/>
          <w:lang w:eastAsia="sv-SE"/>
        </w:rPr>
        <w:t>Bakgrunden till projektet var bl.a. uppfattningen om att kunskapen om vindkraft i län och kommuner är måttlig och varierande. Förutsättningarna för vindkraftsplanering är dessutom mycket olika, vilket riskerar att bidra till att bedömningar och beslut brister i enhetlighet. Projektets övergripande syfte är kunskapsuppbyggnad och metodutveckling som främj</w:t>
      </w:r>
      <w:r w:rsidRPr="000925A8">
        <w:rPr>
          <w:snapToGrid w:val="0"/>
          <w:lang w:eastAsia="sv-SE"/>
        </w:rPr>
        <w:t xml:space="preserve">ar fysisk planering och som skapar bättre planeringsförutsättningar för utbyggnad av vindkraft. </w:t>
      </w:r>
    </w:p>
    <w:p w14:paraId="4E37043B" w14:textId="77777777" w:rsidR="00241093" w:rsidRPr="000925A8" w:rsidRDefault="00241093">
      <w:pPr>
        <w:pStyle w:val="Normaltindrag"/>
        <w:rPr>
          <w:snapToGrid w:val="0"/>
          <w:lang w:eastAsia="sv-SE"/>
        </w:rPr>
      </w:pPr>
      <w:r w:rsidRPr="000925A8">
        <w:rPr>
          <w:snapToGrid w:val="0"/>
          <w:lang w:eastAsia="sv-SE"/>
        </w:rPr>
        <w:t>Vindkraftsplaneringens mellankommunala dimensioner uppmärksammas mest i det pilotprojekt som drivs i slättlandskommunen Svalöv. Energimy</w:t>
      </w:r>
      <w:r w:rsidRPr="000925A8">
        <w:rPr>
          <w:snapToGrid w:val="0"/>
          <w:lang w:eastAsia="sv-SE"/>
        </w:rPr>
        <w:t>n</w:t>
      </w:r>
      <w:r w:rsidRPr="000925A8">
        <w:rPr>
          <w:snapToGrid w:val="0"/>
          <w:lang w:eastAsia="sv-SE"/>
        </w:rPr>
        <w:t>dighetens projektledare framhåller att mellankommunala frågor kan vara intressanta även i andra typer av kommuner och medger vikten av att ko</w:t>
      </w:r>
      <w:r w:rsidRPr="000925A8">
        <w:rPr>
          <w:snapToGrid w:val="0"/>
          <w:lang w:eastAsia="sv-SE"/>
        </w:rPr>
        <w:t>m</w:t>
      </w:r>
      <w:r w:rsidRPr="000925A8">
        <w:rPr>
          <w:snapToGrid w:val="0"/>
          <w:lang w:eastAsia="sv-SE"/>
        </w:rPr>
        <w:t xml:space="preserve">muner kommunicerar i dessa frågor. Ett motiv till detta är att byggnation i en kommun kan muta in områden i en grannkommun eller åtminstone påverka planeringen. Hur denna samverkan kan ske kommer att behandlas närmare i projektet. </w:t>
      </w:r>
    </w:p>
    <w:p w14:paraId="2FAA23C6" w14:textId="77777777" w:rsidR="00241093" w:rsidRPr="000925A8" w:rsidRDefault="00241093">
      <w:pPr>
        <w:pStyle w:val="Normaltindrag"/>
      </w:pPr>
      <w:r w:rsidRPr="000925A8">
        <w:t>Boverket har fått regeringens uppdrag att, i samråd med bl.a. Naturvård</w:t>
      </w:r>
      <w:r w:rsidRPr="000925A8">
        <w:t>s</w:t>
      </w:r>
      <w:r w:rsidRPr="000925A8">
        <w:t>verket och Statens energimyndighet, ta fram en handbok om lokalisering av vindkraft. Uppdraget ska redovisas till Miljödepartementet senast den 1 mars 2002. Som ett led i detta arbete har man sammanställt information från län</w:t>
      </w:r>
      <w:r w:rsidRPr="000925A8">
        <w:t>s</w:t>
      </w:r>
      <w:r w:rsidRPr="000925A8">
        <w:t xml:space="preserve">styrelserna bl.a. om hur vindkraften behandlats i länsstyrelsernas regionala planeringsunderlag eller om en särskild vindkraftspolicy har tagits fram. </w:t>
      </w:r>
    </w:p>
    <w:p w14:paraId="2D2B42B1" w14:textId="77777777" w:rsidR="00241093" w:rsidRPr="000925A8" w:rsidRDefault="00241093">
      <w:pPr>
        <w:pStyle w:val="Normaltindrag"/>
      </w:pPr>
      <w:r w:rsidRPr="000925A8">
        <w:t>Det visar sig att vindkraftsetableringar endast saknas i Kronobergs, S</w:t>
      </w:r>
      <w:r w:rsidRPr="000925A8">
        <w:t>ö</w:t>
      </w:r>
      <w:r w:rsidRPr="000925A8">
        <w:t>dermanlands och Västmanlands län. Där är det heller inte aktuellt med u</w:t>
      </w:r>
      <w:r w:rsidRPr="000925A8">
        <w:t>t</w:t>
      </w:r>
      <w:r w:rsidRPr="000925A8">
        <w:t>byggnad av vindkraften. Stockholms och Dalarnas län har också svarat att det inte är aktuellt med en utbyggnad, men att ett fåtal vindkraftverk har etabl</w:t>
      </w:r>
      <w:r w:rsidRPr="000925A8">
        <w:t>e</w:t>
      </w:r>
      <w:r w:rsidRPr="000925A8">
        <w:t>rats på vissa platser.</w:t>
      </w:r>
    </w:p>
    <w:p w14:paraId="6FAA3905" w14:textId="77777777" w:rsidR="00241093" w:rsidRPr="000925A8" w:rsidRDefault="00241093">
      <w:pPr>
        <w:pStyle w:val="Normaltindrag"/>
      </w:pPr>
      <w:r w:rsidRPr="000925A8">
        <w:t>I Kronobergs, Jönköpings, Örebro, Dalarnas, Västmanlands och Stoc</w:t>
      </w:r>
      <w:r w:rsidRPr="000925A8">
        <w:t>k</w:t>
      </w:r>
      <w:r w:rsidRPr="000925A8">
        <w:t>holms län är inte frågan om vindkraft upptagen i länsstyrelsens regionala planeringsunderlag. Ej heller i en särskild vindkraftspolicy. I Södermanlands län pågår arbete med en särskild vindkraftspol</w:t>
      </w:r>
      <w:r w:rsidRPr="000925A8">
        <w:t>i</w:t>
      </w:r>
      <w:r w:rsidRPr="000925A8">
        <w:t>cy.</w:t>
      </w:r>
    </w:p>
    <w:p w14:paraId="705A61E9" w14:textId="77777777" w:rsidR="00241093" w:rsidRPr="000925A8" w:rsidRDefault="00241093">
      <w:pPr>
        <w:pStyle w:val="R3"/>
      </w:pPr>
      <w:r w:rsidRPr="000925A8">
        <w:t>Vindkraftsetableringar i Skåne län</w:t>
      </w:r>
    </w:p>
    <w:p w14:paraId="566B1377" w14:textId="77777777" w:rsidR="00241093" w:rsidRPr="000925A8" w:rsidRDefault="00241093">
      <w:pPr>
        <w:pStyle w:val="R4"/>
      </w:pPr>
      <w:r w:rsidRPr="000925A8">
        <w:t>Länsstyrelsen som kunskapsförmedlare</w:t>
      </w:r>
    </w:p>
    <w:p w14:paraId="64D6A4C1" w14:textId="77777777" w:rsidR="00241093" w:rsidRPr="000925A8" w:rsidRDefault="00241093">
      <w:pPr>
        <w:spacing w:before="0"/>
      </w:pPr>
      <w:r w:rsidRPr="000925A8">
        <w:t>Som ett led i sin kunskapsförmedlande roll utarbetade länsstyrelsen i Skåne 1996 ett planeringsunderlag med riktlinjer för etablering av vindkraft och radiomaster. Länsstyrelsen har sedermera påbörjat en handlingsplan för vin</w:t>
      </w:r>
      <w:r w:rsidRPr="000925A8">
        <w:t>d</w:t>
      </w:r>
      <w:r w:rsidRPr="000925A8">
        <w:t xml:space="preserve">kraftsutbyggnad som bl.a. ska omfatta en analys av olika utbyggnadsmål. Detta projekt beräknas vara avslutat hösten 2002. </w:t>
      </w:r>
    </w:p>
    <w:p w14:paraId="197B68DE" w14:textId="77777777" w:rsidR="00241093" w:rsidRPr="000925A8" w:rsidRDefault="00241093">
      <w:pPr>
        <w:pStyle w:val="Normaltindrag"/>
      </w:pPr>
      <w:r w:rsidRPr="000925A8">
        <w:t>I sammanhanget bör nämnas att även Region Skåne tidigare hade ambiti</w:t>
      </w:r>
      <w:r w:rsidRPr="000925A8">
        <w:t>o</w:t>
      </w:r>
      <w:r w:rsidRPr="000925A8">
        <w:t>ner att genomföra en liknande analys. Enligt uppgift förekom vissa mening</w:t>
      </w:r>
      <w:r w:rsidRPr="000925A8">
        <w:t>s</w:t>
      </w:r>
      <w:r w:rsidRPr="000925A8">
        <w:t xml:space="preserve">skiljaktigheter mellan de båda myndigheterna om vem som hade ansvar för denna typ av arbete. Sedermera avstod dock Region Skåne från att driva sitt projekt vidare. </w:t>
      </w:r>
    </w:p>
    <w:p w14:paraId="2E72BD94" w14:textId="77777777" w:rsidR="00241093" w:rsidRPr="000925A8" w:rsidRDefault="00241093">
      <w:pPr>
        <w:pStyle w:val="Normaltindrag"/>
      </w:pPr>
      <w:r w:rsidRPr="000925A8">
        <w:t>Medan länsstyrelsen arbetar med att ta fram en handlingsplan för vin</w:t>
      </w:r>
      <w:r w:rsidRPr="000925A8">
        <w:t>d</w:t>
      </w:r>
      <w:r w:rsidRPr="000925A8">
        <w:t>kraftsetableringar pågår det parallellt en planering för vindkraftsetableringar ute i de skånska kommunerna. I några fall har denna planering resulterat i meningsmotsättningar. Helsingborgs stad har exempelvis i ett detaljplanepr</w:t>
      </w:r>
      <w:r w:rsidRPr="000925A8">
        <w:t>o</w:t>
      </w:r>
      <w:r w:rsidRPr="000925A8">
        <w:t>gram pekat ut ett område nära gränsen till Landskrona kommun som lämpligt för vindkraftsetableringar. Landskrona kommun har i ett yttrande över He</w:t>
      </w:r>
      <w:r w:rsidRPr="000925A8">
        <w:t>l</w:t>
      </w:r>
      <w:r w:rsidRPr="000925A8">
        <w:t>singborgs översiktsplan motsatt sig denna lokalisering. Länsstyrelsen konst</w:t>
      </w:r>
      <w:r w:rsidRPr="000925A8">
        <w:t>a</w:t>
      </w:r>
      <w:r w:rsidRPr="000925A8">
        <w:t>terade i sitt yttrande över planprogrammet att vindkraften</w:t>
      </w:r>
      <w:r w:rsidRPr="000925A8">
        <w:t xml:space="preserve"> är en mellanko</w:t>
      </w:r>
      <w:r w:rsidRPr="000925A8">
        <w:t>m</w:t>
      </w:r>
      <w:r w:rsidRPr="000925A8">
        <w:t>munal och regional fråga och att samordningen av planeringen inte hade lösts på ett tillfredsställande sätt. Man menar att Helsingborg och Landskrona ”gemensamt bör arbeta vidare med att komma fram till lämpliga lokaliserin</w:t>
      </w:r>
      <w:r w:rsidRPr="000925A8">
        <w:t>g</w:t>
      </w:r>
      <w:r w:rsidRPr="000925A8">
        <w:t>ar för vindkraft så att de negativa konsekvenserna för grannkommunen så långt som möjligt kan undvikas eller minimeras”. Om inte så sker menade länsstyrelsen att man kunde komma att pröva ett eventuellt kommunalt detal</w:t>
      </w:r>
      <w:r w:rsidRPr="000925A8">
        <w:t>j</w:t>
      </w:r>
      <w:r w:rsidRPr="000925A8">
        <w:t>planebeslut enligt 12 kap. 1 § PBL.</w:t>
      </w:r>
      <w:r w:rsidRPr="000925A8">
        <w:rPr>
          <w:rStyle w:val="Fotnotsreferens"/>
        </w:rPr>
        <w:footnoteReference w:id="158"/>
      </w:r>
      <w:r w:rsidRPr="000925A8">
        <w:t xml:space="preserve"> Detta budskap hade länsstyrelsen även framfört tidigare till Helsingborgs stad. Kommunen hade då kallat angränsa</w:t>
      </w:r>
      <w:r w:rsidRPr="000925A8">
        <w:t>n</w:t>
      </w:r>
      <w:r w:rsidRPr="000925A8">
        <w:t>de kommuner till ett mellankommunalt samråd om vin</w:t>
      </w:r>
      <w:r w:rsidRPr="000925A8">
        <w:t>d</w:t>
      </w:r>
      <w:r w:rsidRPr="000925A8">
        <w:t>kraft.</w:t>
      </w:r>
      <w:r w:rsidRPr="000925A8">
        <w:rPr>
          <w:rStyle w:val="Fotnotsreferens"/>
        </w:rPr>
        <w:footnoteReference w:id="159"/>
      </w:r>
    </w:p>
    <w:p w14:paraId="02DFA1B3" w14:textId="77777777" w:rsidR="00241093" w:rsidRPr="000925A8" w:rsidRDefault="00241093">
      <w:pPr>
        <w:pStyle w:val="R4"/>
      </w:pPr>
      <w:r w:rsidRPr="000925A8">
        <w:t>Länsstyrelsen som medlare</w:t>
      </w:r>
    </w:p>
    <w:p w14:paraId="584AF5B7" w14:textId="77777777" w:rsidR="00241093" w:rsidRPr="000925A8" w:rsidRDefault="00241093">
      <w:pPr>
        <w:spacing w:before="0"/>
      </w:pPr>
      <w:r w:rsidRPr="000925A8">
        <w:t>I Åstorps kommun har vindkraftsplanering orsakat spänningar i relationen med grannkommunen Ängelholm. I ett granskningsyttrande över en fördjupad översiktsplan avseende vindkraft konstaterade länsstyrelsen att Ängelholms kommun hade erinringar mot planförslaget. Planeringen kunde därmed inte anses ha lösts på ett tillfredsställande sätt kommunerna emellan. Länsstyre</w:t>
      </w:r>
      <w:r w:rsidRPr="000925A8">
        <w:t>l</w:t>
      </w:r>
      <w:r w:rsidRPr="000925A8">
        <w:t>sen menade även att den fortsatta detaljplaneringen borde ske parallellt i de båda kommunerna i det aktuella området. Länsstyrelsen erinrade också om sina prövningsmöjligheter enligt 12 kap. PBL.</w:t>
      </w:r>
      <w:r w:rsidRPr="000925A8">
        <w:rPr>
          <w:rStyle w:val="Fotnotsreferens"/>
        </w:rPr>
        <w:footnoteReference w:id="160"/>
      </w:r>
      <w:r w:rsidRPr="000925A8">
        <w:t xml:space="preserve"> </w:t>
      </w:r>
    </w:p>
    <w:p w14:paraId="4EC15555" w14:textId="77777777" w:rsidR="00241093" w:rsidRPr="000925A8" w:rsidRDefault="00241093">
      <w:pPr>
        <w:pStyle w:val="Normaltindrag"/>
      </w:pPr>
      <w:r w:rsidRPr="000925A8">
        <w:t>För att underlätta det fortsatta arbetet med vindkraftsplaneringen i det a</w:t>
      </w:r>
      <w:r w:rsidRPr="000925A8">
        <w:t>k</w:t>
      </w:r>
      <w:r w:rsidRPr="000925A8">
        <w:t>tuella området tog länsstyrelsen initiativ till ett möte med de två kommunerna. Mötet resulterade i att de båda kommunerna ställde sig positiva till att öve</w:t>
      </w:r>
      <w:r w:rsidRPr="000925A8">
        <w:t>r</w:t>
      </w:r>
      <w:r w:rsidRPr="000925A8">
        <w:t>väga möjligheterna att upprätta en gemensam översiktsplan för det aktuella området.</w:t>
      </w:r>
    </w:p>
    <w:p w14:paraId="69F38547" w14:textId="77777777" w:rsidR="00241093" w:rsidRPr="000925A8" w:rsidRDefault="00241093">
      <w:pPr>
        <w:pStyle w:val="R3"/>
      </w:pPr>
      <w:r w:rsidRPr="000925A8">
        <w:t>Vindkraftsetableringar i Uppsala län</w:t>
      </w:r>
    </w:p>
    <w:p w14:paraId="3E4CE81C" w14:textId="77777777" w:rsidR="00241093" w:rsidRPr="000925A8" w:rsidRDefault="00241093">
      <w:r w:rsidRPr="000925A8">
        <w:t>Länsstyrelsen i Uppsala län genomförde under 1997 på uppdrag av NUTEK en studie av förutsättningarna för vindkraftsutbyggnad i länet. Studien inn</w:t>
      </w:r>
      <w:r w:rsidRPr="000925A8">
        <w:t>e</w:t>
      </w:r>
      <w:r w:rsidRPr="000925A8">
        <w:t>höll också ett förslag till länspolicy i enskilda tillståndsärenden. I denna pol</w:t>
      </w:r>
      <w:r w:rsidRPr="000925A8">
        <w:t>i</w:t>
      </w:r>
      <w:r w:rsidRPr="000925A8">
        <w:t>cy framgår bl.a. att det vid uppförande av gruppstationer med många större vindkraftverk i den berörda kommunen bör upprättas detaljplan i samråd med vindkraftsintressenter samt att mindre, gårdsanknutna vindkraftverk bör ku</w:t>
      </w:r>
      <w:r w:rsidRPr="000925A8">
        <w:t>n</w:t>
      </w:r>
      <w:r w:rsidRPr="000925A8">
        <w:t>na tillåtas om de inte står i strid med starka allmänna intressen.</w:t>
      </w:r>
      <w:r w:rsidRPr="000925A8">
        <w:rPr>
          <w:rStyle w:val="Fotnotsreferens"/>
        </w:rPr>
        <w:footnoteReference w:id="161"/>
      </w:r>
      <w:r w:rsidRPr="000925A8">
        <w:t xml:space="preserve"> I förslaget till policy nämns emellertid inget om vindkraftsetableringar ur ett mella</w:t>
      </w:r>
      <w:r w:rsidRPr="000925A8">
        <w:t>n</w:t>
      </w:r>
      <w:r w:rsidRPr="000925A8">
        <w:t>kommunalt perspektiv.</w:t>
      </w:r>
    </w:p>
    <w:p w14:paraId="2771428E" w14:textId="77777777" w:rsidR="00241093" w:rsidRPr="000925A8" w:rsidRDefault="00241093">
      <w:pPr>
        <w:pStyle w:val="Rubrik2"/>
        <w:spacing w:before="0"/>
      </w:pPr>
      <w:r w:rsidRPr="000925A8">
        <w:br w:type="page"/>
      </w:r>
      <w:bookmarkStart w:id="98" w:name="_Toc4898250"/>
      <w:r w:rsidRPr="000925A8">
        <w:t>9 Några ytterligare mellankommunala PBL-frågor</w:t>
      </w:r>
      <w:bookmarkEnd w:id="98"/>
      <w:r w:rsidRPr="000925A8">
        <w:t xml:space="preserve"> </w:t>
      </w:r>
    </w:p>
    <w:p w14:paraId="3F1306E5" w14:textId="77777777" w:rsidR="00241093" w:rsidRPr="000925A8" w:rsidRDefault="00241093">
      <w:pPr>
        <w:pStyle w:val="R3"/>
      </w:pPr>
      <w:r w:rsidRPr="000925A8">
        <w:t>Sjukhuslokalisering</w:t>
      </w:r>
    </w:p>
    <w:p w14:paraId="57FC59B4" w14:textId="77777777" w:rsidR="00241093" w:rsidRPr="000925A8" w:rsidRDefault="00241093">
      <w:pPr>
        <w:pStyle w:val="R4"/>
      </w:pPr>
      <w:r w:rsidRPr="000925A8">
        <w:t>Länssjukhusets lokalisering i Norrbottens län</w:t>
      </w:r>
    </w:p>
    <w:p w14:paraId="070A386B" w14:textId="77777777" w:rsidR="00241093" w:rsidRPr="000925A8" w:rsidRDefault="00241093">
      <w:pPr>
        <w:spacing w:before="0"/>
      </w:pPr>
      <w:r w:rsidRPr="000925A8">
        <w:t>En mellankommunal fråga som med hetta diskuterades i Norrbottens län under flera år på 1990-talet var den om lokaliseringen av det nya länssjukh</w:t>
      </w:r>
      <w:r w:rsidRPr="000925A8">
        <w:t>u</w:t>
      </w:r>
      <w:r w:rsidRPr="000925A8">
        <w:t>set. Detaljplanen för det alternativ som slutligen förordades, Sunderbyn i Luleå kommun, överklagades av bl.a. Bodens kommun enligt 13 kap. PBL. Motiveringen var bl.a. att landstingets beslut i lokaliseringsärendet hade varit styrande för Luleå kommuns beslut. Detta hade, enligt Bodens kommun, lett till att länsstyrelsen har avstått från att pröva det mellankommunala intre</w:t>
      </w:r>
      <w:r w:rsidRPr="000925A8">
        <w:t>s</w:t>
      </w:r>
      <w:r w:rsidRPr="000925A8">
        <w:t>set.</w:t>
      </w:r>
      <w:r w:rsidRPr="000925A8">
        <w:rPr>
          <w:rStyle w:val="Fotnotsreferens"/>
        </w:rPr>
        <w:footnoteReference w:id="162"/>
      </w:r>
      <w:r w:rsidRPr="000925A8">
        <w:t xml:space="preserve"> </w:t>
      </w:r>
    </w:p>
    <w:p w14:paraId="2E23152C" w14:textId="77777777" w:rsidR="00241093" w:rsidRPr="000925A8" w:rsidRDefault="00241093">
      <w:pPr>
        <w:pStyle w:val="Normaltindrag"/>
      </w:pPr>
      <w:r w:rsidRPr="000925A8">
        <w:t>Länsstyrelsen avslog kommunens besvär bl.a. med motiveringen att man inte under något skede av planprocessen hade ansett att lokaliseringen stred mot det mellankommunala intresset. Lokaliseringen ungefär mitt mellan centralorterna ansågs göra att arbetskraftspendling, kommunikationer m.m. inte skulle påverkas på något betydande sätt. Utan närmare motivering ko</w:t>
      </w:r>
      <w:r w:rsidRPr="000925A8">
        <w:t>n</w:t>
      </w:r>
      <w:r w:rsidRPr="000925A8">
        <w:t>staterade länsstyrelsen att man inte ansåg att lokaliseringen stred mot det mellankommunala intresset och att en prövning enligt 12 kap. 1 § 2 PBL därför inte skulle ske.</w:t>
      </w:r>
      <w:r w:rsidRPr="000925A8">
        <w:rPr>
          <w:rStyle w:val="Fotnotsreferens"/>
        </w:rPr>
        <w:footnoteReference w:id="163"/>
      </w:r>
      <w:r w:rsidRPr="000925A8">
        <w:t xml:space="preserve"> </w:t>
      </w:r>
    </w:p>
    <w:p w14:paraId="12F00A96" w14:textId="77777777" w:rsidR="00241093" w:rsidRPr="000925A8" w:rsidRDefault="00241093">
      <w:pPr>
        <w:pStyle w:val="Normaltindrag"/>
      </w:pPr>
      <w:r w:rsidRPr="000925A8">
        <w:t>Länsstyrelsens beslut överklagades sedermera till regeringen som avslog Bodens kommuns besvär med motiveringen att avvägningen mellan skilda allmänna intressen rörande lokaliseringen samt synpunkter på hanteringen av planärendet inte utgjorde skäl att ändra länsstyre</w:t>
      </w:r>
      <w:r w:rsidRPr="000925A8">
        <w:t>l</w:t>
      </w:r>
      <w:r w:rsidRPr="000925A8">
        <w:t>sens beslut.</w:t>
      </w:r>
      <w:r w:rsidRPr="000925A8">
        <w:rPr>
          <w:rStyle w:val="Fotnotsreferens"/>
        </w:rPr>
        <w:footnoteReference w:id="164"/>
      </w:r>
    </w:p>
    <w:p w14:paraId="1DD2C88D" w14:textId="77777777" w:rsidR="00241093" w:rsidRPr="000925A8" w:rsidRDefault="00241093">
      <w:pPr>
        <w:pStyle w:val="R3"/>
      </w:pPr>
      <w:r w:rsidRPr="000925A8">
        <w:t>Framtidsfrågor med mellankommunala inslag</w:t>
      </w:r>
    </w:p>
    <w:p w14:paraId="3A649B92" w14:textId="77777777" w:rsidR="00241093" w:rsidRPr="000925A8" w:rsidRDefault="00241093">
      <w:pPr>
        <w:spacing w:before="0"/>
      </w:pPr>
      <w:r w:rsidRPr="000925A8">
        <w:t>Vid intervjuer med företrädare för länsstyrelser och kommuner är det ett par ”nya” planfrågor som flera anser kommer att medföra ökade krav på mella</w:t>
      </w:r>
      <w:r w:rsidRPr="000925A8">
        <w:t>n</w:t>
      </w:r>
      <w:r w:rsidRPr="000925A8">
        <w:t>ko</w:t>
      </w:r>
      <w:r w:rsidRPr="000925A8">
        <w:t>m</w:t>
      </w:r>
      <w:r w:rsidRPr="000925A8">
        <w:t>munal samordning.</w:t>
      </w:r>
    </w:p>
    <w:p w14:paraId="40B0FB6B" w14:textId="77777777" w:rsidR="00241093" w:rsidRPr="000925A8" w:rsidRDefault="00241093">
      <w:pPr>
        <w:pStyle w:val="R4"/>
        <w:rPr>
          <w:snapToGrid w:val="0"/>
          <w:lang w:eastAsia="sv-SE"/>
        </w:rPr>
      </w:pPr>
      <w:r w:rsidRPr="000925A8">
        <w:rPr>
          <w:snapToGrid w:val="0"/>
          <w:lang w:eastAsia="sv-SE"/>
        </w:rPr>
        <w:t>Miljökvalitetsnormer</w:t>
      </w:r>
    </w:p>
    <w:p w14:paraId="60AA075E" w14:textId="77777777" w:rsidR="00241093" w:rsidRPr="000925A8" w:rsidRDefault="00241093">
      <w:pPr>
        <w:spacing w:before="0"/>
      </w:pPr>
      <w:r w:rsidRPr="000925A8">
        <w:rPr>
          <w:snapToGrid w:val="0"/>
          <w:lang w:eastAsia="sv-SE"/>
        </w:rPr>
        <w:t xml:space="preserve">Den fråga som tycks uppfattas som den mest problematiska är tillämpningen och konsekvenserna av bestämmelserna om </w:t>
      </w:r>
      <w:r w:rsidRPr="000925A8">
        <w:rPr>
          <w:i/>
          <w:snapToGrid w:val="0"/>
          <w:lang w:eastAsia="sv-SE"/>
        </w:rPr>
        <w:t>miljökvalitetsnormer</w:t>
      </w:r>
      <w:r w:rsidRPr="000925A8">
        <w:rPr>
          <w:snapToGrid w:val="0"/>
          <w:lang w:eastAsia="sv-SE"/>
        </w:rPr>
        <w:t xml:space="preserve"> (MKN) i miljöbalken. Främst gäller detta de som avser luftkvalitet, kanske främst i storstadsområdena. MKN kommer att vara en viktig faktor att ta hänsyn till inte minst i infrastrukturplaneringen. I den händelse det finns risk att en MKN överträds måste en viss planerad etablering modifieras eller stoppas. I ett åtgärdsprogram ska man redovisa hur kvaliteten kan återställas eller säkras. Handlar det exempelvis om ett vägprojekt kan man tvingas till alternativa lösningar som ger upphov </w:t>
      </w:r>
      <w:r w:rsidRPr="000925A8">
        <w:rPr>
          <w:snapToGrid w:val="0"/>
          <w:lang w:eastAsia="sv-SE"/>
        </w:rPr>
        <w:t>till andra olägenheter. Det kan också bli tal om att hänvisa en ökande trafikvolym till befintliga vägar i andra kommuner. Inte minst i Stockholms- och Göteborgsområdena innebär detta ökade krav på en väl utvecklad mella</w:t>
      </w:r>
      <w:r w:rsidRPr="000925A8">
        <w:rPr>
          <w:snapToGrid w:val="0"/>
          <w:lang w:eastAsia="sv-SE"/>
        </w:rPr>
        <w:t>n</w:t>
      </w:r>
      <w:r w:rsidRPr="000925A8">
        <w:rPr>
          <w:snapToGrid w:val="0"/>
          <w:lang w:eastAsia="sv-SE"/>
        </w:rPr>
        <w:t>kommunal samordning.</w:t>
      </w:r>
    </w:p>
    <w:p w14:paraId="75E996A2" w14:textId="77777777" w:rsidR="00241093" w:rsidRPr="000925A8" w:rsidRDefault="00241093">
      <w:pPr>
        <w:pStyle w:val="R4"/>
      </w:pPr>
      <w:r w:rsidRPr="000925A8">
        <w:t>Infrastruktur för telekommunikation</w:t>
      </w:r>
    </w:p>
    <w:p w14:paraId="1D44BDDD" w14:textId="77777777" w:rsidR="00241093" w:rsidRPr="000925A8" w:rsidRDefault="00241093">
      <w:pPr>
        <w:spacing w:before="0"/>
      </w:pPr>
      <w:r w:rsidRPr="000925A8">
        <w:t xml:space="preserve">En annan fråga som ofta nämns som en ny planfråga med mellankommunala inslag är </w:t>
      </w:r>
      <w:r w:rsidRPr="000925A8">
        <w:rPr>
          <w:i/>
        </w:rPr>
        <w:t>byggandet av infrastruktur för mobil telekommunikation</w:t>
      </w:r>
      <w:r w:rsidRPr="000925A8">
        <w:t>, främst master. Dessa master kräver som regel endast bygglov och kraven på mella</w:t>
      </w:r>
      <w:r w:rsidRPr="000925A8">
        <w:t>n</w:t>
      </w:r>
      <w:r w:rsidRPr="000925A8">
        <w:t>kommunal samordning är därmed begränsade. Ett problem är dock att oper</w:t>
      </w:r>
      <w:r w:rsidRPr="000925A8">
        <w:t>a</w:t>
      </w:r>
      <w:r w:rsidRPr="000925A8">
        <w:t>törerna i många fall träffat överenskommelser med enskilda kommuner. Då lokaliseringen av masterna sker efter ett visst mönster med vissa givna a</w:t>
      </w:r>
      <w:r w:rsidRPr="000925A8">
        <w:t>v</w:t>
      </w:r>
      <w:r w:rsidRPr="000925A8">
        <w:t>stånd, kan dessa överenskommelser begränsa möjligheterna för kringliggande kommuner att styra masternas lokalisering. Några av de intervjuade efterfr</w:t>
      </w:r>
      <w:r w:rsidRPr="000925A8">
        <w:t>å</w:t>
      </w:r>
      <w:r w:rsidRPr="000925A8">
        <w:t>gar plane</w:t>
      </w:r>
      <w:r w:rsidRPr="000925A8">
        <w:t>ring på regional nivå för att undvika detta problem eller att länsst</w:t>
      </w:r>
      <w:r w:rsidRPr="000925A8">
        <w:t>y</w:t>
      </w:r>
      <w:r w:rsidRPr="000925A8">
        <w:t>relserna verkar för att en mellankommunal samordning kommer till stånd i ett tidigt skede av lovprocesse</w:t>
      </w:r>
      <w:r w:rsidRPr="000925A8">
        <w:t>r</w:t>
      </w:r>
      <w:r w:rsidRPr="000925A8">
        <w:t>na.</w:t>
      </w:r>
    </w:p>
    <w:p w14:paraId="7134883F" w14:textId="77777777" w:rsidR="00241093" w:rsidRPr="000925A8" w:rsidRDefault="00241093">
      <w:pPr>
        <w:pStyle w:val="R4"/>
      </w:pPr>
      <w:r w:rsidRPr="000925A8">
        <w:t>EU:s Vattendirektiv</w:t>
      </w:r>
    </w:p>
    <w:p w14:paraId="075BC53D" w14:textId="77777777" w:rsidR="00241093" w:rsidRPr="000925A8" w:rsidRDefault="00241093">
      <w:pPr>
        <w:spacing w:before="0"/>
      </w:pPr>
      <w:r w:rsidRPr="000925A8">
        <w:t>En ytterligare fråga som nämndes vid intervjuer och i enkäterna var tilläm</w:t>
      </w:r>
      <w:r w:rsidRPr="000925A8">
        <w:t>p</w:t>
      </w:r>
      <w:r w:rsidRPr="000925A8">
        <w:t xml:space="preserve">ningen av </w:t>
      </w:r>
      <w:r w:rsidRPr="000925A8">
        <w:rPr>
          <w:i/>
        </w:rPr>
        <w:t>EU:s vattendirektiv</w:t>
      </w:r>
      <w:r w:rsidRPr="000925A8">
        <w:t>. Länsstyrelsernas ansvar när det gäller att främja mellankommunal samordning gäller ju, enligt PBL, även hushållnin</w:t>
      </w:r>
      <w:r w:rsidRPr="000925A8">
        <w:t>g</w:t>
      </w:r>
      <w:r w:rsidRPr="000925A8">
        <w:t>en med vatten. Om en plan i en kommun uppströms i ett vattensystem fö</w:t>
      </w:r>
      <w:r w:rsidRPr="000925A8">
        <w:t>r</w:t>
      </w:r>
      <w:r w:rsidRPr="000925A8">
        <w:t>väntas få konsekvenser för en kommun nedströms ska länsstyrelsen således verka för att den mellankommunala samordningen säkerställs. Om så inte sker ska man pröva planen enligt 12 kap. 1 § PBL. Med EU:s vattendirektiv skärps kraven på hushållningen med vatten och därmed även kraven på me</w:t>
      </w:r>
      <w:r w:rsidRPr="000925A8">
        <w:t>l</w:t>
      </w:r>
      <w:r w:rsidRPr="000925A8">
        <w:t>lankom</w:t>
      </w:r>
      <w:r w:rsidRPr="000925A8">
        <w:t>munal samordning inom PBL-området. Vattendirektivets krav på förvaltningsplaner och åtgärdsprogram uppfattas av många som typiska me</w:t>
      </w:r>
      <w:r w:rsidRPr="000925A8">
        <w:t>l</w:t>
      </w:r>
      <w:r w:rsidRPr="000925A8">
        <w:t>lankommunala frågor. Några menar att det är oklart hur dessa kommer att förhålla sig till det kommunala planmonopolet och PBL:s krav på mella</w:t>
      </w:r>
      <w:r w:rsidRPr="000925A8">
        <w:t>n</w:t>
      </w:r>
      <w:r w:rsidRPr="000925A8">
        <w:t>kommunal samordning.</w:t>
      </w:r>
    </w:p>
    <w:p w14:paraId="66AA5B72" w14:textId="77777777" w:rsidR="00241093" w:rsidRPr="000925A8" w:rsidRDefault="00241093">
      <w:pPr>
        <w:pStyle w:val="Rubrik2"/>
        <w:spacing w:before="0"/>
      </w:pPr>
      <w:r w:rsidRPr="000925A8">
        <w:br w:type="page"/>
      </w:r>
      <w:bookmarkStart w:id="99" w:name="_Toc4898251"/>
      <w:r w:rsidRPr="000925A8">
        <w:t>10 Sammanfattande slutsatser</w:t>
      </w:r>
      <w:bookmarkEnd w:id="99"/>
    </w:p>
    <w:p w14:paraId="30831DA6" w14:textId="77777777" w:rsidR="00241093" w:rsidRPr="000925A8" w:rsidRDefault="00241093">
      <w:pPr>
        <w:pStyle w:val="R3"/>
      </w:pPr>
      <w:r w:rsidRPr="000925A8">
        <w:t>Allmänt</w:t>
      </w:r>
    </w:p>
    <w:p w14:paraId="31153F19" w14:textId="77777777" w:rsidR="00241093" w:rsidRPr="000925A8" w:rsidRDefault="00241093">
      <w:pPr>
        <w:numPr>
          <w:ilvl w:val="0"/>
          <w:numId w:val="159"/>
        </w:numPr>
      </w:pPr>
      <w:r w:rsidRPr="000925A8">
        <w:t>Den mellankommunala samordningen inom PBL-området innebär som regel inga större problem för de planläggande kommunerna eller för länsstyrelsen. Med undantag för handelsfrågorna är den mellankomm</w:t>
      </w:r>
      <w:r w:rsidRPr="000925A8">
        <w:t>u</w:t>
      </w:r>
      <w:r w:rsidRPr="000925A8">
        <w:t>nala samordningen i stora delar av landets mer glesbefolkade områden i princip att betrakta som en icke-fråga.</w:t>
      </w:r>
    </w:p>
    <w:p w14:paraId="17227B1A" w14:textId="77777777" w:rsidR="00241093" w:rsidRPr="000925A8" w:rsidRDefault="00241093">
      <w:pPr>
        <w:numPr>
          <w:ilvl w:val="0"/>
          <w:numId w:val="159"/>
        </w:numPr>
      </w:pPr>
      <w:r w:rsidRPr="000925A8">
        <w:t>PBL:s bestämmelser till gagn för hanteringen av mellankommunala frågor anses av många vara tillfyllest. I de relativt få fall där allvarligare mellankommunala samordningsproblem uppkommer är detta ofta ett r</w:t>
      </w:r>
      <w:r w:rsidRPr="000925A8">
        <w:t>e</w:t>
      </w:r>
      <w:r w:rsidRPr="000925A8">
        <w:t>sultat av bristande tillämpning av gällande bestämmelser, bl.a. från län</w:t>
      </w:r>
      <w:r w:rsidRPr="000925A8">
        <w:t>s</w:t>
      </w:r>
      <w:r w:rsidRPr="000925A8">
        <w:t>st</w:t>
      </w:r>
      <w:r w:rsidRPr="000925A8">
        <w:t>y</w:t>
      </w:r>
      <w:r w:rsidRPr="000925A8">
        <w:t>relsernas sida.</w:t>
      </w:r>
    </w:p>
    <w:p w14:paraId="20D93FD5" w14:textId="77777777" w:rsidR="00241093" w:rsidRPr="000925A8" w:rsidRDefault="00241093">
      <w:pPr>
        <w:numPr>
          <w:ilvl w:val="0"/>
          <w:numId w:val="159"/>
        </w:numPr>
      </w:pPr>
      <w:r w:rsidRPr="000925A8">
        <w:t>Då den mellankommunala samordningen fungerar förhållandevis väl bör länsstyrelserna, enligt fler bedömare, i stället ägna mer resurser åt att s</w:t>
      </w:r>
      <w:r w:rsidRPr="000925A8">
        <w:t>ä</w:t>
      </w:r>
      <w:r w:rsidRPr="000925A8">
        <w:t>kerställa en tvärsektoriell regional samordning av olika statliga intressen.</w:t>
      </w:r>
    </w:p>
    <w:p w14:paraId="49728860" w14:textId="77777777" w:rsidR="00241093" w:rsidRPr="000925A8" w:rsidRDefault="00241093">
      <w:pPr>
        <w:numPr>
          <w:ilvl w:val="0"/>
          <w:numId w:val="159"/>
        </w:numPr>
      </w:pPr>
      <w:r w:rsidRPr="000925A8">
        <w:t>Mellankommunala PBL-frågor har nyligen berörts i flera olika samma</w:t>
      </w:r>
      <w:r w:rsidRPr="000925A8">
        <w:t>n</w:t>
      </w:r>
      <w:r w:rsidRPr="000925A8">
        <w:t>hang. Det gäller bl.a. den regionalpolitiska propositionen (prop. 2001/02:4) samt infrastrukturpropositionen (prop. 2001/02:20). Vidare diskuteras dessa frågor i samband med miljömålspropositionen (2000/01:130) och i regeringen förslag till reformerad länsförvaltning (prop. 2001/02:7). Vissa PBL-frågor utreds för närvarande av en arbet</w:t>
      </w:r>
      <w:r w:rsidRPr="000925A8">
        <w:t>s</w:t>
      </w:r>
      <w:r w:rsidRPr="000925A8">
        <w:t>grupp inom Regeringskansliet. Regeringen har vidare aviserat en större översyn av PBL. Översynen ska bl.a. innefatta överväganden kring fr</w:t>
      </w:r>
      <w:r w:rsidRPr="000925A8">
        <w:t>å</w:t>
      </w:r>
      <w:r w:rsidRPr="000925A8">
        <w:t>gor om externa handelsetableringar</w:t>
      </w:r>
      <w:r w:rsidRPr="000925A8">
        <w:t>. Även Riksdagens revisorer har nyl</w:t>
      </w:r>
      <w:r w:rsidRPr="000925A8">
        <w:t>i</w:t>
      </w:r>
      <w:r w:rsidRPr="000925A8">
        <w:t>gen förespråkat en översyn av PBL. Det arbete som under senare år har drivits av NUTEK och Boverket inom ramen för EU:s gemensamma planeringsperspektiv (ESDP) har tydliga kopplingar till mellankomm</w:t>
      </w:r>
      <w:r w:rsidRPr="000925A8">
        <w:t>u</w:t>
      </w:r>
      <w:r w:rsidRPr="000925A8">
        <w:t>nala PBL-frågor.</w:t>
      </w:r>
    </w:p>
    <w:p w14:paraId="49E694FB" w14:textId="77777777" w:rsidR="00241093" w:rsidRPr="000925A8" w:rsidRDefault="00241093">
      <w:pPr>
        <w:pStyle w:val="R3"/>
      </w:pPr>
      <w:r w:rsidRPr="000925A8">
        <w:t>Regionalt eller mellankommunalt?</w:t>
      </w:r>
    </w:p>
    <w:p w14:paraId="2DEE2D50" w14:textId="77777777" w:rsidR="00241093" w:rsidRPr="000925A8" w:rsidRDefault="00241093">
      <w:pPr>
        <w:numPr>
          <w:ilvl w:val="0"/>
          <w:numId w:val="159"/>
        </w:numPr>
      </w:pPr>
      <w:r w:rsidRPr="000925A8">
        <w:t>Trots förhållandevis små problem med mellankommunal samordning inom PBL-området finns det en utbredd uppfattning om att den regionala planeringen bör stärkas. Detta kan delvis förklaras med varierande up</w:t>
      </w:r>
      <w:r w:rsidRPr="000925A8">
        <w:t>p</w:t>
      </w:r>
      <w:r w:rsidRPr="000925A8">
        <w:t>fattningar om vilka frågor som är mellankommunala och vilka som är att betrakta som regionala.</w:t>
      </w:r>
    </w:p>
    <w:p w14:paraId="254D1E85" w14:textId="77777777" w:rsidR="00241093" w:rsidRPr="000925A8" w:rsidRDefault="00241093">
      <w:pPr>
        <w:numPr>
          <w:ilvl w:val="0"/>
          <w:numId w:val="159"/>
        </w:numPr>
      </w:pPr>
      <w:r w:rsidRPr="000925A8">
        <w:t>Få förespråkar förändringar i PBL som ett medel för att stärka den regi</w:t>
      </w:r>
      <w:r w:rsidRPr="000925A8">
        <w:t>o</w:t>
      </w:r>
      <w:r w:rsidRPr="000925A8">
        <w:t>nala planeringen. De kommunala samverkansorgan som blir möjliga att bilda fr.o.m. 2003 och EU:s gemensamma planeringsperspektiv (ESDP) ses som faktorer som kan höja den regionala plan</w:t>
      </w:r>
      <w:r w:rsidRPr="000925A8">
        <w:t>e</w:t>
      </w:r>
      <w:r w:rsidRPr="000925A8">
        <w:t>ringens status.</w:t>
      </w:r>
    </w:p>
    <w:p w14:paraId="1A98A099" w14:textId="77777777" w:rsidR="00241093" w:rsidRPr="000925A8" w:rsidRDefault="00241093">
      <w:pPr>
        <w:pStyle w:val="R3"/>
      </w:pPr>
      <w:r w:rsidRPr="000925A8">
        <w:t>Länsstyrelsernas metoder</w:t>
      </w:r>
    </w:p>
    <w:p w14:paraId="6C55BD9C" w14:textId="77777777" w:rsidR="00241093" w:rsidRPr="000925A8" w:rsidRDefault="00241093">
      <w:pPr>
        <w:numPr>
          <w:ilvl w:val="0"/>
          <w:numId w:val="159"/>
        </w:numPr>
      </w:pPr>
      <w:r w:rsidRPr="000925A8">
        <w:t>Länsstyrelsernas främsta metod för att säkerställa en lämplig mella</w:t>
      </w:r>
      <w:r w:rsidRPr="000925A8">
        <w:t>n</w:t>
      </w:r>
      <w:r w:rsidRPr="000925A8">
        <w:t>kommunal samordning är att under planeringens olika skeden påpeka vilka frågor som kan innefatta mellankommunala dimensioner och som därför bör samordnas med andra kommuner. Relativt få länsstyrelser a</w:t>
      </w:r>
      <w:r w:rsidRPr="000925A8">
        <w:t>n</w:t>
      </w:r>
      <w:r w:rsidRPr="000925A8">
        <w:t>ger framtagandet av särskilda underlagsmaterial där mellankommunala frågor belyses som en viktig metod. Detta trots att PBL skärptes på de</w:t>
      </w:r>
      <w:r w:rsidRPr="000925A8">
        <w:t>n</w:t>
      </w:r>
      <w:r w:rsidRPr="000925A8">
        <w:t xml:space="preserve">na punkt i mitten av 1990-talet. </w:t>
      </w:r>
    </w:p>
    <w:p w14:paraId="3057F412" w14:textId="77777777" w:rsidR="00241093" w:rsidRPr="000925A8" w:rsidRDefault="00241093">
      <w:pPr>
        <w:numPr>
          <w:ilvl w:val="0"/>
          <w:numId w:val="159"/>
        </w:numPr>
      </w:pPr>
      <w:r w:rsidRPr="000925A8">
        <w:t>Länsstyrelsernas möjligheter att på ett tidigt stadium säkerställa en lämplig mellankommunal samordning försvåras av att en viktig arena</w:t>
      </w:r>
      <w:r w:rsidRPr="000925A8">
        <w:t xml:space="preserve"> för detta, nämligen den kommunomfattande översiktsplaneringen, är lågt prioriterad i många kommuner.</w:t>
      </w:r>
    </w:p>
    <w:p w14:paraId="393B2DAE" w14:textId="77777777" w:rsidR="00241093" w:rsidRPr="000925A8" w:rsidRDefault="00241093">
      <w:pPr>
        <w:pStyle w:val="R3"/>
      </w:pPr>
      <w:r w:rsidRPr="000925A8">
        <w:t>Överprövningar och överklaganden</w:t>
      </w:r>
    </w:p>
    <w:p w14:paraId="2E544F91" w14:textId="77777777" w:rsidR="00241093" w:rsidRPr="000925A8" w:rsidRDefault="00241093">
      <w:pPr>
        <w:numPr>
          <w:ilvl w:val="0"/>
          <w:numId w:val="159"/>
        </w:numPr>
      </w:pPr>
      <w:r w:rsidRPr="000925A8">
        <w:t>Det är ovanligt att länsstyrelserna prövar och upphäver planer med hä</w:t>
      </w:r>
      <w:r w:rsidRPr="000925A8">
        <w:t>n</w:t>
      </w:r>
      <w:r w:rsidRPr="000925A8">
        <w:t>visning till att den mellankommunala samordningen inte har varit läm</w:t>
      </w:r>
      <w:r w:rsidRPr="000925A8">
        <w:t>p</w:t>
      </w:r>
      <w:r w:rsidRPr="000925A8">
        <w:t>lig. Den huvudsakliga förklaringen till detta torde vara att kommunerna, med eller utan länsstyrelsens stöd, säkerställer en lämplig mellanko</w:t>
      </w:r>
      <w:r w:rsidRPr="000925A8">
        <w:t>m</w:t>
      </w:r>
      <w:r w:rsidRPr="000925A8">
        <w:t>munal samordning under planeringsprocessernas tidiga skeden.</w:t>
      </w:r>
    </w:p>
    <w:p w14:paraId="737D41F8" w14:textId="77777777" w:rsidR="00241093" w:rsidRPr="000925A8" w:rsidRDefault="00241093">
      <w:pPr>
        <w:numPr>
          <w:ilvl w:val="0"/>
          <w:numId w:val="159"/>
        </w:numPr>
      </w:pPr>
      <w:r w:rsidRPr="000925A8">
        <w:t>Det är ovanligt att kommuner överklagar varandras planer med hänvi</w:t>
      </w:r>
      <w:r w:rsidRPr="000925A8">
        <w:t>s</w:t>
      </w:r>
      <w:r w:rsidRPr="000925A8">
        <w:t>ning till att den me</w:t>
      </w:r>
      <w:r w:rsidRPr="000925A8">
        <w:t>l</w:t>
      </w:r>
      <w:r w:rsidRPr="000925A8">
        <w:t>lankommunala samordningen inte har fungerat.</w:t>
      </w:r>
    </w:p>
    <w:p w14:paraId="2758AE32" w14:textId="77777777" w:rsidR="00241093" w:rsidRPr="000925A8" w:rsidRDefault="00241093">
      <w:pPr>
        <w:numPr>
          <w:ilvl w:val="0"/>
          <w:numId w:val="159"/>
        </w:numPr>
      </w:pPr>
      <w:r w:rsidRPr="000925A8">
        <w:t>Det är mycket ovanligt att länsstyrelser förordnar om att lov eller fö</w:t>
      </w:r>
      <w:r w:rsidRPr="000925A8">
        <w:t>r</w:t>
      </w:r>
      <w:r w:rsidRPr="000925A8">
        <w:t>handsbesked ska prövas med motiveringen att man vill säkerställa me</w:t>
      </w:r>
      <w:r w:rsidRPr="000925A8">
        <w:t>l</w:t>
      </w:r>
      <w:r w:rsidRPr="000925A8">
        <w:t>lankommunal samordning. Det är likaså mycket ovanligt att regeringen utfärdar planförelägganden med den motiverin</w:t>
      </w:r>
      <w:r w:rsidRPr="000925A8">
        <w:t>g</w:t>
      </w:r>
      <w:r w:rsidRPr="000925A8">
        <w:t>en.</w:t>
      </w:r>
    </w:p>
    <w:p w14:paraId="101F8B9C" w14:textId="77777777" w:rsidR="00241093" w:rsidRPr="000925A8" w:rsidRDefault="00241093">
      <w:pPr>
        <w:numPr>
          <w:ilvl w:val="0"/>
          <w:numId w:val="159"/>
        </w:numPr>
      </w:pPr>
      <w:r w:rsidRPr="000925A8">
        <w:t>Få menar att PBL behöver ändras för att säkerställa en lämplig mella</w:t>
      </w:r>
      <w:r w:rsidRPr="000925A8">
        <w:t>n</w:t>
      </w:r>
      <w:r w:rsidRPr="000925A8">
        <w:t>kommunal samordning. När det gäller den statliga kontrollen finns det dock mycket varierande uppfattningar om huruvida länsstyrelserna kan tillämpa prövningsgrunden ”inte lämplig mellankommunal samordning” om kommuner är överens i en pla</w:t>
      </w:r>
      <w:r w:rsidRPr="000925A8">
        <w:t>n</w:t>
      </w:r>
      <w:r w:rsidRPr="000925A8">
        <w:t>fråga.</w:t>
      </w:r>
    </w:p>
    <w:p w14:paraId="253B922D" w14:textId="77777777" w:rsidR="00241093" w:rsidRPr="000925A8" w:rsidRDefault="00241093">
      <w:pPr>
        <w:pStyle w:val="R3"/>
      </w:pPr>
      <w:r w:rsidRPr="000925A8">
        <w:t>Mellankommunala ”problemfrågor”</w:t>
      </w:r>
    </w:p>
    <w:p w14:paraId="79638C28" w14:textId="77777777" w:rsidR="00241093" w:rsidRPr="000925A8" w:rsidRDefault="00241093">
      <w:pPr>
        <w:numPr>
          <w:ilvl w:val="0"/>
          <w:numId w:val="159"/>
        </w:numPr>
      </w:pPr>
      <w:r w:rsidRPr="000925A8">
        <w:t>Den fråga som är i särklass vanligast bland de som anses kunna skapa mellankommunala samordningsproblem är etablering av extern handel, företrädesvis med inslag av livsmedelshandel. Vindkraftsetableringar nämns också ofta bland dessa frågor.</w:t>
      </w:r>
    </w:p>
    <w:p w14:paraId="7B04C321" w14:textId="77777777" w:rsidR="00241093" w:rsidRPr="000925A8" w:rsidRDefault="00241093">
      <w:pPr>
        <w:numPr>
          <w:ilvl w:val="0"/>
          <w:numId w:val="159"/>
        </w:numPr>
      </w:pPr>
      <w:r w:rsidRPr="000925A8">
        <w:t>På senare tid har länsstyrelserna i två län valt att pröva och upphäva planer som innefattar externhandelsetableringar med motiveringen att den mellankommunala samordningen inte har varit lämplig. Liknande etableringar i andra län har inte resulterat i n</w:t>
      </w:r>
      <w:r w:rsidRPr="000925A8">
        <w:t>å</w:t>
      </w:r>
      <w:r w:rsidRPr="000925A8">
        <w:t>gon prövning.</w:t>
      </w:r>
    </w:p>
    <w:p w14:paraId="00BEB8B6" w14:textId="77777777" w:rsidR="00241093" w:rsidRPr="000925A8" w:rsidRDefault="00241093">
      <w:pPr>
        <w:numPr>
          <w:ilvl w:val="0"/>
          <w:numId w:val="159"/>
        </w:numPr>
      </w:pPr>
      <w:r w:rsidRPr="000925A8">
        <w:t>Infrastrukturfrågor lyfts sällan fram som mellankommunala problemfr</w:t>
      </w:r>
      <w:r w:rsidRPr="000925A8">
        <w:t>å</w:t>
      </w:r>
      <w:r w:rsidRPr="000925A8">
        <w:t>gor. Förklaringen tycks främst vara infrastrukturplaneringens karaktär där den mellankommunala samordningen huvudsakligen sker i länstran</w:t>
      </w:r>
      <w:r w:rsidRPr="000925A8">
        <w:t>s</w:t>
      </w:r>
      <w:r w:rsidRPr="000925A8">
        <w:t>portplaner på regional nivå. Kommunerna får i mångt och mycket anpa</w:t>
      </w:r>
      <w:r w:rsidRPr="000925A8">
        <w:t>s</w:t>
      </w:r>
      <w:r w:rsidRPr="000925A8">
        <w:t>sa sin egen planering till denna ”uppifrånplanering” och agerar mer sä</w:t>
      </w:r>
      <w:r w:rsidRPr="000925A8">
        <w:t>l</w:t>
      </w:r>
      <w:r w:rsidRPr="000925A8">
        <w:t>lan för att motverka infrastruktursatsningar.</w:t>
      </w:r>
    </w:p>
    <w:p w14:paraId="2FC0CB00" w14:textId="77777777" w:rsidR="00241093" w:rsidRPr="000925A8" w:rsidRDefault="00241093">
      <w:pPr>
        <w:numPr>
          <w:ilvl w:val="0"/>
          <w:numId w:val="159"/>
        </w:numPr>
      </w:pPr>
      <w:r w:rsidRPr="000925A8">
        <w:t>Bostadsförsörjningsfrågor och planering av verksamhetsområden tycks mer sällan uppfattas som frågor som ställer krav på mellankommunal samordning. Dessa frågor kännetecknas i viss utsträck</w:t>
      </w:r>
      <w:r w:rsidRPr="000925A8">
        <w:t>ning av ”mellankommunal konkurrens”, och det kan även vara svårt för länsst</w:t>
      </w:r>
      <w:r w:rsidRPr="000925A8">
        <w:t>y</w:t>
      </w:r>
      <w:r w:rsidRPr="000925A8">
        <w:t>relserna att avgöra vad som i sammanhanget är att betrakta som en ”lämplig mellankomm</w:t>
      </w:r>
      <w:r w:rsidRPr="000925A8">
        <w:t>u</w:t>
      </w:r>
      <w:r w:rsidRPr="000925A8">
        <w:t>nal samordning”.</w:t>
      </w:r>
    </w:p>
    <w:p w14:paraId="12389147" w14:textId="77777777" w:rsidR="00241093" w:rsidRPr="000925A8" w:rsidRDefault="00241093">
      <w:pPr>
        <w:numPr>
          <w:ilvl w:val="0"/>
          <w:numId w:val="159"/>
        </w:numPr>
      </w:pPr>
      <w:r w:rsidRPr="000925A8">
        <w:t>”Nya” planfrågor som sannolikt kommer att innebära mellankommunala samordningsproblem är miljöbalkens bestämmelser om miljökvalitet</w:t>
      </w:r>
      <w:r w:rsidRPr="000925A8">
        <w:t>s</w:t>
      </w:r>
      <w:r w:rsidRPr="000925A8">
        <w:t>normer, byggandet av fasta anläggningar för mobil telekommunikation samt tillämpningen av EU:s vattenkvalite</w:t>
      </w:r>
      <w:r w:rsidRPr="000925A8">
        <w:t>t</w:t>
      </w:r>
      <w:r w:rsidRPr="000925A8">
        <w:t>direktiv.</w:t>
      </w:r>
    </w:p>
    <w:p w14:paraId="1F29FA58" w14:textId="77777777" w:rsidR="00241093" w:rsidRPr="000925A8" w:rsidRDefault="00241093">
      <w:pPr>
        <w:pStyle w:val="R2"/>
        <w:spacing w:before="0"/>
      </w:pPr>
      <w:r w:rsidRPr="000925A8">
        <w:br w:type="page"/>
        <w:t>Referenser</w:t>
      </w:r>
    </w:p>
    <w:p w14:paraId="2875BDE0" w14:textId="77777777" w:rsidR="00241093" w:rsidRPr="000925A8" w:rsidRDefault="00241093">
      <w:pPr>
        <w:pStyle w:val="R4"/>
      </w:pPr>
      <w:r w:rsidRPr="000925A8">
        <w:t>Skriftliga källor</w:t>
      </w:r>
    </w:p>
    <w:p w14:paraId="48020989" w14:textId="77777777" w:rsidR="00241093" w:rsidRPr="000925A8" w:rsidRDefault="00241093">
      <w:pPr>
        <w:spacing w:before="187"/>
      </w:pPr>
      <w:r w:rsidRPr="000925A8">
        <w:t xml:space="preserve">Bostadsutskottets betänkande 1999/2000:BoU7 </w:t>
      </w:r>
    </w:p>
    <w:p w14:paraId="1134B616" w14:textId="77777777" w:rsidR="00241093" w:rsidRPr="000925A8" w:rsidRDefault="00241093">
      <w:pPr>
        <w:spacing w:before="125"/>
      </w:pPr>
      <w:r w:rsidRPr="000925A8">
        <w:t>Bostadsutskottets betänkande 2000/01:BoU9</w:t>
      </w:r>
    </w:p>
    <w:p w14:paraId="2E3A159A" w14:textId="77777777" w:rsidR="00241093" w:rsidRPr="000925A8" w:rsidRDefault="00241093">
      <w:pPr>
        <w:spacing w:before="125"/>
      </w:pPr>
      <w:r w:rsidRPr="000925A8">
        <w:t xml:space="preserve">Boverket och Naturvårdsverket, </w:t>
      </w:r>
      <w:r w:rsidRPr="000925A8">
        <w:rPr>
          <w:i/>
        </w:rPr>
        <w:t>Miljöinriktad fysisk plan</w:t>
      </w:r>
      <w:r w:rsidRPr="000925A8">
        <w:rPr>
          <w:i/>
        </w:rPr>
        <w:t>e</w:t>
      </w:r>
      <w:r w:rsidRPr="000925A8">
        <w:rPr>
          <w:i/>
        </w:rPr>
        <w:t>ring</w:t>
      </w:r>
      <w:r w:rsidRPr="000925A8">
        <w:t>, 2000</w:t>
      </w:r>
    </w:p>
    <w:p w14:paraId="055B83D9" w14:textId="77777777" w:rsidR="00241093" w:rsidRPr="000925A8" w:rsidRDefault="00241093">
      <w:pPr>
        <w:spacing w:before="125"/>
      </w:pPr>
      <w:r w:rsidRPr="000925A8">
        <w:t xml:space="preserve">Boverket, 13 utmaningar för den fysiska samhällsplaneringen – Förslag till strategi, 2000 </w:t>
      </w:r>
    </w:p>
    <w:p w14:paraId="22DDD993" w14:textId="77777777" w:rsidR="00241093" w:rsidRPr="000925A8" w:rsidRDefault="00241093">
      <w:pPr>
        <w:tabs>
          <w:tab w:val="left" w:pos="540"/>
        </w:tabs>
        <w:spacing w:before="125" w:after="200"/>
      </w:pPr>
      <w:r w:rsidRPr="000925A8">
        <w:t>Boverket, Boken om översiktsplan – Del I-IV, 1991</w:t>
      </w:r>
    </w:p>
    <w:p w14:paraId="33F0A9A8" w14:textId="77777777" w:rsidR="00241093" w:rsidRPr="000925A8" w:rsidRDefault="00241093">
      <w:pPr>
        <w:tabs>
          <w:tab w:val="left" w:pos="540"/>
        </w:tabs>
        <w:spacing w:before="0" w:after="200"/>
      </w:pPr>
      <w:r w:rsidRPr="000925A8">
        <w:t xml:space="preserve">Boverket, </w:t>
      </w:r>
      <w:r w:rsidRPr="000925A8">
        <w:rPr>
          <w:i/>
        </w:rPr>
        <w:t>Erfarenheter av översiktsplanearbetet – Huvudrapport juni –92</w:t>
      </w:r>
      <w:r w:rsidRPr="000925A8">
        <w:t>, 1992</w:t>
      </w:r>
    </w:p>
    <w:p w14:paraId="32A94FEC" w14:textId="77777777" w:rsidR="00241093" w:rsidRPr="000925A8" w:rsidRDefault="00241093">
      <w:pPr>
        <w:tabs>
          <w:tab w:val="left" w:pos="540"/>
        </w:tabs>
        <w:spacing w:before="0" w:after="200"/>
      </w:pPr>
      <w:r w:rsidRPr="000925A8">
        <w:t xml:space="preserve">Boverket, </w:t>
      </w:r>
      <w:r w:rsidRPr="000925A8">
        <w:rPr>
          <w:i/>
        </w:rPr>
        <w:t>Handeln i planeringen</w:t>
      </w:r>
      <w:r w:rsidRPr="000925A8">
        <w:t>, 1999</w:t>
      </w:r>
    </w:p>
    <w:p w14:paraId="246BEBED" w14:textId="77777777" w:rsidR="00241093" w:rsidRPr="000925A8" w:rsidRDefault="00241093">
      <w:pPr>
        <w:tabs>
          <w:tab w:val="left" w:pos="540"/>
        </w:tabs>
        <w:spacing w:before="0" w:after="200"/>
      </w:pPr>
      <w:r w:rsidRPr="000925A8">
        <w:t xml:space="preserve">Boverket, </w:t>
      </w:r>
      <w:r w:rsidRPr="000925A8">
        <w:rPr>
          <w:i/>
        </w:rPr>
        <w:t>Mellankommunala frågor i kommunal planering – redovisning av exempel och kommentarer</w:t>
      </w:r>
      <w:r w:rsidRPr="000925A8">
        <w:t>, PBL/NRL-underlag nr 38, 1992</w:t>
      </w:r>
    </w:p>
    <w:p w14:paraId="5B4698BF" w14:textId="77777777" w:rsidR="00241093" w:rsidRPr="000925A8" w:rsidRDefault="00241093">
      <w:pPr>
        <w:tabs>
          <w:tab w:val="left" w:pos="540"/>
        </w:tabs>
        <w:spacing w:before="0" w:after="200"/>
      </w:pPr>
      <w:r w:rsidRPr="000925A8">
        <w:t xml:space="preserve">Boverket, </w:t>
      </w:r>
      <w:r w:rsidRPr="000925A8">
        <w:rPr>
          <w:i/>
        </w:rPr>
        <w:t>Yttrande över överklagande av länsstyrelsens i Malmö beslut att med stöd av 12 kap. 3 § plan- och bygglagen upphäva detaljplan för Örja Östra, Landskrona ko</w:t>
      </w:r>
      <w:r w:rsidRPr="000925A8">
        <w:rPr>
          <w:i/>
        </w:rPr>
        <w:t>m</w:t>
      </w:r>
      <w:r w:rsidRPr="000925A8">
        <w:rPr>
          <w:i/>
        </w:rPr>
        <w:t xml:space="preserve">mun, </w:t>
      </w:r>
      <w:r w:rsidRPr="000925A8">
        <w:t>1999-06-01</w:t>
      </w:r>
    </w:p>
    <w:p w14:paraId="3E5EB353" w14:textId="77777777" w:rsidR="00241093" w:rsidRPr="000925A8" w:rsidRDefault="00241093">
      <w:pPr>
        <w:tabs>
          <w:tab w:val="left" w:pos="540"/>
        </w:tabs>
        <w:spacing w:before="0" w:after="200"/>
      </w:pPr>
      <w:r w:rsidRPr="000925A8">
        <w:t xml:space="preserve">Boverket, </w:t>
      </w:r>
      <w:r w:rsidRPr="000925A8">
        <w:rPr>
          <w:i/>
        </w:rPr>
        <w:t>Yttrande över överklagande av länsstyrelsens i Malmö beslut att med stöd av 12 kap. 3 § plan- och bygglagen upphäva detaljplan för Örja Östra, Landskrona kommun; framställning nu med medgivande före rege</w:t>
      </w:r>
      <w:r w:rsidRPr="000925A8">
        <w:rPr>
          <w:i/>
        </w:rPr>
        <w:t>r</w:t>
      </w:r>
      <w:r w:rsidRPr="000925A8">
        <w:rPr>
          <w:i/>
        </w:rPr>
        <w:t xml:space="preserve">ingen att ändra detaljplanen med stöd av 13 kap. 8 § PBL, </w:t>
      </w:r>
      <w:r w:rsidRPr="000925A8">
        <w:t>1999-11-12</w:t>
      </w:r>
    </w:p>
    <w:p w14:paraId="52124C1F" w14:textId="77777777" w:rsidR="00241093" w:rsidRPr="000925A8" w:rsidRDefault="00241093">
      <w:pPr>
        <w:tabs>
          <w:tab w:val="left" w:pos="540"/>
        </w:tabs>
        <w:spacing w:before="0" w:after="200"/>
      </w:pPr>
      <w:r w:rsidRPr="000925A8">
        <w:t xml:space="preserve">Burlövs kommun, </w:t>
      </w:r>
      <w:r w:rsidRPr="000925A8">
        <w:rPr>
          <w:i/>
        </w:rPr>
        <w:t>detaljplan för Sunnanå 12:6, Stora Bernstorps industrio</w:t>
      </w:r>
      <w:r w:rsidRPr="000925A8">
        <w:rPr>
          <w:i/>
        </w:rPr>
        <w:t>m</w:t>
      </w:r>
      <w:r w:rsidRPr="000925A8">
        <w:rPr>
          <w:i/>
        </w:rPr>
        <w:t>råde</w:t>
      </w:r>
      <w:r w:rsidRPr="000925A8">
        <w:t>, 1996-08-19</w:t>
      </w:r>
    </w:p>
    <w:p w14:paraId="22FF1A5B" w14:textId="77777777" w:rsidR="00241093" w:rsidRPr="000925A8" w:rsidRDefault="00241093">
      <w:pPr>
        <w:tabs>
          <w:tab w:val="left" w:pos="540"/>
        </w:tabs>
        <w:spacing w:before="0" w:after="200"/>
      </w:pPr>
      <w:r w:rsidRPr="000925A8">
        <w:t xml:space="preserve">Europeiska kommissionen, </w:t>
      </w:r>
      <w:r w:rsidRPr="000925A8">
        <w:rPr>
          <w:i/>
        </w:rPr>
        <w:t>Det regionala utvecklingsperspektivet inom Eur</w:t>
      </w:r>
      <w:r w:rsidRPr="000925A8">
        <w:rPr>
          <w:i/>
        </w:rPr>
        <w:t>o</w:t>
      </w:r>
      <w:r w:rsidRPr="000925A8">
        <w:rPr>
          <w:i/>
        </w:rPr>
        <w:t>peiska unionen – Mot balanserad och hållbar utveckling av EU:s territorium</w:t>
      </w:r>
      <w:r w:rsidRPr="000925A8">
        <w:t>, Byrån för Europeiska gemenskapernas officiella publikati</w:t>
      </w:r>
      <w:r w:rsidRPr="000925A8">
        <w:t>o</w:t>
      </w:r>
      <w:r w:rsidRPr="000925A8">
        <w:t>ner, 2000</w:t>
      </w:r>
    </w:p>
    <w:p w14:paraId="2FA2C769" w14:textId="77777777" w:rsidR="00241093" w:rsidRPr="000925A8" w:rsidRDefault="00241093">
      <w:pPr>
        <w:tabs>
          <w:tab w:val="left" w:pos="540"/>
        </w:tabs>
        <w:spacing w:before="0" w:after="200"/>
      </w:pPr>
      <w:r w:rsidRPr="000925A8">
        <w:rPr>
          <w:rFonts w:eastAsia="MS Mincho"/>
        </w:rPr>
        <w:t>Förordning (1997:1258) med Länsstyrelseinstruktion</w:t>
      </w:r>
    </w:p>
    <w:p w14:paraId="12C8E362" w14:textId="77777777" w:rsidR="00241093" w:rsidRPr="000925A8" w:rsidRDefault="00241093">
      <w:pPr>
        <w:tabs>
          <w:tab w:val="left" w:pos="540"/>
        </w:tabs>
        <w:spacing w:before="0" w:after="200"/>
      </w:pPr>
      <w:r w:rsidRPr="000925A8">
        <w:t xml:space="preserve">Helsingborgs stad, stadsbyggnadskontoret, </w:t>
      </w:r>
      <w:r w:rsidRPr="000925A8">
        <w:rPr>
          <w:i/>
        </w:rPr>
        <w:t>Kallelse till mellankommunalt samråd om vin</w:t>
      </w:r>
      <w:r w:rsidRPr="000925A8">
        <w:rPr>
          <w:i/>
        </w:rPr>
        <w:t>d</w:t>
      </w:r>
      <w:r w:rsidRPr="000925A8">
        <w:rPr>
          <w:i/>
        </w:rPr>
        <w:t>kraft</w:t>
      </w:r>
      <w:r w:rsidRPr="000925A8">
        <w:t>, 2001-07-03</w:t>
      </w:r>
    </w:p>
    <w:p w14:paraId="3FC7F115" w14:textId="77777777" w:rsidR="00241093" w:rsidRPr="000925A8" w:rsidRDefault="00241093">
      <w:pPr>
        <w:spacing w:before="0"/>
      </w:pPr>
      <w:r w:rsidRPr="000925A8">
        <w:t xml:space="preserve">Höög, Terese och Sunesson, Camilla, </w:t>
      </w:r>
      <w:r w:rsidRPr="000925A8">
        <w:rPr>
          <w:i/>
        </w:rPr>
        <w:t>Varför Vägverket medverkar i den kommunala fysi</w:t>
      </w:r>
      <w:r w:rsidRPr="000925A8">
        <w:rPr>
          <w:i/>
        </w:rPr>
        <w:t>s</w:t>
      </w:r>
      <w:r w:rsidRPr="000925A8">
        <w:rPr>
          <w:i/>
        </w:rPr>
        <w:t>ka planeringen</w:t>
      </w:r>
      <w:r w:rsidRPr="000925A8">
        <w:t>, PLAN, 1/2001, s. 26 och 30.</w:t>
      </w:r>
    </w:p>
    <w:p w14:paraId="74787B3B" w14:textId="77777777" w:rsidR="00241093" w:rsidRPr="000925A8" w:rsidRDefault="00241093">
      <w:pPr>
        <w:tabs>
          <w:tab w:val="left" w:pos="540"/>
        </w:tabs>
        <w:spacing w:before="0" w:after="200"/>
      </w:pPr>
      <w:r w:rsidRPr="000925A8">
        <w:t xml:space="preserve">Konkurrensverket, </w:t>
      </w:r>
      <w:r w:rsidRPr="000925A8">
        <w:rPr>
          <w:i/>
        </w:rPr>
        <w:t>Kan kommunerna pressa matpriserna?</w:t>
      </w:r>
      <w:r w:rsidRPr="000925A8">
        <w:t>, Konkurrensve</w:t>
      </w:r>
      <w:r w:rsidRPr="000925A8">
        <w:t>r</w:t>
      </w:r>
      <w:r w:rsidRPr="000925A8">
        <w:t>kets rapportserie 2001:4, 2001</w:t>
      </w:r>
    </w:p>
    <w:p w14:paraId="4D1C8703" w14:textId="77777777" w:rsidR="00241093" w:rsidRPr="000925A8" w:rsidRDefault="00241093">
      <w:pPr>
        <w:tabs>
          <w:tab w:val="left" w:pos="540"/>
        </w:tabs>
        <w:spacing w:before="0" w:after="200"/>
      </w:pPr>
      <w:r w:rsidRPr="000925A8">
        <w:t>Konstitutionsutskottets betänkande 2001/02:KU7</w:t>
      </w:r>
    </w:p>
    <w:p w14:paraId="5A744C3D" w14:textId="77777777" w:rsidR="00241093" w:rsidRPr="000925A8" w:rsidRDefault="00241093">
      <w:pPr>
        <w:spacing w:before="0"/>
      </w:pPr>
      <w:r w:rsidRPr="000925A8">
        <w:t>Lag (1987:147) om regionplanering för kommunerna i Stockholms län</w:t>
      </w:r>
    </w:p>
    <w:p w14:paraId="3A9DAB4F" w14:textId="77777777" w:rsidR="00241093" w:rsidRPr="000925A8" w:rsidRDefault="00241093">
      <w:pPr>
        <w:tabs>
          <w:tab w:val="left" w:pos="540"/>
        </w:tabs>
        <w:spacing w:before="125" w:after="200"/>
      </w:pPr>
      <w:r w:rsidRPr="000925A8">
        <w:t xml:space="preserve">Landskrona kommun, </w:t>
      </w:r>
      <w:r w:rsidRPr="000925A8">
        <w:rPr>
          <w:i/>
        </w:rPr>
        <w:t>detaljplan för Örja Östra, norra delen</w:t>
      </w:r>
      <w:r w:rsidRPr="000925A8">
        <w:t>, 1998-06-15</w:t>
      </w:r>
    </w:p>
    <w:p w14:paraId="4DC1C5CC" w14:textId="77777777" w:rsidR="00241093" w:rsidRPr="000925A8" w:rsidRDefault="00241093">
      <w:pPr>
        <w:tabs>
          <w:tab w:val="left" w:pos="540"/>
        </w:tabs>
        <w:spacing w:before="0" w:after="200"/>
      </w:pPr>
      <w:r w:rsidRPr="000925A8">
        <w:t xml:space="preserve">Länsstyrelsen i Blekinge län, </w:t>
      </w:r>
      <w:r w:rsidRPr="000925A8">
        <w:rPr>
          <w:i/>
        </w:rPr>
        <w:t>Angående beslut om antagande av detaljplan för del av Lyckå 1:1, del av Vedeby 8:7 m fl i Lyckeby, Karlskrona kommun, Beslut</w:t>
      </w:r>
      <w:r w:rsidRPr="000925A8">
        <w:t>, 2001-12-21</w:t>
      </w:r>
    </w:p>
    <w:p w14:paraId="1DCE039F" w14:textId="77777777" w:rsidR="00241093" w:rsidRPr="000925A8" w:rsidRDefault="00241093">
      <w:pPr>
        <w:tabs>
          <w:tab w:val="left" w:pos="540"/>
        </w:tabs>
        <w:spacing w:after="200"/>
      </w:pPr>
      <w:r w:rsidRPr="000925A8">
        <w:t xml:space="preserve">Länsstyrelsen i Blekinge län, </w:t>
      </w:r>
      <w:r w:rsidRPr="000925A8">
        <w:rPr>
          <w:i/>
        </w:rPr>
        <w:t>samråd om förslag till översiktsplan för Karl</w:t>
      </w:r>
      <w:r w:rsidRPr="000925A8">
        <w:rPr>
          <w:i/>
        </w:rPr>
        <w:t>s</w:t>
      </w:r>
      <w:r w:rsidRPr="000925A8">
        <w:rPr>
          <w:i/>
        </w:rPr>
        <w:t>krona kommun – Karlskrona.se, Blekinge län</w:t>
      </w:r>
      <w:r w:rsidRPr="000925A8">
        <w:t>, 2001-09-03</w:t>
      </w:r>
    </w:p>
    <w:p w14:paraId="036D9C71" w14:textId="77777777" w:rsidR="00241093" w:rsidRPr="000925A8" w:rsidRDefault="00241093">
      <w:pPr>
        <w:tabs>
          <w:tab w:val="left" w:pos="540"/>
        </w:tabs>
        <w:spacing w:before="0" w:after="200"/>
      </w:pPr>
      <w:r w:rsidRPr="000925A8">
        <w:t xml:space="preserve">Länsstyrelsen i Jämtlands län, </w:t>
      </w:r>
      <w:r w:rsidRPr="000925A8">
        <w:rPr>
          <w:i/>
        </w:rPr>
        <w:t>Prövning av kommunfullmäktige i Krokoms kommun beslut att den 13 juni 2001 att anta detaljplan för Ås arbetsområde del av Rösta 2:6 Ås Krokoms kommun,</w:t>
      </w:r>
      <w:r w:rsidRPr="000925A8">
        <w:t xml:space="preserve"> 2001-10-08.</w:t>
      </w:r>
    </w:p>
    <w:p w14:paraId="1F175EF0" w14:textId="77777777" w:rsidR="00241093" w:rsidRPr="000925A8" w:rsidRDefault="00241093">
      <w:pPr>
        <w:tabs>
          <w:tab w:val="left" w:pos="540"/>
        </w:tabs>
        <w:spacing w:before="0" w:after="200"/>
      </w:pPr>
      <w:r w:rsidRPr="000925A8">
        <w:t xml:space="preserve">Länsstyrelsen i Jämtlands län, </w:t>
      </w:r>
      <w:r w:rsidRPr="000925A8">
        <w:rPr>
          <w:i/>
        </w:rPr>
        <w:t>Prövning av kommunfullmäktige i Östersunds kommun beslut att den 22 aug 2001 att anta detaljplan för arbetsplatser, bilistservice och handel vid trafikplats Odenskog (kv Ångvälten mm) Öste</w:t>
      </w:r>
      <w:r w:rsidRPr="000925A8">
        <w:rPr>
          <w:i/>
        </w:rPr>
        <w:t>r</w:t>
      </w:r>
      <w:r w:rsidRPr="000925A8">
        <w:rPr>
          <w:i/>
        </w:rPr>
        <w:t xml:space="preserve">sunds kommun, </w:t>
      </w:r>
      <w:r w:rsidRPr="000925A8">
        <w:t>2001-10-08</w:t>
      </w:r>
    </w:p>
    <w:p w14:paraId="5EA1E664" w14:textId="77777777" w:rsidR="00241093" w:rsidRPr="000925A8" w:rsidRDefault="00241093">
      <w:pPr>
        <w:tabs>
          <w:tab w:val="left" w:pos="540"/>
        </w:tabs>
        <w:spacing w:before="0" w:after="200"/>
      </w:pPr>
      <w:r w:rsidRPr="000925A8">
        <w:t>Länsstyrelsen i Norrbottens län</w:t>
      </w:r>
      <w:r w:rsidRPr="000925A8">
        <w:rPr>
          <w:i/>
        </w:rPr>
        <w:t>, Överklagande av detaljplan för sjukhus i Södra Sunde</w:t>
      </w:r>
      <w:r w:rsidRPr="000925A8">
        <w:rPr>
          <w:i/>
        </w:rPr>
        <w:t>r</w:t>
      </w:r>
      <w:r w:rsidRPr="000925A8">
        <w:rPr>
          <w:i/>
        </w:rPr>
        <w:t>byn, Luleå kommun</w:t>
      </w:r>
      <w:r w:rsidRPr="000925A8">
        <w:t>, 1994-05-16</w:t>
      </w:r>
    </w:p>
    <w:p w14:paraId="041075EE" w14:textId="77777777" w:rsidR="00241093" w:rsidRPr="000925A8" w:rsidRDefault="00241093">
      <w:pPr>
        <w:tabs>
          <w:tab w:val="left" w:pos="540"/>
        </w:tabs>
        <w:spacing w:before="0" w:after="200"/>
      </w:pPr>
      <w:r w:rsidRPr="000925A8">
        <w:t xml:space="preserve">Länsstyrelsen i Skåne län, </w:t>
      </w:r>
      <w:r w:rsidRPr="000925A8">
        <w:rPr>
          <w:i/>
        </w:rPr>
        <w:t>En regional överblick – Kartläggning och analys av regionala frågor</w:t>
      </w:r>
      <w:r w:rsidRPr="000925A8">
        <w:t>, 2001</w:t>
      </w:r>
    </w:p>
    <w:p w14:paraId="0688D8A6" w14:textId="77777777" w:rsidR="00241093" w:rsidRPr="000925A8" w:rsidRDefault="00241093">
      <w:pPr>
        <w:tabs>
          <w:tab w:val="left" w:pos="540"/>
        </w:tabs>
        <w:spacing w:before="0" w:after="200"/>
      </w:pPr>
      <w:r w:rsidRPr="000925A8">
        <w:t xml:space="preserve">Länsstyrelsen i Skåne län, </w:t>
      </w:r>
      <w:r w:rsidRPr="000925A8">
        <w:rPr>
          <w:i/>
        </w:rPr>
        <w:t>Planprogram för del av Kvistofta 24:1 m.fl. (vin</w:t>
      </w:r>
      <w:r w:rsidRPr="000925A8">
        <w:rPr>
          <w:i/>
        </w:rPr>
        <w:t>d</w:t>
      </w:r>
      <w:r w:rsidRPr="000925A8">
        <w:rPr>
          <w:i/>
        </w:rPr>
        <w:t>kraft), He</w:t>
      </w:r>
      <w:r w:rsidRPr="000925A8">
        <w:rPr>
          <w:i/>
        </w:rPr>
        <w:t>l</w:t>
      </w:r>
      <w:r w:rsidRPr="000925A8">
        <w:rPr>
          <w:i/>
        </w:rPr>
        <w:t>singsborgs stad</w:t>
      </w:r>
      <w:r w:rsidRPr="000925A8">
        <w:t>, yttrande, 2001-12-03</w:t>
      </w:r>
    </w:p>
    <w:p w14:paraId="4AEBF9B9" w14:textId="77777777" w:rsidR="00241093" w:rsidRPr="000925A8" w:rsidRDefault="00241093">
      <w:pPr>
        <w:tabs>
          <w:tab w:val="left" w:pos="540"/>
        </w:tabs>
        <w:spacing w:before="0" w:after="200"/>
      </w:pPr>
      <w:r w:rsidRPr="000925A8">
        <w:t xml:space="preserve">Länsstyrelsen i Skåne län, </w:t>
      </w:r>
      <w:r w:rsidRPr="000925A8">
        <w:rPr>
          <w:i/>
        </w:rPr>
        <w:t>Prövning av beslut att anta detaljplan för Örja Östra, norra delen i Landskrona kommun</w:t>
      </w:r>
      <w:r w:rsidRPr="000925A8">
        <w:t>, 1999-01-18</w:t>
      </w:r>
    </w:p>
    <w:p w14:paraId="59D8087F" w14:textId="77777777" w:rsidR="00241093" w:rsidRPr="000925A8" w:rsidRDefault="00241093">
      <w:pPr>
        <w:tabs>
          <w:tab w:val="left" w:pos="540"/>
        </w:tabs>
        <w:spacing w:before="0" w:after="200"/>
      </w:pPr>
      <w:r w:rsidRPr="000925A8">
        <w:t xml:space="preserve">Länsstyrelsen i Skåne län, </w:t>
      </w:r>
      <w:r w:rsidRPr="000925A8">
        <w:rPr>
          <w:i/>
        </w:rPr>
        <w:t>Prövning av beslut att anta detaljplan för del av Löddeköpinge 23:3 (norr om lagervägen) i Kävlinge kommun</w:t>
      </w:r>
      <w:r w:rsidRPr="000925A8">
        <w:t>, 1999-01-18</w:t>
      </w:r>
    </w:p>
    <w:p w14:paraId="4FCAC541" w14:textId="77777777" w:rsidR="00241093" w:rsidRPr="000925A8" w:rsidRDefault="00241093">
      <w:pPr>
        <w:tabs>
          <w:tab w:val="left" w:pos="540"/>
        </w:tabs>
        <w:spacing w:before="0" w:after="200"/>
      </w:pPr>
      <w:r w:rsidRPr="000925A8">
        <w:t xml:space="preserve">Länsstyrelsen i Skåne län, </w:t>
      </w:r>
      <w:r w:rsidRPr="000925A8">
        <w:rPr>
          <w:i/>
        </w:rPr>
        <w:t>Regionala analyser – Handel: Delrapport 1 Kar</w:t>
      </w:r>
      <w:r w:rsidRPr="000925A8">
        <w:rPr>
          <w:i/>
        </w:rPr>
        <w:t>t</w:t>
      </w:r>
      <w:r w:rsidRPr="000925A8">
        <w:rPr>
          <w:i/>
        </w:rPr>
        <w:t>läggning e</w:t>
      </w:r>
      <w:r w:rsidRPr="000925A8">
        <w:rPr>
          <w:i/>
        </w:rPr>
        <w:t>x</w:t>
      </w:r>
      <w:r w:rsidRPr="000925A8">
        <w:rPr>
          <w:i/>
        </w:rPr>
        <w:t>ternhandel</w:t>
      </w:r>
      <w:r w:rsidRPr="000925A8">
        <w:t>, 2001</w:t>
      </w:r>
    </w:p>
    <w:p w14:paraId="30FE35A4" w14:textId="77777777" w:rsidR="00241093" w:rsidRPr="000925A8" w:rsidRDefault="00241093">
      <w:pPr>
        <w:tabs>
          <w:tab w:val="left" w:pos="540"/>
        </w:tabs>
        <w:spacing w:before="0" w:after="200"/>
        <w:rPr>
          <w:i/>
        </w:rPr>
      </w:pPr>
      <w:r w:rsidRPr="000925A8">
        <w:t xml:space="preserve">Länsstyrelsen i Stockholms län, </w:t>
      </w:r>
      <w:r w:rsidRPr="000925A8">
        <w:rPr>
          <w:i/>
        </w:rPr>
        <w:t>yttrande över Plan- och byggprocessens längd – rapport 2000/012:14</w:t>
      </w:r>
    </w:p>
    <w:p w14:paraId="235CA50E" w14:textId="77777777" w:rsidR="00241093" w:rsidRPr="000925A8" w:rsidRDefault="00241093">
      <w:pPr>
        <w:tabs>
          <w:tab w:val="left" w:pos="540"/>
        </w:tabs>
        <w:spacing w:before="0" w:after="200"/>
      </w:pPr>
      <w:r w:rsidRPr="000925A8">
        <w:t xml:space="preserve">Länsstyrelsen i Södermanlands län, </w:t>
      </w:r>
      <w:r w:rsidRPr="000925A8">
        <w:rPr>
          <w:i/>
        </w:rPr>
        <w:t>Översiktlig bedömning av detaljhandel i Eskilstuna, yttrande</w:t>
      </w:r>
      <w:r w:rsidRPr="000925A8">
        <w:t>, 1999-12-20</w:t>
      </w:r>
    </w:p>
    <w:p w14:paraId="3434C0B6" w14:textId="77777777" w:rsidR="00241093" w:rsidRPr="000925A8" w:rsidRDefault="00241093">
      <w:pPr>
        <w:tabs>
          <w:tab w:val="left" w:pos="540"/>
        </w:tabs>
        <w:spacing w:before="0" w:after="200"/>
      </w:pPr>
      <w:r w:rsidRPr="000925A8">
        <w:t xml:space="preserve">Länsstyrelsen i Uppsala län, </w:t>
      </w:r>
      <w:r w:rsidRPr="000925A8">
        <w:rPr>
          <w:i/>
        </w:rPr>
        <w:t>Vindkraft i Uppsala län – lokaliseringsstudie inför riksintre</w:t>
      </w:r>
      <w:r w:rsidRPr="000925A8">
        <w:rPr>
          <w:i/>
        </w:rPr>
        <w:t>s</w:t>
      </w:r>
      <w:r w:rsidRPr="000925A8">
        <w:rPr>
          <w:i/>
        </w:rPr>
        <w:t>seavgränsning – förslag till vindkraftspolicy</w:t>
      </w:r>
      <w:r w:rsidRPr="000925A8">
        <w:t>, remiss, 1997-11-10</w:t>
      </w:r>
    </w:p>
    <w:p w14:paraId="66D1C98D" w14:textId="77777777" w:rsidR="00241093" w:rsidRPr="000925A8" w:rsidRDefault="00241093">
      <w:pPr>
        <w:tabs>
          <w:tab w:val="left" w:pos="540"/>
        </w:tabs>
        <w:spacing w:before="0" w:after="200"/>
      </w:pPr>
      <w:r w:rsidRPr="000925A8">
        <w:t xml:space="preserve">Länsstyrelsen i Västra Götalands län, </w:t>
      </w:r>
      <w:r w:rsidRPr="000925A8">
        <w:rPr>
          <w:i/>
        </w:rPr>
        <w:t>Program för kollektivtrafikprojektet Kringen, delen Folkungabron–Skånegatan, Göteborgs kommun – Samråd</w:t>
      </w:r>
      <w:r w:rsidRPr="000925A8">
        <w:rPr>
          <w:i/>
        </w:rPr>
        <w:t>s</w:t>
      </w:r>
      <w:r w:rsidRPr="000925A8">
        <w:rPr>
          <w:i/>
        </w:rPr>
        <w:t>handling december 1997</w:t>
      </w:r>
      <w:r w:rsidRPr="000925A8">
        <w:t>, 1999-03-01</w:t>
      </w:r>
    </w:p>
    <w:p w14:paraId="192E1259" w14:textId="77777777" w:rsidR="00241093" w:rsidRPr="000925A8" w:rsidRDefault="00241093">
      <w:pPr>
        <w:tabs>
          <w:tab w:val="left" w:pos="540"/>
        </w:tabs>
        <w:spacing w:before="0" w:after="200"/>
      </w:pPr>
      <w:r w:rsidRPr="000925A8">
        <w:t xml:space="preserve">Miljö- och naturresursdepartementet, </w:t>
      </w:r>
      <w:r w:rsidRPr="000925A8">
        <w:rPr>
          <w:i/>
        </w:rPr>
        <w:t>regeringsbeslut 12</w:t>
      </w:r>
      <w:r w:rsidRPr="000925A8">
        <w:t>, 1994-11-24</w:t>
      </w:r>
    </w:p>
    <w:p w14:paraId="178297EE" w14:textId="77777777" w:rsidR="00241093" w:rsidRPr="000925A8" w:rsidRDefault="00241093">
      <w:pPr>
        <w:tabs>
          <w:tab w:val="left" w:pos="540"/>
        </w:tabs>
        <w:spacing w:before="0" w:after="200"/>
      </w:pPr>
      <w:r w:rsidRPr="000925A8">
        <w:t>Miljø- og Energiministeriet i Danmark, Miljöministeriet i Finland, Miljøm</w:t>
      </w:r>
      <w:r w:rsidRPr="000925A8">
        <w:t>i</w:t>
      </w:r>
      <w:r w:rsidRPr="000925A8">
        <w:t xml:space="preserve">nisteriet i Norge, Miljödepartementet i Sverige, </w:t>
      </w:r>
      <w:r w:rsidRPr="000925A8">
        <w:rPr>
          <w:i/>
        </w:rPr>
        <w:t>Planlægning for detailhandel i Norden</w:t>
      </w:r>
      <w:r w:rsidRPr="000925A8">
        <w:t>, 2000</w:t>
      </w:r>
    </w:p>
    <w:p w14:paraId="080B56C3" w14:textId="77777777" w:rsidR="00241093" w:rsidRPr="000925A8" w:rsidRDefault="00241093">
      <w:pPr>
        <w:tabs>
          <w:tab w:val="left" w:pos="540"/>
        </w:tabs>
        <w:spacing w:before="0" w:after="200"/>
      </w:pPr>
      <w:r w:rsidRPr="000925A8">
        <w:t>Miljöbalk (1998:808)</w:t>
      </w:r>
    </w:p>
    <w:p w14:paraId="360C2D63" w14:textId="77777777" w:rsidR="00241093" w:rsidRPr="000925A8" w:rsidRDefault="00241093">
      <w:pPr>
        <w:tabs>
          <w:tab w:val="left" w:pos="540"/>
        </w:tabs>
        <w:spacing w:before="0" w:after="200"/>
      </w:pPr>
      <w:r w:rsidRPr="000925A8">
        <w:t xml:space="preserve">Miljödepartementet, </w:t>
      </w:r>
      <w:r w:rsidRPr="000925A8">
        <w:rPr>
          <w:i/>
        </w:rPr>
        <w:t>regeringsbeslut 13</w:t>
      </w:r>
      <w:r w:rsidRPr="000925A8">
        <w:t>, 1999-11-18</w:t>
      </w:r>
    </w:p>
    <w:p w14:paraId="0C3611CC" w14:textId="77777777" w:rsidR="00241093" w:rsidRPr="000925A8" w:rsidRDefault="00241093">
      <w:pPr>
        <w:tabs>
          <w:tab w:val="left" w:pos="540"/>
        </w:tabs>
        <w:spacing w:before="0" w:after="200"/>
      </w:pPr>
      <w:r w:rsidRPr="000925A8">
        <w:t xml:space="preserve">Miljödepartementet, </w:t>
      </w:r>
      <w:r w:rsidRPr="000925A8">
        <w:rPr>
          <w:i/>
        </w:rPr>
        <w:t>regeringsbeslut 39</w:t>
      </w:r>
      <w:r w:rsidRPr="000925A8">
        <w:t>, 2000-03-09</w:t>
      </w:r>
    </w:p>
    <w:p w14:paraId="115588FE" w14:textId="77777777" w:rsidR="00241093" w:rsidRPr="000925A8" w:rsidRDefault="00241093">
      <w:pPr>
        <w:tabs>
          <w:tab w:val="left" w:pos="540"/>
        </w:tabs>
        <w:spacing w:before="0" w:after="200"/>
      </w:pPr>
      <w:r w:rsidRPr="000925A8">
        <w:t>Motion 2000/01:Bo515 (s)</w:t>
      </w:r>
    </w:p>
    <w:p w14:paraId="19752F80" w14:textId="77777777" w:rsidR="00241093" w:rsidRPr="000925A8" w:rsidRDefault="00241093">
      <w:pPr>
        <w:tabs>
          <w:tab w:val="left" w:pos="540"/>
        </w:tabs>
        <w:spacing w:before="0" w:after="200"/>
      </w:pPr>
      <w:r w:rsidRPr="000925A8">
        <w:t>Motion 2000/01:Bo529 (mp)</w:t>
      </w:r>
    </w:p>
    <w:p w14:paraId="3FABEFF5" w14:textId="77777777" w:rsidR="00241093" w:rsidRPr="000925A8" w:rsidRDefault="00241093">
      <w:pPr>
        <w:tabs>
          <w:tab w:val="left" w:pos="540"/>
        </w:tabs>
        <w:spacing w:before="0" w:after="200"/>
      </w:pPr>
      <w:r w:rsidRPr="000925A8">
        <w:t>Plan- och bygglag (1987:10)</w:t>
      </w:r>
    </w:p>
    <w:p w14:paraId="42215528" w14:textId="77777777" w:rsidR="00241093" w:rsidRPr="000925A8" w:rsidRDefault="00241093">
      <w:pPr>
        <w:tabs>
          <w:tab w:val="left" w:pos="540"/>
        </w:tabs>
        <w:spacing w:before="0" w:after="200"/>
      </w:pPr>
      <w:r w:rsidRPr="000925A8">
        <w:t>Regeringens proposition 1985/86:1</w:t>
      </w:r>
    </w:p>
    <w:p w14:paraId="13CCC07E" w14:textId="77777777" w:rsidR="00241093" w:rsidRPr="000925A8" w:rsidRDefault="00241093">
      <w:pPr>
        <w:tabs>
          <w:tab w:val="left" w:pos="540"/>
        </w:tabs>
        <w:spacing w:before="0" w:after="200"/>
      </w:pPr>
      <w:r w:rsidRPr="000925A8">
        <w:t>Regeringens proposition 1994/95:230</w:t>
      </w:r>
    </w:p>
    <w:p w14:paraId="310156E6" w14:textId="77777777" w:rsidR="00241093" w:rsidRPr="000925A8" w:rsidRDefault="00241093">
      <w:pPr>
        <w:tabs>
          <w:tab w:val="left" w:pos="540"/>
        </w:tabs>
        <w:spacing w:before="0" w:after="200"/>
      </w:pPr>
      <w:r w:rsidRPr="000925A8">
        <w:t>Regeringens proposition 1996/97:36</w:t>
      </w:r>
    </w:p>
    <w:p w14:paraId="1B6F8714" w14:textId="77777777" w:rsidR="00241093" w:rsidRPr="000925A8" w:rsidRDefault="00241093">
      <w:pPr>
        <w:tabs>
          <w:tab w:val="left" w:pos="540"/>
        </w:tabs>
        <w:spacing w:before="0" w:after="200"/>
      </w:pPr>
      <w:r w:rsidRPr="000925A8">
        <w:t>Regeringens proposition 1997/98:165</w:t>
      </w:r>
    </w:p>
    <w:p w14:paraId="209DD5B8" w14:textId="77777777" w:rsidR="00241093" w:rsidRPr="000925A8" w:rsidRDefault="00241093">
      <w:pPr>
        <w:tabs>
          <w:tab w:val="left" w:pos="540"/>
        </w:tabs>
        <w:spacing w:before="0" w:after="200"/>
      </w:pPr>
      <w:r w:rsidRPr="000925A8">
        <w:t>Regeringens proposition 1997/98:56</w:t>
      </w:r>
    </w:p>
    <w:p w14:paraId="621CCA4F" w14:textId="77777777" w:rsidR="00241093" w:rsidRPr="000925A8" w:rsidRDefault="00241093">
      <w:pPr>
        <w:tabs>
          <w:tab w:val="left" w:pos="540"/>
        </w:tabs>
        <w:spacing w:before="0" w:after="200"/>
      </w:pPr>
      <w:r w:rsidRPr="000925A8">
        <w:t>Regeringens proposition 2000/01:130</w:t>
      </w:r>
    </w:p>
    <w:p w14:paraId="058A2A12" w14:textId="77777777" w:rsidR="00241093" w:rsidRPr="000925A8" w:rsidRDefault="00241093">
      <w:pPr>
        <w:tabs>
          <w:tab w:val="left" w:pos="540"/>
        </w:tabs>
        <w:spacing w:before="0" w:after="200"/>
      </w:pPr>
      <w:r w:rsidRPr="000925A8">
        <w:t>Regeringens proposition 2001/02:20</w:t>
      </w:r>
    </w:p>
    <w:p w14:paraId="207CA133" w14:textId="77777777" w:rsidR="00241093" w:rsidRPr="000925A8" w:rsidRDefault="00241093">
      <w:pPr>
        <w:tabs>
          <w:tab w:val="left" w:pos="540"/>
        </w:tabs>
        <w:spacing w:before="0" w:after="200"/>
      </w:pPr>
      <w:r w:rsidRPr="000925A8">
        <w:t>Regeringens proposition 2001/02:4</w:t>
      </w:r>
    </w:p>
    <w:p w14:paraId="6840DEE4" w14:textId="77777777" w:rsidR="00241093" w:rsidRPr="000925A8" w:rsidRDefault="00241093">
      <w:pPr>
        <w:tabs>
          <w:tab w:val="left" w:pos="540"/>
        </w:tabs>
        <w:spacing w:after="200"/>
      </w:pPr>
      <w:r w:rsidRPr="000925A8">
        <w:t>Regeringens proposition 2001/02:55</w:t>
      </w:r>
    </w:p>
    <w:p w14:paraId="1BB3C7F7" w14:textId="77777777" w:rsidR="00241093" w:rsidRPr="000925A8" w:rsidRDefault="00241093">
      <w:pPr>
        <w:tabs>
          <w:tab w:val="left" w:pos="540"/>
        </w:tabs>
        <w:spacing w:after="200"/>
      </w:pPr>
      <w:r w:rsidRPr="000925A8">
        <w:t>Regeringens proposition 2001/02:7</w:t>
      </w:r>
    </w:p>
    <w:p w14:paraId="5B0B213A" w14:textId="77777777" w:rsidR="00241093" w:rsidRPr="000925A8" w:rsidRDefault="00241093">
      <w:pPr>
        <w:tabs>
          <w:tab w:val="left" w:pos="540"/>
        </w:tabs>
        <w:spacing w:after="200"/>
      </w:pPr>
      <w:r w:rsidRPr="000925A8">
        <w:t>Regeringsbeslut 5, 2001-01-18</w:t>
      </w:r>
    </w:p>
    <w:p w14:paraId="55068762" w14:textId="77777777" w:rsidR="00241093" w:rsidRPr="000925A8" w:rsidRDefault="00241093">
      <w:pPr>
        <w:tabs>
          <w:tab w:val="left" w:pos="540"/>
        </w:tabs>
        <w:spacing w:after="200"/>
      </w:pPr>
      <w:r w:rsidRPr="000925A8">
        <w:t xml:space="preserve">Region Skåne, planering och miljö, </w:t>
      </w:r>
      <w:r w:rsidRPr="000925A8">
        <w:rPr>
          <w:i/>
        </w:rPr>
        <w:t>Dialog med de skånska kommunerna kring regionala planerings- och miljöfrågor – sammanställning av kommu</w:t>
      </w:r>
      <w:r w:rsidRPr="000925A8">
        <w:rPr>
          <w:i/>
        </w:rPr>
        <w:t>n</w:t>
      </w:r>
      <w:r w:rsidRPr="000925A8">
        <w:rPr>
          <w:i/>
        </w:rPr>
        <w:t>besöken 1999</w:t>
      </w:r>
      <w:r w:rsidRPr="000925A8">
        <w:t>, 2000-05-09</w:t>
      </w:r>
    </w:p>
    <w:p w14:paraId="7684A838" w14:textId="77777777" w:rsidR="00241093" w:rsidRPr="000925A8" w:rsidRDefault="00241093">
      <w:pPr>
        <w:tabs>
          <w:tab w:val="left" w:pos="540"/>
        </w:tabs>
        <w:spacing w:after="200"/>
      </w:pPr>
      <w:r w:rsidRPr="000925A8">
        <w:t>Riksdagens revisorer, rapport 2000/01:14</w:t>
      </w:r>
    </w:p>
    <w:p w14:paraId="5A366294" w14:textId="77777777" w:rsidR="00241093" w:rsidRPr="000925A8" w:rsidRDefault="00241093">
      <w:pPr>
        <w:tabs>
          <w:tab w:val="left" w:pos="540"/>
        </w:tabs>
        <w:spacing w:after="200"/>
      </w:pPr>
      <w:r w:rsidRPr="000925A8">
        <w:t>Riksdagens revisorers förslag 2001/02:RR8</w:t>
      </w:r>
    </w:p>
    <w:p w14:paraId="7370B9E1" w14:textId="77777777" w:rsidR="00241093" w:rsidRPr="000925A8" w:rsidRDefault="00241093">
      <w:pPr>
        <w:tabs>
          <w:tab w:val="left" w:pos="540"/>
        </w:tabs>
        <w:spacing w:after="200"/>
      </w:pPr>
      <w:r w:rsidRPr="000925A8">
        <w:t xml:space="preserve">Riksrevisionsverket, </w:t>
      </w:r>
      <w:r w:rsidRPr="000925A8">
        <w:rPr>
          <w:i/>
        </w:rPr>
        <w:t>Staten och den fysiska planeringen</w:t>
      </w:r>
      <w:r w:rsidRPr="000925A8">
        <w:t>, Rapport Fi 1992:32.</w:t>
      </w:r>
    </w:p>
    <w:p w14:paraId="4697DF14" w14:textId="77777777" w:rsidR="00241093" w:rsidRPr="000925A8" w:rsidRDefault="00241093">
      <w:pPr>
        <w:tabs>
          <w:tab w:val="left" w:pos="540"/>
        </w:tabs>
        <w:spacing w:after="200"/>
      </w:pPr>
      <w:r w:rsidRPr="000925A8">
        <w:t>SOU 1994:36</w:t>
      </w:r>
    </w:p>
    <w:p w14:paraId="4B55E34C" w14:textId="77777777" w:rsidR="00241093" w:rsidRPr="000925A8" w:rsidRDefault="00241093">
      <w:pPr>
        <w:tabs>
          <w:tab w:val="left" w:pos="540"/>
        </w:tabs>
        <w:spacing w:after="200"/>
      </w:pPr>
      <w:r w:rsidRPr="000925A8">
        <w:t>SOU 1994:134</w:t>
      </w:r>
    </w:p>
    <w:p w14:paraId="38FDBD11" w14:textId="77777777" w:rsidR="00241093" w:rsidRPr="000925A8" w:rsidRDefault="00241093">
      <w:pPr>
        <w:tabs>
          <w:tab w:val="left" w:pos="540"/>
        </w:tabs>
        <w:spacing w:after="200"/>
      </w:pPr>
      <w:r w:rsidRPr="000925A8">
        <w:t>SOU 1995:27</w:t>
      </w:r>
    </w:p>
    <w:p w14:paraId="794B0293" w14:textId="77777777" w:rsidR="00241093" w:rsidRPr="000925A8" w:rsidRDefault="00241093">
      <w:pPr>
        <w:tabs>
          <w:tab w:val="left" w:pos="540"/>
        </w:tabs>
        <w:spacing w:after="200"/>
      </w:pPr>
      <w:r w:rsidRPr="000925A8">
        <w:t>SOU 2000:23</w:t>
      </w:r>
    </w:p>
    <w:p w14:paraId="4DAEB398" w14:textId="77777777" w:rsidR="00241093" w:rsidRPr="000925A8" w:rsidRDefault="00241093">
      <w:pPr>
        <w:tabs>
          <w:tab w:val="left" w:pos="540"/>
        </w:tabs>
        <w:spacing w:after="200"/>
      </w:pPr>
      <w:r w:rsidRPr="000925A8">
        <w:t>SOU 2000:85</w:t>
      </w:r>
    </w:p>
    <w:p w14:paraId="422CA12A" w14:textId="77777777" w:rsidR="00241093" w:rsidRPr="000925A8" w:rsidRDefault="00241093">
      <w:pPr>
        <w:tabs>
          <w:tab w:val="left" w:pos="540"/>
        </w:tabs>
        <w:spacing w:after="200"/>
      </w:pPr>
      <w:r w:rsidRPr="000925A8">
        <w:t xml:space="preserve">Stockholms regionplane- och trafikkontor, </w:t>
      </w:r>
      <w:r w:rsidRPr="000925A8">
        <w:rPr>
          <w:i/>
        </w:rPr>
        <w:t>Planera med miljömål! – Fallst</w:t>
      </w:r>
      <w:r w:rsidRPr="000925A8">
        <w:rPr>
          <w:i/>
        </w:rPr>
        <w:t>u</w:t>
      </w:r>
      <w:r w:rsidRPr="000925A8">
        <w:rPr>
          <w:i/>
        </w:rPr>
        <w:t>die Stockholm</w:t>
      </w:r>
      <w:r w:rsidRPr="000925A8">
        <w:rPr>
          <w:i/>
        </w:rPr>
        <w:t>s</w:t>
      </w:r>
      <w:r w:rsidRPr="000925A8">
        <w:rPr>
          <w:i/>
        </w:rPr>
        <w:t>regionen. Miljöbedömning av regionplan 2000</w:t>
      </w:r>
      <w:r w:rsidRPr="000925A8">
        <w:t>, 2000</w:t>
      </w:r>
    </w:p>
    <w:p w14:paraId="452FA505" w14:textId="77777777" w:rsidR="00241093" w:rsidRPr="000925A8" w:rsidRDefault="00241093">
      <w:pPr>
        <w:tabs>
          <w:tab w:val="left" w:pos="540"/>
        </w:tabs>
        <w:spacing w:after="200"/>
      </w:pPr>
      <w:r w:rsidRPr="000925A8">
        <w:t xml:space="preserve">Svenska Kommunförbundet, </w:t>
      </w:r>
      <w:r w:rsidRPr="000925A8">
        <w:rPr>
          <w:i/>
        </w:rPr>
        <w:t>Planering i tiden – Översiktsplanering i går, i dag och i mo</w:t>
      </w:r>
      <w:r w:rsidRPr="000925A8">
        <w:rPr>
          <w:i/>
        </w:rPr>
        <w:t>r</w:t>
      </w:r>
      <w:r w:rsidRPr="000925A8">
        <w:rPr>
          <w:i/>
        </w:rPr>
        <w:t>gon</w:t>
      </w:r>
      <w:r w:rsidRPr="000925A8">
        <w:t>, broschyr, 2001</w:t>
      </w:r>
    </w:p>
    <w:p w14:paraId="4FDA85B6" w14:textId="77777777" w:rsidR="00241093" w:rsidRPr="000925A8" w:rsidRDefault="00241093">
      <w:pPr>
        <w:tabs>
          <w:tab w:val="left" w:pos="540"/>
        </w:tabs>
        <w:spacing w:after="200"/>
      </w:pPr>
      <w:r w:rsidRPr="000925A8">
        <w:t xml:space="preserve">Svenska Kommunförbundet, </w:t>
      </w:r>
      <w:r w:rsidRPr="000925A8">
        <w:rPr>
          <w:i/>
          <w:snapToGrid w:val="0"/>
          <w:lang w:eastAsia="sv-SE"/>
        </w:rPr>
        <w:t xml:space="preserve">Plan- och byggverksamheten i kommunerna – en </w:t>
      </w:r>
      <w:r w:rsidRPr="000925A8">
        <w:rPr>
          <w:i/>
        </w:rPr>
        <w:t>enkätunde</w:t>
      </w:r>
      <w:r w:rsidRPr="000925A8">
        <w:rPr>
          <w:i/>
        </w:rPr>
        <w:t>r</w:t>
      </w:r>
      <w:r w:rsidRPr="000925A8">
        <w:rPr>
          <w:i/>
        </w:rPr>
        <w:t>sökning 1999</w:t>
      </w:r>
      <w:r w:rsidRPr="000925A8">
        <w:t>, 1999.</w:t>
      </w:r>
    </w:p>
    <w:p w14:paraId="0D48693E" w14:textId="77777777" w:rsidR="00241093" w:rsidRPr="000925A8" w:rsidRDefault="00241093">
      <w:pPr>
        <w:tabs>
          <w:tab w:val="left" w:pos="540"/>
        </w:tabs>
        <w:spacing w:after="200"/>
      </w:pPr>
      <w:r w:rsidRPr="000925A8">
        <w:t xml:space="preserve">Svenska Kommunförbundet, </w:t>
      </w:r>
      <w:r w:rsidRPr="000925A8">
        <w:rPr>
          <w:i/>
        </w:rPr>
        <w:t>yttrande över Riksdagens revisorers rapport Plan- och byg</w:t>
      </w:r>
      <w:r w:rsidRPr="000925A8">
        <w:rPr>
          <w:i/>
        </w:rPr>
        <w:t>g</w:t>
      </w:r>
      <w:r w:rsidRPr="000925A8">
        <w:rPr>
          <w:i/>
        </w:rPr>
        <w:t xml:space="preserve">processens längd, </w:t>
      </w:r>
      <w:r w:rsidRPr="000925A8">
        <w:t>2001-09-07</w:t>
      </w:r>
    </w:p>
    <w:p w14:paraId="2DFA25FF" w14:textId="77777777" w:rsidR="00241093" w:rsidRPr="000925A8" w:rsidRDefault="00241093">
      <w:pPr>
        <w:tabs>
          <w:tab w:val="left" w:pos="540"/>
        </w:tabs>
        <w:spacing w:before="0" w:after="200"/>
      </w:pPr>
      <w:r w:rsidRPr="000925A8">
        <w:t>Trafikutskottets betänkande 2001/02:TU2</w:t>
      </w:r>
    </w:p>
    <w:p w14:paraId="7090837F" w14:textId="77777777" w:rsidR="00241093" w:rsidRPr="000925A8" w:rsidRDefault="00241093">
      <w:pPr>
        <w:pStyle w:val="R4"/>
      </w:pPr>
      <w:r w:rsidRPr="000925A8">
        <w:t>Muntliga källor</w:t>
      </w:r>
    </w:p>
    <w:p w14:paraId="7311937F" w14:textId="77777777" w:rsidR="00241093" w:rsidRPr="000925A8" w:rsidRDefault="00241093">
      <w:r w:rsidRPr="000925A8">
        <w:t>Ancker, Carin, arkitekt, Länsstyrelsen i Stockholms län</w:t>
      </w:r>
    </w:p>
    <w:p w14:paraId="045472CA" w14:textId="77777777" w:rsidR="00241093" w:rsidRPr="000925A8" w:rsidRDefault="00241093">
      <w:r w:rsidRPr="000925A8">
        <w:t>Andersson, Jan, samordningsansvarig, Länsstyrelsen i Uppsala län</w:t>
      </w:r>
    </w:p>
    <w:p w14:paraId="36C46867" w14:textId="77777777" w:rsidR="00241093" w:rsidRPr="000925A8" w:rsidRDefault="00241093">
      <w:r w:rsidRPr="000925A8">
        <w:t>Bylund, Sten-Åke, Svenska Kommunförbundet</w:t>
      </w:r>
    </w:p>
    <w:p w14:paraId="27E61A07" w14:textId="77777777" w:rsidR="00241093" w:rsidRPr="000925A8" w:rsidRDefault="00241093">
      <w:r w:rsidRPr="000925A8">
        <w:t>Bålman, Helen, ESDP-sekretariatet, NUTEK</w:t>
      </w:r>
    </w:p>
    <w:p w14:paraId="41813384" w14:textId="77777777" w:rsidR="00241093" w:rsidRPr="000925A8" w:rsidRDefault="00241093">
      <w:r w:rsidRPr="000925A8">
        <w:t>Eriksson, Bengt, jurist, Boverket</w:t>
      </w:r>
    </w:p>
    <w:p w14:paraId="14A238E8" w14:textId="77777777" w:rsidR="00241093" w:rsidRPr="000925A8" w:rsidRDefault="00241093">
      <w:r w:rsidRPr="000925A8">
        <w:t>Fischer, Ola, samhällsbyggnadsdirektör, Länsstyrelsen i Sk</w:t>
      </w:r>
      <w:r w:rsidRPr="000925A8">
        <w:t>å</w:t>
      </w:r>
      <w:r w:rsidRPr="000925A8">
        <w:t>ne län</w:t>
      </w:r>
    </w:p>
    <w:p w14:paraId="2E6DC99D" w14:textId="77777777" w:rsidR="00241093" w:rsidRPr="000925A8" w:rsidRDefault="00241093">
      <w:r w:rsidRPr="000925A8">
        <w:t>Fladvad, Lars, projektledare, Svenska Kommunförbundet</w:t>
      </w:r>
    </w:p>
    <w:p w14:paraId="44DC61C1" w14:textId="77777777" w:rsidR="00241093" w:rsidRPr="000925A8" w:rsidRDefault="00241093">
      <w:r w:rsidRPr="000925A8">
        <w:t>Mi</w:t>
      </w:r>
      <w:r w:rsidRPr="000925A8">
        <w:t>l</w:t>
      </w:r>
      <w:r w:rsidRPr="000925A8">
        <w:t>jödepartementet</w:t>
      </w:r>
    </w:p>
    <w:p w14:paraId="559EFB29" w14:textId="77777777" w:rsidR="00241093" w:rsidRPr="000925A8" w:rsidRDefault="00241093">
      <w:r w:rsidRPr="000925A8">
        <w:t>Gunnarson, Jan, projektledare, Boverket</w:t>
      </w:r>
    </w:p>
    <w:p w14:paraId="4F1629C3" w14:textId="77777777" w:rsidR="00241093" w:rsidRPr="000925A8" w:rsidRDefault="00241093">
      <w:r w:rsidRPr="000925A8">
        <w:t>Frostenson, Ivar, kansliråd, enheten för hållbart samhällsby</w:t>
      </w:r>
      <w:r w:rsidRPr="000925A8">
        <w:t>g</w:t>
      </w:r>
      <w:r w:rsidRPr="000925A8">
        <w:t xml:space="preserve">gande, </w:t>
      </w:r>
    </w:p>
    <w:p w14:paraId="204CFDD3" w14:textId="77777777" w:rsidR="00241093" w:rsidRPr="000925A8" w:rsidRDefault="00241093">
      <w:r w:rsidRPr="000925A8">
        <w:t>Gyllensvärd, Eva, länsarkitekt, Länsstyrelsen i Stockholms län</w:t>
      </w:r>
    </w:p>
    <w:p w14:paraId="44B25547" w14:textId="77777777" w:rsidR="00241093" w:rsidRPr="000925A8" w:rsidRDefault="00241093">
      <w:r w:rsidRPr="000925A8">
        <w:t>Hallén, Inga, Stadsarkitekt i Ystad kommun (fd länsarkitekt i Skåne län)</w:t>
      </w:r>
    </w:p>
    <w:p w14:paraId="087E6587" w14:textId="77777777" w:rsidR="00241093" w:rsidRPr="000925A8" w:rsidRDefault="00241093">
      <w:r w:rsidRPr="000925A8">
        <w:t>Hammarling, Rolf, chef för plan- och bostadsenheten, Län</w:t>
      </w:r>
      <w:r w:rsidRPr="000925A8">
        <w:t>s</w:t>
      </w:r>
      <w:r w:rsidRPr="000925A8">
        <w:t>styrelsen i</w:t>
      </w:r>
    </w:p>
    <w:p w14:paraId="7409B29F" w14:textId="77777777" w:rsidR="00241093" w:rsidRPr="000925A8" w:rsidRDefault="00241093">
      <w:r w:rsidRPr="000925A8">
        <w:t>Västra Götalands län</w:t>
      </w:r>
    </w:p>
    <w:p w14:paraId="33168203" w14:textId="77777777" w:rsidR="00241093" w:rsidRPr="000925A8" w:rsidRDefault="00241093">
      <w:r w:rsidRPr="000925A8">
        <w:t>Hede, Hans, Region- och trafikplanekontoret, Stockholms läns landsting</w:t>
      </w:r>
    </w:p>
    <w:p w14:paraId="0186777F" w14:textId="77777777" w:rsidR="00241093" w:rsidRPr="000925A8" w:rsidRDefault="00241093">
      <w:r w:rsidRPr="000925A8">
        <w:t>Hellberg, Mats, bitr. länsarkitekt, Länsstyrelsen i Uppsala län</w:t>
      </w:r>
    </w:p>
    <w:p w14:paraId="1EA304C7" w14:textId="77777777" w:rsidR="00241093" w:rsidRPr="000925A8" w:rsidRDefault="00241093">
      <w:r w:rsidRPr="000925A8">
        <w:t>Höög, Terese, samhällsplanerare, Vägverket, Region Stoc</w:t>
      </w:r>
      <w:r w:rsidRPr="000925A8">
        <w:t>k</w:t>
      </w:r>
      <w:r w:rsidRPr="000925A8">
        <w:t>holm</w:t>
      </w:r>
    </w:p>
    <w:p w14:paraId="6EFAFE43" w14:textId="77777777" w:rsidR="00241093" w:rsidRPr="000925A8" w:rsidRDefault="00241093">
      <w:r w:rsidRPr="000925A8">
        <w:t>Linderstad, Hans, översiktsplanechef, Göteborgs stad</w:t>
      </w:r>
    </w:p>
    <w:p w14:paraId="2DF94FFB" w14:textId="77777777" w:rsidR="00241093" w:rsidRPr="000925A8" w:rsidRDefault="00241093">
      <w:r w:rsidRPr="000925A8">
        <w:t>Nissen, Patrik, enhetschef, Länsstyrelsen i Södermanlands län</w:t>
      </w:r>
    </w:p>
    <w:p w14:paraId="507E272D" w14:textId="77777777" w:rsidR="00241093" w:rsidRPr="000925A8" w:rsidRDefault="00241093">
      <w:r w:rsidRPr="000925A8">
        <w:t>Rydbo, Håkan, Göteborgsregionens kommunalförbund</w:t>
      </w:r>
    </w:p>
    <w:p w14:paraId="12B1BEC5" w14:textId="77777777" w:rsidR="00241093" w:rsidRPr="000925A8" w:rsidRDefault="00241093">
      <w:r w:rsidRPr="000925A8">
        <w:t>Sellers, Inger, planhandläggare, Länsstyrelsen i Skåne län</w:t>
      </w:r>
    </w:p>
    <w:p w14:paraId="47F041BD" w14:textId="77777777" w:rsidR="00241093" w:rsidRPr="000925A8" w:rsidRDefault="00241093">
      <w:r w:rsidRPr="000925A8">
        <w:t>Sunesson, Camilla, samhällsplanerare, Vägverket, Region Stockholm</w:t>
      </w:r>
    </w:p>
    <w:p w14:paraId="6716D603" w14:textId="77777777" w:rsidR="00241093" w:rsidRPr="000925A8" w:rsidRDefault="00241093">
      <w:r w:rsidRPr="000925A8">
        <w:t>Svedström, Stellan, jurist, Boverket</w:t>
      </w:r>
    </w:p>
    <w:p w14:paraId="721D0F92" w14:textId="77777777" w:rsidR="00241093" w:rsidRPr="000925A8" w:rsidRDefault="00241093">
      <w:r w:rsidRPr="000925A8">
        <w:t>Svensson, Ann-Marie, länsarkitekt, Länsstyrelsen i Blekinge län</w:t>
      </w:r>
    </w:p>
    <w:p w14:paraId="5FEB561D" w14:textId="77777777" w:rsidR="00241093" w:rsidRPr="000925A8" w:rsidRDefault="00241093">
      <w:r w:rsidRPr="000925A8">
        <w:t>Tusvik, Kjell, arkitekt, Länsstyrelsen i Stockholms län</w:t>
      </w:r>
    </w:p>
    <w:p w14:paraId="62537CF6" w14:textId="77777777" w:rsidR="00241093" w:rsidRPr="000925A8" w:rsidRDefault="00241093">
      <w:r w:rsidRPr="000925A8">
        <w:t>Åkerwall, Kerstin, tf länsarkitekt, Länsstyrelsen i Skåne län</w:t>
      </w:r>
    </w:p>
    <w:p w14:paraId="37EDCED2" w14:textId="77777777" w:rsidR="00241093" w:rsidRPr="000925A8" w:rsidRDefault="00241093">
      <w:r w:rsidRPr="000925A8">
        <w:t>Öhrling, Per, länsarkitekt, Länsstyrelsen i Södermanlands län</w:t>
      </w:r>
    </w:p>
    <w:p w14:paraId="392425E2" w14:textId="77777777" w:rsidR="00241093" w:rsidRPr="000925A8" w:rsidRDefault="00241093">
      <w:r w:rsidRPr="000925A8">
        <w:t>Öjersjö, Sven, länsarkitekt, Länsstyrelsen i Västra Götalands län</w:t>
      </w:r>
    </w:p>
    <w:p w14:paraId="3ACE0F8A" w14:textId="77777777" w:rsidR="00241093" w:rsidRPr="000925A8" w:rsidRDefault="00241093">
      <w:pPr>
        <w:pStyle w:val="R2"/>
        <w:spacing w:before="125"/>
      </w:pPr>
      <w:r w:rsidRPr="000925A8">
        <w:br w:type="page"/>
        <w:t>ENKÄT OM LÄNSSTYRELSENS ARBETE MED MELLANKOMMUNAL SAMORDNING INOM PBL-OMRÅDET</w:t>
      </w:r>
    </w:p>
    <w:p w14:paraId="0E370311" w14:textId="77777777" w:rsidR="00241093" w:rsidRPr="000925A8" w:rsidRDefault="00241093">
      <w:pPr>
        <w:pStyle w:val="R3"/>
        <w:spacing w:before="120"/>
      </w:pPr>
      <w:r w:rsidRPr="000925A8">
        <w:t>Länsstyrelsernas prövning enligt 12 kap. PBL</w:t>
      </w:r>
    </w:p>
    <w:p w14:paraId="6F7D6629" w14:textId="77777777" w:rsidR="00241093" w:rsidRPr="000925A8" w:rsidRDefault="00241093">
      <w:pPr>
        <w:pStyle w:val="Brdtextmedindrag"/>
        <w:spacing w:before="120" w:after="120"/>
        <w:ind w:left="0"/>
        <w:rPr>
          <w:sz w:val="20"/>
        </w:rPr>
      </w:pPr>
      <w:r w:rsidRPr="000925A8">
        <w:rPr>
          <w:b/>
        </w:rPr>
        <w:t>1a)</w:t>
      </w:r>
      <w:r w:rsidRPr="000925A8">
        <w:rPr>
          <w:sz w:val="20"/>
        </w:rPr>
        <w:t xml:space="preserve"> Hur många kommunala beslut om att anta, ändra eller upphäva d</w:t>
      </w:r>
      <w:r w:rsidRPr="000925A8">
        <w:rPr>
          <w:sz w:val="20"/>
        </w:rPr>
        <w:t>e</w:t>
      </w:r>
      <w:r w:rsidRPr="000925A8">
        <w:rPr>
          <w:sz w:val="20"/>
        </w:rPr>
        <w:t>taljplaner eller områdesbestämmelser har länsstyrelsen prövat enligt 12 kap. 1 § PBL under perioden 1998–2001?</w:t>
      </w:r>
    </w:p>
    <w:p w14:paraId="38C51B92" w14:textId="77777777" w:rsidR="00241093" w:rsidRPr="000925A8" w:rsidRDefault="00241093">
      <w:pPr>
        <w:pStyle w:val="Brdtextmedindrag"/>
        <w:spacing w:before="120" w:after="120"/>
        <w:ind w:left="0"/>
        <w:rPr>
          <w:sz w:val="20"/>
        </w:rPr>
      </w:pPr>
      <w:r w:rsidRPr="000925A8">
        <w:rPr>
          <w:sz w:val="20"/>
        </w:rPr>
        <w:t>Cirka ____________beslut</w:t>
      </w:r>
      <w:r w:rsidRPr="000925A8">
        <w:rPr>
          <w:sz w:val="20"/>
        </w:rPr>
        <w:tab/>
        <w:t xml:space="preserve"> </w:t>
      </w:r>
      <w:r w:rsidRPr="000925A8">
        <w:rPr>
          <w:b/>
          <w:sz w:val="20"/>
        </w:rPr>
        <w:t xml:space="preserve">Om noll beslut </w:t>
      </w:r>
      <w:r w:rsidRPr="000925A8">
        <w:rPr>
          <w:b/>
          <w:sz w:val="20"/>
        </w:rPr>
        <w:sym w:font="Symbol" w:char="F0DE"/>
      </w:r>
      <w:r w:rsidRPr="000925A8">
        <w:rPr>
          <w:b/>
          <w:sz w:val="20"/>
        </w:rPr>
        <w:t xml:space="preserve"> Gå till fråga 7</w:t>
      </w:r>
    </w:p>
    <w:p w14:paraId="7CBF806F" w14:textId="77777777" w:rsidR="00241093" w:rsidRPr="000925A8" w:rsidRDefault="00241093">
      <w:pPr>
        <w:pStyle w:val="Brdtextmedindrag"/>
        <w:tabs>
          <w:tab w:val="left" w:pos="360"/>
        </w:tabs>
        <w:spacing w:before="120" w:after="120"/>
        <w:ind w:left="0"/>
        <w:rPr>
          <w:sz w:val="20"/>
        </w:rPr>
      </w:pPr>
      <w:r w:rsidRPr="000925A8">
        <w:rPr>
          <w:sz w:val="20"/>
        </w:rPr>
        <w:t>b) Ungefär hur stor andel av samtliga kommunala beslut om detaljplaner eller områdesbestämmelser som har inkommit till länsstyrelsen under den aktuella perioden (1998–2001) motsvarar detta?</w:t>
      </w:r>
    </w:p>
    <w:p w14:paraId="59AF1EB4" w14:textId="77777777" w:rsidR="00241093" w:rsidRPr="000925A8" w:rsidRDefault="00241093">
      <w:pPr>
        <w:pStyle w:val="Brdtextmedindrag"/>
        <w:spacing w:before="120" w:after="120"/>
        <w:ind w:left="0"/>
        <w:rPr>
          <w:sz w:val="20"/>
        </w:rPr>
      </w:pPr>
      <w:r w:rsidRPr="000925A8">
        <w:rPr>
          <w:sz w:val="20"/>
        </w:rPr>
        <w:t>Cirka____________ %</w:t>
      </w:r>
    </w:p>
    <w:p w14:paraId="2E39CD50" w14:textId="77777777" w:rsidR="00241093" w:rsidRPr="000925A8" w:rsidRDefault="00241093">
      <w:pPr>
        <w:pStyle w:val="Brdtextmedindrag"/>
        <w:spacing w:before="120" w:after="120"/>
        <w:ind w:left="0"/>
        <w:rPr>
          <w:sz w:val="20"/>
        </w:rPr>
      </w:pPr>
      <w:r w:rsidRPr="000925A8">
        <w:rPr>
          <w:b/>
        </w:rPr>
        <w:t>2</w:t>
      </w:r>
      <w:r w:rsidRPr="000925A8">
        <w:t xml:space="preserve"> </w:t>
      </w:r>
      <w:r w:rsidRPr="000925A8">
        <w:rPr>
          <w:sz w:val="20"/>
        </w:rPr>
        <w:t>Vid hur många av prövningarna enligt fråga 1a under perioden 1998–2001 har prövning</w:t>
      </w:r>
      <w:r w:rsidRPr="000925A8">
        <w:rPr>
          <w:sz w:val="20"/>
        </w:rPr>
        <w:t>s</w:t>
      </w:r>
      <w:r w:rsidRPr="000925A8">
        <w:rPr>
          <w:sz w:val="20"/>
        </w:rPr>
        <w:t xml:space="preserve">grunden... </w:t>
      </w:r>
    </w:p>
    <w:p w14:paraId="7A863B71" w14:textId="77777777" w:rsidR="00241093" w:rsidRPr="000925A8" w:rsidRDefault="00241093">
      <w:pPr>
        <w:pStyle w:val="Brdtextmedindrag"/>
        <w:spacing w:before="120" w:after="120"/>
        <w:ind w:left="0"/>
        <w:rPr>
          <w:sz w:val="20"/>
        </w:rPr>
      </w:pPr>
      <w:r w:rsidRPr="000925A8">
        <w:rPr>
          <w:i/>
          <w:sz w:val="20"/>
        </w:rPr>
        <w:t>a) ...helt eller delvis</w:t>
      </w:r>
      <w:r w:rsidRPr="000925A8">
        <w:rPr>
          <w:sz w:val="20"/>
        </w:rPr>
        <w:t xml:space="preserve"> varit att den kommunala samordningen inte har varit lämplig (12 kap. 1 § 2 p)? </w:t>
      </w:r>
    </w:p>
    <w:p w14:paraId="0AA365E6" w14:textId="77777777" w:rsidR="00241093" w:rsidRPr="000925A8" w:rsidRDefault="00241093">
      <w:pPr>
        <w:pStyle w:val="Brdtextmedindrag"/>
        <w:spacing w:before="120" w:after="120"/>
        <w:ind w:left="0"/>
        <w:rPr>
          <w:sz w:val="20"/>
        </w:rPr>
      </w:pPr>
      <w:r w:rsidRPr="000925A8">
        <w:rPr>
          <w:sz w:val="20"/>
        </w:rPr>
        <w:t>Vid ca _______tillfällen</w:t>
      </w:r>
      <w:r w:rsidRPr="000925A8">
        <w:rPr>
          <w:sz w:val="20"/>
        </w:rPr>
        <w:tab/>
      </w:r>
      <w:r w:rsidRPr="000925A8">
        <w:rPr>
          <w:b/>
          <w:sz w:val="20"/>
        </w:rPr>
        <w:t xml:space="preserve">Om noll tillfällen </w:t>
      </w:r>
      <w:r w:rsidRPr="000925A8">
        <w:rPr>
          <w:b/>
          <w:sz w:val="20"/>
        </w:rPr>
        <w:sym w:font="Symbol" w:char="F0DE"/>
      </w:r>
      <w:r w:rsidRPr="000925A8">
        <w:rPr>
          <w:b/>
          <w:sz w:val="20"/>
        </w:rPr>
        <w:t xml:space="preserve"> Gå till fråga 7</w:t>
      </w:r>
    </w:p>
    <w:p w14:paraId="3988E82B" w14:textId="77777777" w:rsidR="00241093" w:rsidRPr="000925A8" w:rsidRDefault="00241093">
      <w:pPr>
        <w:pStyle w:val="Brdtextmedindrag"/>
        <w:spacing w:before="120" w:after="120"/>
        <w:ind w:left="0"/>
        <w:rPr>
          <w:sz w:val="20"/>
        </w:rPr>
      </w:pPr>
      <w:r w:rsidRPr="000925A8">
        <w:rPr>
          <w:i/>
          <w:sz w:val="20"/>
        </w:rPr>
        <w:t>b)</w:t>
      </w:r>
      <w:r w:rsidRPr="000925A8">
        <w:rPr>
          <w:sz w:val="20"/>
        </w:rPr>
        <w:t xml:space="preserve"> ...</w:t>
      </w:r>
      <w:r w:rsidRPr="000925A8">
        <w:rPr>
          <w:i/>
          <w:sz w:val="20"/>
        </w:rPr>
        <w:t>endast</w:t>
      </w:r>
      <w:r w:rsidRPr="000925A8">
        <w:rPr>
          <w:sz w:val="20"/>
        </w:rPr>
        <w:t xml:space="preserve"> varit att den kommunala samordningen inte har varit lämplig (12 kap. 1 § 2 p)? </w:t>
      </w:r>
    </w:p>
    <w:p w14:paraId="543F9BA0" w14:textId="77777777" w:rsidR="00241093" w:rsidRPr="000925A8" w:rsidRDefault="00241093">
      <w:pPr>
        <w:pStyle w:val="Brdtextmedindrag"/>
        <w:spacing w:before="120" w:after="120"/>
        <w:ind w:left="0"/>
        <w:rPr>
          <w:sz w:val="20"/>
        </w:rPr>
      </w:pPr>
      <w:r w:rsidRPr="000925A8">
        <w:rPr>
          <w:sz w:val="20"/>
        </w:rPr>
        <w:t>Vid ca ______tillfällen</w:t>
      </w:r>
      <w:r w:rsidRPr="000925A8">
        <w:rPr>
          <w:b/>
        </w:rPr>
        <w:t xml:space="preserve"> </w:t>
      </w:r>
      <w:r w:rsidRPr="000925A8">
        <w:rPr>
          <w:b/>
        </w:rPr>
        <w:tab/>
      </w:r>
      <w:r w:rsidRPr="000925A8">
        <w:rPr>
          <w:b/>
        </w:rPr>
        <w:tab/>
      </w:r>
    </w:p>
    <w:p w14:paraId="27423972" w14:textId="77777777" w:rsidR="00241093" w:rsidRPr="000925A8" w:rsidRDefault="00241093">
      <w:pPr>
        <w:pStyle w:val="Brdtextmedindrag"/>
        <w:spacing w:before="120" w:after="120"/>
        <w:ind w:left="0"/>
        <w:rPr>
          <w:sz w:val="20"/>
        </w:rPr>
      </w:pPr>
      <w:r w:rsidRPr="000925A8">
        <w:rPr>
          <w:b/>
        </w:rPr>
        <w:t>3</w:t>
      </w:r>
      <w:r w:rsidRPr="000925A8">
        <w:rPr>
          <w:sz w:val="20"/>
        </w:rPr>
        <w:t xml:space="preserve"> Vilka frågor har behandlats i de planer/områdesbestämmelser som u</w:t>
      </w:r>
      <w:r w:rsidRPr="000925A8">
        <w:rPr>
          <w:sz w:val="20"/>
        </w:rPr>
        <w:t>n</w:t>
      </w:r>
      <w:r w:rsidRPr="000925A8">
        <w:rPr>
          <w:sz w:val="20"/>
        </w:rPr>
        <w:t>der perioden 1998–2001 har prövats helt eller delvis med motiveringen att den kommunala samordningen inte har varit lämplig (12 kap. 1 § 2 p PBL)? Ange typ av fråga (exv. vägar, bostäder, naturvård, vattenskydd, handelsetableringar) och andelar av det totala antalet beslut som har pr</w:t>
      </w:r>
      <w:r w:rsidRPr="000925A8">
        <w:rPr>
          <w:sz w:val="20"/>
        </w:rPr>
        <w:t>ö</w:t>
      </w:r>
      <w:r w:rsidRPr="000925A8">
        <w:rPr>
          <w:sz w:val="20"/>
        </w:rPr>
        <w:t>vats enligt denna prövningsgrund. Andelarna summeras till ett hundra procent.</w:t>
      </w:r>
    </w:p>
    <w:p w14:paraId="32A2889B" w14:textId="77777777" w:rsidR="00241093" w:rsidRPr="000925A8" w:rsidRDefault="00241093">
      <w:pPr>
        <w:pStyle w:val="Brdtextmedindrag"/>
        <w:tabs>
          <w:tab w:val="left" w:pos="5040"/>
          <w:tab w:val="right" w:pos="8280"/>
        </w:tabs>
        <w:spacing w:before="60" w:after="120"/>
        <w:ind w:left="0"/>
        <w:rPr>
          <w:sz w:val="20"/>
        </w:rPr>
      </w:pPr>
      <w:r w:rsidRPr="000925A8">
        <w:rPr>
          <w:sz w:val="20"/>
        </w:rPr>
        <w:t>_________________________________________Cirka__________ %</w:t>
      </w:r>
    </w:p>
    <w:p w14:paraId="205F7302" w14:textId="77777777" w:rsidR="00241093" w:rsidRPr="000925A8" w:rsidRDefault="00241093">
      <w:pPr>
        <w:pStyle w:val="Brdtextmedindrag"/>
        <w:tabs>
          <w:tab w:val="left" w:pos="5040"/>
          <w:tab w:val="right" w:pos="8280"/>
        </w:tabs>
        <w:spacing w:before="120" w:after="120"/>
        <w:ind w:left="0"/>
        <w:rPr>
          <w:sz w:val="20"/>
        </w:rPr>
      </w:pPr>
      <w:r w:rsidRPr="000925A8">
        <w:rPr>
          <w:sz w:val="20"/>
        </w:rPr>
        <w:t>_________________________________________Cirka __________%</w:t>
      </w:r>
    </w:p>
    <w:p w14:paraId="08CBDF42" w14:textId="77777777" w:rsidR="00241093" w:rsidRPr="000925A8" w:rsidRDefault="00241093">
      <w:pPr>
        <w:pStyle w:val="Brdtextmedindrag"/>
        <w:tabs>
          <w:tab w:val="left" w:pos="5040"/>
          <w:tab w:val="right" w:pos="8280"/>
        </w:tabs>
        <w:spacing w:before="120" w:after="120"/>
        <w:ind w:left="0"/>
        <w:rPr>
          <w:sz w:val="20"/>
        </w:rPr>
      </w:pPr>
      <w:r w:rsidRPr="000925A8">
        <w:rPr>
          <w:sz w:val="20"/>
        </w:rPr>
        <w:t>_________________________________________Cirka __________%</w:t>
      </w:r>
    </w:p>
    <w:p w14:paraId="10409E0D" w14:textId="77777777" w:rsidR="00241093" w:rsidRPr="000925A8" w:rsidRDefault="00241093">
      <w:pPr>
        <w:pStyle w:val="Brdtextmedindrag"/>
        <w:tabs>
          <w:tab w:val="left" w:pos="5040"/>
          <w:tab w:val="right" w:pos="8280"/>
        </w:tabs>
        <w:spacing w:before="120" w:after="120"/>
        <w:ind w:left="0"/>
        <w:rPr>
          <w:sz w:val="20"/>
        </w:rPr>
      </w:pPr>
      <w:r w:rsidRPr="000925A8">
        <w:rPr>
          <w:sz w:val="20"/>
        </w:rPr>
        <w:t xml:space="preserve">                                                                                 SUMMA         100 %</w:t>
      </w:r>
    </w:p>
    <w:p w14:paraId="19FC1F9C" w14:textId="77777777" w:rsidR="00241093" w:rsidRPr="000925A8" w:rsidRDefault="00241093">
      <w:pPr>
        <w:pStyle w:val="Brdtextmedindrag"/>
        <w:spacing w:before="120" w:after="120"/>
        <w:ind w:left="0"/>
        <w:rPr>
          <w:sz w:val="20"/>
        </w:rPr>
      </w:pPr>
      <w:r w:rsidRPr="000925A8">
        <w:rPr>
          <w:b/>
        </w:rPr>
        <w:br w:type="page"/>
        <w:t>4a)</w:t>
      </w:r>
      <w:r w:rsidRPr="000925A8">
        <w:rPr>
          <w:sz w:val="20"/>
        </w:rPr>
        <w:t xml:space="preserve"> Vid hur många tillfällen under perioden 1998–2001 har prövningen resulterat i att länsstyrelsen enligt 12 kap. 3 § PBL helt eller delvis har upphävt planen eller områdesbestämmelserna med motivet att den ko</w:t>
      </w:r>
      <w:r w:rsidRPr="000925A8">
        <w:rPr>
          <w:sz w:val="20"/>
        </w:rPr>
        <w:t>m</w:t>
      </w:r>
      <w:r w:rsidRPr="000925A8">
        <w:rPr>
          <w:sz w:val="20"/>
        </w:rPr>
        <w:t>munala samordningen enligt 12 kap. 1 § 2 p PBL inte har varit lämplig?</w:t>
      </w:r>
    </w:p>
    <w:p w14:paraId="785550B3" w14:textId="77777777" w:rsidR="00241093" w:rsidRPr="000925A8" w:rsidRDefault="00241093">
      <w:pPr>
        <w:pStyle w:val="Brdtextmedindrag"/>
        <w:spacing w:before="120" w:after="120"/>
        <w:ind w:left="0"/>
        <w:rPr>
          <w:sz w:val="20"/>
        </w:rPr>
      </w:pPr>
      <w:r w:rsidRPr="000925A8">
        <w:rPr>
          <w:sz w:val="20"/>
        </w:rPr>
        <w:t xml:space="preserve">Vid _______________tillfällen    </w:t>
      </w:r>
      <w:r w:rsidRPr="000925A8">
        <w:rPr>
          <w:b/>
          <w:sz w:val="20"/>
        </w:rPr>
        <w:t xml:space="preserve">Om noll tillfällen </w:t>
      </w:r>
      <w:r w:rsidRPr="000925A8">
        <w:rPr>
          <w:b/>
          <w:sz w:val="20"/>
        </w:rPr>
        <w:sym w:font="Symbol" w:char="F0DE"/>
      </w:r>
      <w:r w:rsidRPr="000925A8">
        <w:rPr>
          <w:b/>
          <w:sz w:val="20"/>
        </w:rPr>
        <w:t xml:space="preserve"> Gå till fråga 7</w:t>
      </w:r>
    </w:p>
    <w:p w14:paraId="7C05E998" w14:textId="77777777" w:rsidR="00241093" w:rsidRPr="000925A8" w:rsidRDefault="00241093">
      <w:pPr>
        <w:pStyle w:val="Brdtextmedindrag"/>
        <w:spacing w:before="120" w:after="120"/>
        <w:ind w:left="0"/>
        <w:rPr>
          <w:sz w:val="20"/>
        </w:rPr>
      </w:pPr>
      <w:r w:rsidRPr="000925A8">
        <w:rPr>
          <w:sz w:val="20"/>
        </w:rPr>
        <w:t>b) Vilken typ av frågor har detta avsett (exv. vägar, bostäder, naturvård, vattenskydd, handel</w:t>
      </w:r>
      <w:r w:rsidRPr="000925A8">
        <w:rPr>
          <w:sz w:val="20"/>
        </w:rPr>
        <w:t>s</w:t>
      </w:r>
      <w:r w:rsidRPr="000925A8">
        <w:rPr>
          <w:sz w:val="20"/>
        </w:rPr>
        <w:t>etableringar etc.)?</w:t>
      </w:r>
    </w:p>
    <w:p w14:paraId="09DF751E" w14:textId="77777777" w:rsidR="00241093" w:rsidRPr="000925A8" w:rsidRDefault="00241093">
      <w:pPr>
        <w:pStyle w:val="Brdtextmedindrag"/>
        <w:spacing w:before="120" w:after="120"/>
        <w:ind w:left="0"/>
        <w:rPr>
          <w:sz w:val="20"/>
        </w:rPr>
      </w:pPr>
      <w:r w:rsidRPr="000925A8">
        <w:rPr>
          <w:b/>
        </w:rPr>
        <w:t>5a)</w:t>
      </w:r>
      <w:r w:rsidRPr="000925A8">
        <w:rPr>
          <w:sz w:val="20"/>
        </w:rPr>
        <w:t xml:space="preserve"> Vid hur många tillfällen under perioden 1998–2001 har länsstyre</w:t>
      </w:r>
      <w:r w:rsidRPr="000925A8">
        <w:rPr>
          <w:sz w:val="20"/>
        </w:rPr>
        <w:t>l</w:t>
      </w:r>
      <w:r w:rsidRPr="000925A8">
        <w:rPr>
          <w:sz w:val="20"/>
        </w:rPr>
        <w:t>sens beslut om upphäva</w:t>
      </w:r>
      <w:r w:rsidRPr="000925A8">
        <w:rPr>
          <w:sz w:val="20"/>
        </w:rPr>
        <w:t>n</w:t>
      </w:r>
      <w:r w:rsidRPr="000925A8">
        <w:rPr>
          <w:sz w:val="20"/>
        </w:rPr>
        <w:t xml:space="preserve">de enligt fråga 4a överklagats till regeringen? </w:t>
      </w:r>
    </w:p>
    <w:p w14:paraId="5C9CADFA" w14:textId="77777777" w:rsidR="00241093" w:rsidRPr="000925A8" w:rsidRDefault="00241093">
      <w:pPr>
        <w:pStyle w:val="Brdtextmedindrag"/>
        <w:spacing w:before="120" w:after="120"/>
        <w:ind w:left="0"/>
        <w:rPr>
          <w:sz w:val="20"/>
        </w:rPr>
      </w:pPr>
      <w:r w:rsidRPr="000925A8">
        <w:rPr>
          <w:sz w:val="20"/>
        </w:rPr>
        <w:t xml:space="preserve">Vid ___________________tillfällen </w:t>
      </w:r>
      <w:r w:rsidRPr="000925A8">
        <w:rPr>
          <w:b/>
          <w:sz w:val="20"/>
        </w:rPr>
        <w:t xml:space="preserve">Om noll tillfällen </w:t>
      </w:r>
      <w:r w:rsidRPr="000925A8">
        <w:rPr>
          <w:b/>
          <w:sz w:val="20"/>
        </w:rPr>
        <w:sym w:font="Symbol" w:char="F0DE"/>
      </w:r>
      <w:r w:rsidRPr="000925A8">
        <w:rPr>
          <w:b/>
          <w:sz w:val="20"/>
        </w:rPr>
        <w:t xml:space="preserve"> Gå till fråga 6</w:t>
      </w:r>
    </w:p>
    <w:p w14:paraId="01CB44DD" w14:textId="77777777" w:rsidR="00241093" w:rsidRPr="000925A8" w:rsidRDefault="00241093">
      <w:pPr>
        <w:pStyle w:val="Brdtextmedindrag"/>
        <w:spacing w:before="120" w:after="120"/>
        <w:ind w:left="0"/>
        <w:rPr>
          <w:sz w:val="20"/>
        </w:rPr>
      </w:pPr>
      <w:r w:rsidRPr="000925A8">
        <w:rPr>
          <w:sz w:val="20"/>
        </w:rPr>
        <w:t>b) Vilken typ av frågor har detta avsett (exv. vägar, bostäder, naturvård, vattenskydd, handel</w:t>
      </w:r>
      <w:r w:rsidRPr="000925A8">
        <w:rPr>
          <w:sz w:val="20"/>
        </w:rPr>
        <w:t>s</w:t>
      </w:r>
      <w:r w:rsidRPr="000925A8">
        <w:rPr>
          <w:sz w:val="20"/>
        </w:rPr>
        <w:t>etableringar etc.)?</w:t>
      </w:r>
    </w:p>
    <w:p w14:paraId="6E1D7B1E" w14:textId="77777777" w:rsidR="00241093" w:rsidRPr="000925A8" w:rsidRDefault="00241093">
      <w:pPr>
        <w:pStyle w:val="Brdtextmedindrag"/>
        <w:spacing w:before="120" w:after="120"/>
        <w:ind w:left="0"/>
        <w:rPr>
          <w:sz w:val="20"/>
        </w:rPr>
      </w:pPr>
      <w:r w:rsidRPr="000925A8">
        <w:rPr>
          <w:b/>
        </w:rPr>
        <w:t>6a)</w:t>
      </w:r>
      <w:r w:rsidRPr="000925A8">
        <w:rPr>
          <w:sz w:val="20"/>
        </w:rPr>
        <w:t xml:space="preserve"> Hur har andelen upphävanden enligt 12 kap. 3 § PBL med motivet att den kommunala samordningen inte har varit lämplig förändrats över tid i förhållande till alla prövningar som helt eller delvis har gjorts enligt 12 kap. 1 § 2 p PBL sedan PBL:s tillkomst (1987)? Andelen</w:t>
      </w:r>
    </w:p>
    <w:p w14:paraId="7C092DE0" w14:textId="77777777" w:rsidR="00241093" w:rsidRPr="000925A8" w:rsidRDefault="00241093">
      <w:pPr>
        <w:pStyle w:val="Brdtextmedindrag"/>
        <w:spacing w:line="360" w:lineRule="auto"/>
        <w:ind w:left="0"/>
        <w:rPr>
          <w:sz w:val="20"/>
        </w:rPr>
      </w:pP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Har ökat betydligt</w:t>
      </w:r>
    </w:p>
    <w:p w14:paraId="0731E496" w14:textId="77777777" w:rsidR="00241093" w:rsidRPr="000925A8" w:rsidRDefault="00241093">
      <w:pPr>
        <w:pStyle w:val="Brdtextmedindrag"/>
        <w:spacing w:line="360" w:lineRule="auto"/>
        <w:ind w:left="0"/>
        <w:rPr>
          <w:sz w:val="20"/>
        </w:rPr>
      </w:pP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Har ökat något</w:t>
      </w:r>
    </w:p>
    <w:p w14:paraId="201B0BDC" w14:textId="77777777" w:rsidR="00241093" w:rsidRPr="000925A8" w:rsidRDefault="00241093">
      <w:pPr>
        <w:pStyle w:val="Brdtextmedindrag"/>
        <w:spacing w:line="360" w:lineRule="auto"/>
        <w:ind w:left="0"/>
        <w:rPr>
          <w:sz w:val="20"/>
        </w:rPr>
      </w:pP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Är i stort sett oförändrad</w:t>
      </w:r>
    </w:p>
    <w:p w14:paraId="48A2C7B2" w14:textId="77777777" w:rsidR="00241093" w:rsidRPr="000925A8" w:rsidRDefault="00241093">
      <w:pPr>
        <w:pStyle w:val="Brdtextmedindrag"/>
        <w:spacing w:line="360" w:lineRule="auto"/>
        <w:ind w:left="0"/>
        <w:rPr>
          <w:sz w:val="20"/>
        </w:rPr>
      </w:pP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Har minskat något</w:t>
      </w:r>
    </w:p>
    <w:p w14:paraId="27D3CA29" w14:textId="77777777" w:rsidR="00241093" w:rsidRPr="000925A8" w:rsidRDefault="00241093">
      <w:pPr>
        <w:pStyle w:val="Brdtextmedindrag"/>
        <w:spacing w:line="360" w:lineRule="auto"/>
        <w:ind w:left="0"/>
        <w:rPr>
          <w:sz w:val="20"/>
        </w:rPr>
      </w:pP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Har minskat betydligt</w:t>
      </w:r>
    </w:p>
    <w:p w14:paraId="02FF6037" w14:textId="77777777" w:rsidR="00241093" w:rsidRPr="000925A8" w:rsidRDefault="00241093">
      <w:pPr>
        <w:pStyle w:val="Brdtextmedindrag"/>
        <w:spacing w:line="360" w:lineRule="auto"/>
        <w:ind w:left="0"/>
        <w:rPr>
          <w:sz w:val="20"/>
        </w:rPr>
      </w:pP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Vet ej</w:t>
      </w:r>
    </w:p>
    <w:p w14:paraId="1A1ABEE0" w14:textId="77777777" w:rsidR="00241093" w:rsidRPr="000925A8" w:rsidRDefault="00241093">
      <w:pPr>
        <w:pStyle w:val="Brdtextmedindrag"/>
        <w:spacing w:before="120" w:after="120"/>
        <w:ind w:left="0"/>
        <w:rPr>
          <w:sz w:val="20"/>
        </w:rPr>
      </w:pPr>
      <w:r w:rsidRPr="000925A8">
        <w:rPr>
          <w:b/>
        </w:rPr>
        <w:t>7</w:t>
      </w:r>
      <w:r w:rsidRPr="000925A8">
        <w:rPr>
          <w:sz w:val="20"/>
        </w:rPr>
        <w:t xml:space="preserve"> Hur upplever länsstyrelsen prövningsgrunden ”inte lämplig mella</w:t>
      </w:r>
      <w:r w:rsidRPr="000925A8">
        <w:rPr>
          <w:sz w:val="20"/>
        </w:rPr>
        <w:t>n</w:t>
      </w:r>
      <w:r w:rsidRPr="000925A8">
        <w:rPr>
          <w:sz w:val="20"/>
        </w:rPr>
        <w:t>kommunal samordning” enligt 12 kap. 1 § 2 p PBL? Prövningsgrunden uppfattas som (ringa in ett värde på respektive skala):</w:t>
      </w:r>
    </w:p>
    <w:p w14:paraId="0F196741"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5"/>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w:t>
      </w:r>
      <w:r w:rsidRPr="000925A8">
        <w:rPr>
          <w:sz w:val="20"/>
        </w:rPr>
        <w:t>t</w:t>
      </w:r>
      <w:r w:rsidRPr="000925A8">
        <w:rPr>
          <w:sz w:val="20"/>
        </w:rPr>
        <w:t>ning</w:t>
      </w:r>
    </w:p>
    <w:p w14:paraId="5C9AE4DB"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Inte alls tydlig</w:t>
      </w:r>
      <w:r w:rsidRPr="000925A8">
        <w:rPr>
          <w:sz w:val="20"/>
        </w:rPr>
        <w:tab/>
      </w:r>
      <w:r w:rsidRPr="000925A8">
        <w:rPr>
          <w:sz w:val="20"/>
        </w:rPr>
        <w:tab/>
      </w:r>
      <w:r w:rsidRPr="000925A8">
        <w:rPr>
          <w:sz w:val="20"/>
        </w:rPr>
        <w:tab/>
      </w:r>
      <w:r w:rsidRPr="000925A8">
        <w:rPr>
          <w:sz w:val="20"/>
        </w:rPr>
        <w:tab/>
        <w:t xml:space="preserve">Mycket tydlig  </w:t>
      </w:r>
    </w:p>
    <w:p w14:paraId="3D4A80E6"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6E3FBB23"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Mycket svår </w:t>
      </w:r>
      <w:r w:rsidRPr="000925A8">
        <w:rPr>
          <w:sz w:val="20"/>
        </w:rPr>
        <w:tab/>
      </w:r>
      <w:r w:rsidRPr="000925A8">
        <w:rPr>
          <w:sz w:val="20"/>
        </w:rPr>
        <w:tab/>
      </w:r>
      <w:r w:rsidRPr="000925A8">
        <w:rPr>
          <w:sz w:val="20"/>
        </w:rPr>
        <w:tab/>
      </w:r>
      <w:r w:rsidRPr="000925A8">
        <w:rPr>
          <w:sz w:val="20"/>
        </w:rPr>
        <w:tab/>
        <w:t xml:space="preserve">Mycket lätt </w:t>
      </w:r>
      <w:r w:rsidRPr="000925A8">
        <w:rPr>
          <w:sz w:val="20"/>
        </w:rPr>
        <w:br/>
        <w:t>att tillämpa</w:t>
      </w:r>
      <w:r w:rsidRPr="000925A8">
        <w:rPr>
          <w:sz w:val="20"/>
        </w:rPr>
        <w:tab/>
      </w:r>
      <w:r w:rsidRPr="000925A8">
        <w:rPr>
          <w:sz w:val="20"/>
        </w:rPr>
        <w:tab/>
      </w:r>
      <w:r w:rsidRPr="000925A8">
        <w:rPr>
          <w:sz w:val="20"/>
        </w:rPr>
        <w:tab/>
      </w:r>
      <w:r w:rsidRPr="000925A8">
        <w:rPr>
          <w:sz w:val="20"/>
        </w:rPr>
        <w:tab/>
      </w:r>
      <w:r w:rsidRPr="000925A8">
        <w:rPr>
          <w:sz w:val="20"/>
        </w:rPr>
        <w:tab/>
        <w:t xml:space="preserve">att tillämpa  </w:t>
      </w:r>
    </w:p>
    <w:p w14:paraId="1DFB27C7"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4731ACB9"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Inte alls relevant</w:t>
      </w:r>
      <w:r w:rsidRPr="000925A8">
        <w:rPr>
          <w:sz w:val="20"/>
        </w:rPr>
        <w:tab/>
      </w:r>
      <w:r w:rsidRPr="000925A8">
        <w:rPr>
          <w:sz w:val="20"/>
        </w:rPr>
        <w:tab/>
      </w:r>
      <w:r w:rsidRPr="000925A8">
        <w:rPr>
          <w:sz w:val="20"/>
        </w:rPr>
        <w:tab/>
      </w:r>
      <w:r w:rsidRPr="000925A8">
        <w:rPr>
          <w:sz w:val="20"/>
        </w:rPr>
        <w:tab/>
        <w:t>Mycket relevant</w:t>
      </w:r>
      <w:r w:rsidRPr="000925A8">
        <w:rPr>
          <w:sz w:val="20"/>
        </w:rPr>
        <w:br/>
        <w:t>för planeringsfrågorna</w:t>
      </w:r>
      <w:r w:rsidRPr="000925A8">
        <w:rPr>
          <w:sz w:val="20"/>
        </w:rPr>
        <w:tab/>
      </w:r>
      <w:r w:rsidRPr="000925A8">
        <w:rPr>
          <w:sz w:val="20"/>
        </w:rPr>
        <w:tab/>
      </w:r>
      <w:r w:rsidRPr="000925A8">
        <w:rPr>
          <w:sz w:val="20"/>
        </w:rPr>
        <w:tab/>
        <w:t>för planeringsfrågorna</w:t>
      </w:r>
      <w:r w:rsidRPr="000925A8">
        <w:rPr>
          <w:sz w:val="20"/>
        </w:rPr>
        <w:br/>
        <w:t>i vårt län</w:t>
      </w:r>
      <w:r w:rsidRPr="000925A8">
        <w:rPr>
          <w:sz w:val="20"/>
        </w:rPr>
        <w:tab/>
      </w:r>
      <w:r w:rsidRPr="000925A8">
        <w:rPr>
          <w:sz w:val="20"/>
        </w:rPr>
        <w:tab/>
      </w:r>
      <w:r w:rsidRPr="000925A8">
        <w:rPr>
          <w:sz w:val="20"/>
        </w:rPr>
        <w:tab/>
      </w:r>
      <w:r w:rsidRPr="000925A8">
        <w:rPr>
          <w:sz w:val="20"/>
        </w:rPr>
        <w:tab/>
      </w:r>
      <w:r w:rsidRPr="000925A8">
        <w:rPr>
          <w:sz w:val="20"/>
        </w:rPr>
        <w:tab/>
        <w:t xml:space="preserve">i vårt län </w:t>
      </w:r>
    </w:p>
    <w:p w14:paraId="57BC0E39" w14:textId="77777777" w:rsidR="00241093" w:rsidRPr="000925A8" w:rsidRDefault="00241093">
      <w:pPr>
        <w:pStyle w:val="Brdtextmedindrag"/>
        <w:spacing w:before="120" w:after="120"/>
        <w:ind w:left="0"/>
        <w:rPr>
          <w:sz w:val="20"/>
        </w:rPr>
      </w:pPr>
      <w:r w:rsidRPr="000925A8">
        <w:rPr>
          <w:b/>
        </w:rPr>
        <w:t>8</w:t>
      </w:r>
      <w:r w:rsidRPr="000925A8">
        <w:rPr>
          <w:sz w:val="20"/>
        </w:rPr>
        <w:t xml:space="preserve"> Vid hur många tillfällen under perioden 1998–2001 har länsstyrelsen beslutat om förordnanden enligt 12 kap. 4 § PBL helt eller delvis med motiveringen att man vill säkerställa en lämplig mellankommunal sa</w:t>
      </w:r>
      <w:r w:rsidRPr="000925A8">
        <w:rPr>
          <w:sz w:val="20"/>
        </w:rPr>
        <w:t>m</w:t>
      </w:r>
      <w:r w:rsidRPr="000925A8">
        <w:rPr>
          <w:sz w:val="20"/>
        </w:rPr>
        <w:t>ordning?</w:t>
      </w:r>
    </w:p>
    <w:p w14:paraId="647A7274" w14:textId="77777777" w:rsidR="00241093" w:rsidRPr="000925A8" w:rsidRDefault="00241093">
      <w:pPr>
        <w:pStyle w:val="Brdtextmedindrag"/>
        <w:spacing w:before="120" w:after="120"/>
        <w:ind w:left="0"/>
        <w:rPr>
          <w:sz w:val="20"/>
        </w:rPr>
      </w:pPr>
      <w:r w:rsidRPr="000925A8">
        <w:rPr>
          <w:sz w:val="20"/>
        </w:rPr>
        <w:t>Vid ______________________tillfällen</w:t>
      </w:r>
    </w:p>
    <w:p w14:paraId="4885AC80" w14:textId="77777777" w:rsidR="00241093" w:rsidRPr="000925A8" w:rsidRDefault="00241093">
      <w:pPr>
        <w:pStyle w:val="Brdtextmedindrag"/>
        <w:spacing w:before="120" w:after="120"/>
        <w:ind w:left="0"/>
        <w:rPr>
          <w:sz w:val="20"/>
        </w:rPr>
      </w:pPr>
      <w:r w:rsidRPr="000925A8">
        <w:rPr>
          <w:b/>
        </w:rPr>
        <w:t>Mellankommunal samordning i kommunernas översikt</w:t>
      </w:r>
      <w:r w:rsidRPr="000925A8">
        <w:rPr>
          <w:b/>
        </w:rPr>
        <w:t>s</w:t>
      </w:r>
      <w:r w:rsidRPr="000925A8">
        <w:rPr>
          <w:b/>
        </w:rPr>
        <w:t>planering</w:t>
      </w:r>
    </w:p>
    <w:p w14:paraId="4B37749B" w14:textId="77777777" w:rsidR="00241093" w:rsidRPr="000925A8" w:rsidRDefault="00241093">
      <w:pPr>
        <w:pStyle w:val="Brdtextmedindrag"/>
        <w:spacing w:before="120" w:after="120"/>
        <w:ind w:left="0"/>
        <w:rPr>
          <w:sz w:val="20"/>
        </w:rPr>
      </w:pPr>
      <w:r w:rsidRPr="000925A8">
        <w:rPr>
          <w:b/>
        </w:rPr>
        <w:t>9a)</w:t>
      </w:r>
      <w:r w:rsidRPr="000925A8">
        <w:rPr>
          <w:sz w:val="20"/>
        </w:rPr>
        <w:t xml:space="preserve"> I ungefär hur stor andel av länsstyrelsens granskningsyttranden över kommunala översiktsplaner har det sedan PBL:s tillkomst (1987) fra</w:t>
      </w:r>
      <w:r w:rsidRPr="000925A8">
        <w:rPr>
          <w:sz w:val="20"/>
        </w:rPr>
        <w:t>m</w:t>
      </w:r>
      <w:r w:rsidRPr="000925A8">
        <w:rPr>
          <w:sz w:val="20"/>
        </w:rPr>
        <w:t>förts synpunkter på att planerna inte tillgodoser PBL:s krav på lämplig mellankomm</w:t>
      </w:r>
      <w:r w:rsidRPr="000925A8">
        <w:rPr>
          <w:sz w:val="20"/>
        </w:rPr>
        <w:t>u</w:t>
      </w:r>
      <w:r w:rsidRPr="000925A8">
        <w:rPr>
          <w:sz w:val="20"/>
        </w:rPr>
        <w:t>nal samordning?</w:t>
      </w:r>
    </w:p>
    <w:p w14:paraId="29812A70" w14:textId="77777777" w:rsidR="00241093" w:rsidRPr="000925A8" w:rsidRDefault="00241093">
      <w:pPr>
        <w:pStyle w:val="Brdtextmedindrag"/>
        <w:spacing w:before="120" w:after="120"/>
        <w:ind w:left="0"/>
        <w:rPr>
          <w:sz w:val="20"/>
        </w:rPr>
      </w:pPr>
      <w:r w:rsidRPr="000925A8">
        <w:rPr>
          <w:sz w:val="20"/>
        </w:rPr>
        <w:t>I cirka _______________ % av granskningsyttrandena</w:t>
      </w:r>
    </w:p>
    <w:p w14:paraId="5B45D324" w14:textId="77777777" w:rsidR="00241093" w:rsidRPr="000925A8" w:rsidRDefault="00241093">
      <w:pPr>
        <w:pStyle w:val="Brdtextmedindrag"/>
        <w:spacing w:before="120" w:after="120"/>
        <w:ind w:left="0"/>
        <w:rPr>
          <w:sz w:val="20"/>
        </w:rPr>
      </w:pPr>
      <w:r w:rsidRPr="000925A8">
        <w:rPr>
          <w:b/>
          <w:sz w:val="20"/>
        </w:rPr>
        <w:t>b)</w:t>
      </w:r>
      <w:r w:rsidRPr="000925A8">
        <w:rPr>
          <w:sz w:val="20"/>
        </w:rPr>
        <w:t xml:space="preserve"> Hur har denna andel förändrats över tiden sedan PBL:s tillkomst? A</w:t>
      </w:r>
      <w:r w:rsidRPr="000925A8">
        <w:rPr>
          <w:sz w:val="20"/>
        </w:rPr>
        <w:t>n</w:t>
      </w:r>
      <w:r w:rsidRPr="000925A8">
        <w:rPr>
          <w:sz w:val="20"/>
        </w:rPr>
        <w:t>delen har</w:t>
      </w:r>
    </w:p>
    <w:p w14:paraId="20C1FEB8" w14:textId="77777777" w:rsidR="00241093" w:rsidRPr="000925A8" w:rsidRDefault="00241093">
      <w:pPr>
        <w:pStyle w:val="Brdtextmedindrag"/>
        <w:spacing w:line="360" w:lineRule="auto"/>
        <w:ind w:left="0"/>
        <w:rPr>
          <w:sz w:val="20"/>
        </w:rPr>
      </w:pP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Ökat betydligt</w:t>
      </w:r>
    </w:p>
    <w:p w14:paraId="4D55AF3C" w14:textId="77777777" w:rsidR="00241093" w:rsidRPr="000925A8" w:rsidRDefault="00241093">
      <w:pPr>
        <w:pStyle w:val="Brdtextmedindrag"/>
        <w:spacing w:line="360" w:lineRule="auto"/>
        <w:ind w:left="0"/>
        <w:rPr>
          <w:sz w:val="20"/>
        </w:rPr>
      </w:pP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Ökat något</w:t>
      </w:r>
    </w:p>
    <w:p w14:paraId="6B307B31" w14:textId="77777777" w:rsidR="00241093" w:rsidRPr="000925A8" w:rsidRDefault="00241093">
      <w:pPr>
        <w:pStyle w:val="Brdtextmedindrag"/>
        <w:spacing w:line="360" w:lineRule="auto"/>
        <w:ind w:left="0"/>
        <w:rPr>
          <w:sz w:val="20"/>
        </w:rPr>
      </w:pP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Är i stort sett oförändrad</w:t>
      </w:r>
    </w:p>
    <w:p w14:paraId="3DF3044E" w14:textId="77777777" w:rsidR="00241093" w:rsidRPr="000925A8" w:rsidRDefault="00241093">
      <w:pPr>
        <w:pStyle w:val="Brdtextmedindrag"/>
        <w:spacing w:line="360" w:lineRule="auto"/>
        <w:ind w:left="0"/>
        <w:rPr>
          <w:sz w:val="20"/>
        </w:rPr>
      </w:pP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Minskat något</w:t>
      </w:r>
    </w:p>
    <w:p w14:paraId="2EF907C4" w14:textId="77777777" w:rsidR="00241093" w:rsidRPr="000925A8" w:rsidRDefault="00241093">
      <w:pPr>
        <w:pStyle w:val="Brdtextmedindrag"/>
        <w:spacing w:line="360" w:lineRule="auto"/>
        <w:ind w:left="0"/>
        <w:rPr>
          <w:sz w:val="20"/>
        </w:rPr>
      </w:pP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Minskat betydligt</w:t>
      </w:r>
    </w:p>
    <w:p w14:paraId="22ABC578" w14:textId="77777777" w:rsidR="00241093" w:rsidRPr="000925A8" w:rsidRDefault="00241093">
      <w:pPr>
        <w:pStyle w:val="Brdtextmedindrag"/>
        <w:spacing w:line="360" w:lineRule="auto"/>
        <w:ind w:left="0"/>
        <w:rPr>
          <w:sz w:val="20"/>
        </w:rPr>
      </w:pP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Vet ej</w:t>
      </w:r>
    </w:p>
    <w:p w14:paraId="32C34936" w14:textId="77777777" w:rsidR="00241093" w:rsidRPr="000925A8" w:rsidRDefault="00241093">
      <w:pPr>
        <w:pStyle w:val="Brdtextmedindrag"/>
        <w:spacing w:before="120" w:after="120"/>
        <w:ind w:left="0"/>
        <w:rPr>
          <w:b/>
        </w:rPr>
      </w:pPr>
    </w:p>
    <w:p w14:paraId="08DC7470" w14:textId="77777777" w:rsidR="00241093" w:rsidRPr="000925A8" w:rsidRDefault="00241093">
      <w:pPr>
        <w:pStyle w:val="Brdtextmedindrag"/>
        <w:spacing w:before="120" w:after="120"/>
        <w:ind w:left="0"/>
        <w:rPr>
          <w:b/>
        </w:rPr>
      </w:pPr>
      <w:r w:rsidRPr="000925A8">
        <w:rPr>
          <w:b/>
        </w:rPr>
        <w:t>Överklagande enligt 13 kap. 2 § PBL</w:t>
      </w:r>
    </w:p>
    <w:p w14:paraId="0C6B9BAC" w14:textId="77777777" w:rsidR="00241093" w:rsidRPr="000925A8" w:rsidRDefault="00241093">
      <w:pPr>
        <w:pStyle w:val="Brdtextmedindrag"/>
        <w:spacing w:before="120" w:after="120"/>
        <w:ind w:left="0"/>
        <w:rPr>
          <w:sz w:val="20"/>
        </w:rPr>
      </w:pPr>
      <w:r w:rsidRPr="000925A8">
        <w:rPr>
          <w:b/>
          <w:sz w:val="20"/>
        </w:rPr>
        <w:t>10a)</w:t>
      </w:r>
      <w:r w:rsidRPr="000925A8">
        <w:rPr>
          <w:sz w:val="20"/>
        </w:rPr>
        <w:t xml:space="preserve"> Hur många kommunala beslut om att anta, ändra eller upphäva d</w:t>
      </w:r>
      <w:r w:rsidRPr="000925A8">
        <w:rPr>
          <w:sz w:val="20"/>
        </w:rPr>
        <w:t>e</w:t>
      </w:r>
      <w:r w:rsidRPr="000925A8">
        <w:rPr>
          <w:sz w:val="20"/>
        </w:rPr>
        <w:t>taljplaner eller områdesbestämmelser har under perioden 1998–2001 överklagats till länsstyrelsen enligt 13 kap. 2 § PBL helt eller delvis med motiveringen att den mellankommunala samordningen inte har varit lämplig?</w:t>
      </w:r>
    </w:p>
    <w:p w14:paraId="173FC4B1" w14:textId="77777777" w:rsidR="00241093" w:rsidRPr="000925A8" w:rsidRDefault="00241093">
      <w:pPr>
        <w:pStyle w:val="Brdtextmedindrag"/>
        <w:spacing w:before="120" w:after="120"/>
        <w:ind w:left="0"/>
        <w:rPr>
          <w:sz w:val="20"/>
        </w:rPr>
      </w:pPr>
      <w:r w:rsidRPr="000925A8">
        <w:rPr>
          <w:sz w:val="20"/>
        </w:rPr>
        <w:t>Cirka___________ beslut</w:t>
      </w:r>
      <w:r w:rsidRPr="000925A8">
        <w:rPr>
          <w:sz w:val="20"/>
        </w:rPr>
        <w:tab/>
      </w:r>
      <w:r w:rsidRPr="000925A8">
        <w:rPr>
          <w:b/>
          <w:sz w:val="20"/>
        </w:rPr>
        <w:t xml:space="preserve">Om noll beslut </w:t>
      </w:r>
      <w:r w:rsidRPr="000925A8">
        <w:rPr>
          <w:b/>
          <w:sz w:val="20"/>
        </w:rPr>
        <w:sym w:font="Symbol" w:char="F0DE"/>
      </w:r>
      <w:r w:rsidRPr="000925A8">
        <w:rPr>
          <w:b/>
          <w:sz w:val="20"/>
        </w:rPr>
        <w:t xml:space="preserve"> Gå till fråga 12</w:t>
      </w:r>
      <w:r w:rsidRPr="000925A8">
        <w:rPr>
          <w:sz w:val="20"/>
        </w:rPr>
        <w:tab/>
      </w:r>
    </w:p>
    <w:p w14:paraId="04697E6A" w14:textId="77777777" w:rsidR="00241093" w:rsidRPr="000925A8" w:rsidRDefault="00241093">
      <w:pPr>
        <w:pStyle w:val="Brdtextmedindrag"/>
        <w:spacing w:before="120" w:after="120"/>
        <w:ind w:left="0"/>
        <w:rPr>
          <w:sz w:val="20"/>
        </w:rPr>
      </w:pPr>
      <w:r w:rsidRPr="000925A8">
        <w:rPr>
          <w:b/>
          <w:sz w:val="20"/>
        </w:rPr>
        <w:t>b)</w:t>
      </w:r>
      <w:r w:rsidRPr="000925A8">
        <w:rPr>
          <w:sz w:val="20"/>
        </w:rPr>
        <w:t xml:space="preserve"> Ungefär hur stor andel av samtliga detaljplaner eller områdesbestä</w:t>
      </w:r>
      <w:r w:rsidRPr="000925A8">
        <w:rPr>
          <w:sz w:val="20"/>
        </w:rPr>
        <w:t>m</w:t>
      </w:r>
      <w:r w:rsidRPr="000925A8">
        <w:rPr>
          <w:sz w:val="20"/>
        </w:rPr>
        <w:t>melser som har inkommit till länsstyrelsen under den aktuella perioden (1998–2001) motsvarar de överklagade besluten i fråga 10a?</w:t>
      </w:r>
    </w:p>
    <w:p w14:paraId="5E236041" w14:textId="77777777" w:rsidR="00241093" w:rsidRPr="000925A8" w:rsidRDefault="00241093">
      <w:pPr>
        <w:pStyle w:val="Brdtextmedindrag"/>
        <w:spacing w:before="120" w:after="120"/>
        <w:ind w:left="0"/>
        <w:rPr>
          <w:sz w:val="20"/>
        </w:rPr>
      </w:pPr>
      <w:r w:rsidRPr="000925A8">
        <w:rPr>
          <w:sz w:val="20"/>
        </w:rPr>
        <w:t>Cirka____________ %</w:t>
      </w:r>
    </w:p>
    <w:p w14:paraId="0E307CDA" w14:textId="77777777" w:rsidR="00241093" w:rsidRPr="000925A8" w:rsidRDefault="00241093">
      <w:pPr>
        <w:pStyle w:val="Brdtextmedindrag"/>
        <w:spacing w:before="120" w:after="120"/>
        <w:ind w:left="0"/>
        <w:rPr>
          <w:sz w:val="20"/>
        </w:rPr>
      </w:pPr>
      <w:r w:rsidRPr="000925A8">
        <w:rPr>
          <w:b/>
          <w:sz w:val="20"/>
        </w:rPr>
        <w:t>c)</w:t>
      </w:r>
      <w:r w:rsidRPr="000925A8">
        <w:rPr>
          <w:sz w:val="20"/>
        </w:rPr>
        <w:t xml:space="preserve"> I ungefär hur stor andel av de överklagade besluten i fråga 10a har den/de som överklagat varit en eller flera andra kommuner?</w:t>
      </w:r>
    </w:p>
    <w:p w14:paraId="75326580" w14:textId="77777777" w:rsidR="00241093" w:rsidRPr="000925A8" w:rsidRDefault="00241093">
      <w:pPr>
        <w:pStyle w:val="Brdtextmedindrag"/>
        <w:spacing w:before="120" w:after="120"/>
        <w:ind w:left="0"/>
        <w:rPr>
          <w:sz w:val="20"/>
        </w:rPr>
      </w:pPr>
      <w:r w:rsidRPr="000925A8">
        <w:rPr>
          <w:sz w:val="20"/>
        </w:rPr>
        <w:t>Cirka____________ %</w:t>
      </w:r>
    </w:p>
    <w:p w14:paraId="296CC315" w14:textId="77777777" w:rsidR="00241093" w:rsidRPr="000925A8" w:rsidRDefault="00241093">
      <w:pPr>
        <w:pStyle w:val="Brdtextmedindrag"/>
        <w:spacing w:before="120" w:after="120"/>
        <w:ind w:left="0"/>
        <w:rPr>
          <w:sz w:val="20"/>
        </w:rPr>
      </w:pPr>
      <w:r w:rsidRPr="000925A8">
        <w:rPr>
          <w:b/>
          <w:sz w:val="20"/>
        </w:rPr>
        <w:t>d)</w:t>
      </w:r>
      <w:r w:rsidRPr="000925A8">
        <w:rPr>
          <w:sz w:val="20"/>
        </w:rPr>
        <w:t xml:space="preserve"> Vilken typ av frågor har detta avsett (exv. vägar, bostäder, naturvård, vattenskydd, handel</w:t>
      </w:r>
      <w:r w:rsidRPr="000925A8">
        <w:rPr>
          <w:sz w:val="20"/>
        </w:rPr>
        <w:t>s</w:t>
      </w:r>
      <w:r w:rsidRPr="000925A8">
        <w:rPr>
          <w:sz w:val="20"/>
        </w:rPr>
        <w:t>etableringar etc.)?</w:t>
      </w:r>
    </w:p>
    <w:p w14:paraId="4C84BF8A" w14:textId="77777777" w:rsidR="00241093" w:rsidRPr="000925A8" w:rsidRDefault="00241093">
      <w:pPr>
        <w:pStyle w:val="Brdtextmedindrag"/>
        <w:spacing w:before="120" w:after="120"/>
        <w:ind w:left="0"/>
        <w:rPr>
          <w:sz w:val="20"/>
        </w:rPr>
      </w:pPr>
      <w:r w:rsidRPr="000925A8">
        <w:rPr>
          <w:sz w:val="20"/>
        </w:rPr>
        <w:t>___________________________________________________________</w:t>
      </w:r>
    </w:p>
    <w:p w14:paraId="1BB4F2D8" w14:textId="77777777" w:rsidR="00241093" w:rsidRPr="000925A8" w:rsidRDefault="00241093">
      <w:pPr>
        <w:pStyle w:val="Brdtextmedindrag"/>
        <w:spacing w:before="120" w:after="120"/>
        <w:ind w:left="0"/>
        <w:rPr>
          <w:sz w:val="20"/>
        </w:rPr>
      </w:pPr>
      <w:r w:rsidRPr="000925A8">
        <w:rPr>
          <w:b/>
        </w:rPr>
        <w:t>11a)</w:t>
      </w:r>
      <w:r w:rsidRPr="000925A8">
        <w:rPr>
          <w:sz w:val="20"/>
        </w:rPr>
        <w:t xml:space="preserve"> Hur många av de överklagade besluten i fråga 10a har länsstyrelsen enligt 13 kap. 8 § PBL helt eller delvis upphävt med motiveringen att den kommunala samordningen inte har varit lämplig? </w:t>
      </w:r>
    </w:p>
    <w:p w14:paraId="07D4F68E" w14:textId="77777777" w:rsidR="00241093" w:rsidRPr="000925A8" w:rsidRDefault="00241093">
      <w:pPr>
        <w:pStyle w:val="Brdtextmedindrag"/>
        <w:spacing w:before="120" w:after="120"/>
        <w:ind w:left="0"/>
        <w:rPr>
          <w:sz w:val="20"/>
        </w:rPr>
      </w:pPr>
      <w:r w:rsidRPr="000925A8">
        <w:rPr>
          <w:sz w:val="20"/>
        </w:rPr>
        <w:t>____________beslut</w:t>
      </w:r>
      <w:r w:rsidRPr="000925A8">
        <w:rPr>
          <w:sz w:val="20"/>
        </w:rPr>
        <w:tab/>
      </w:r>
      <w:r w:rsidRPr="000925A8">
        <w:rPr>
          <w:b/>
          <w:sz w:val="20"/>
        </w:rPr>
        <w:t xml:space="preserve">Om noll beslut </w:t>
      </w:r>
      <w:r w:rsidRPr="000925A8">
        <w:rPr>
          <w:b/>
          <w:sz w:val="20"/>
        </w:rPr>
        <w:sym w:font="Symbol" w:char="F0DE"/>
      </w:r>
      <w:r w:rsidRPr="000925A8">
        <w:rPr>
          <w:b/>
          <w:sz w:val="20"/>
        </w:rPr>
        <w:t xml:space="preserve"> Gå till fråga 12</w:t>
      </w:r>
    </w:p>
    <w:p w14:paraId="10034DE7" w14:textId="77777777" w:rsidR="00241093" w:rsidRPr="000925A8" w:rsidRDefault="00241093">
      <w:pPr>
        <w:pStyle w:val="Brdtextmedindrag"/>
        <w:spacing w:before="120" w:after="120"/>
        <w:ind w:left="0"/>
        <w:rPr>
          <w:sz w:val="20"/>
        </w:rPr>
      </w:pPr>
      <w:r w:rsidRPr="000925A8">
        <w:rPr>
          <w:b/>
          <w:sz w:val="20"/>
        </w:rPr>
        <w:t>b)</w:t>
      </w:r>
      <w:r w:rsidRPr="000925A8">
        <w:rPr>
          <w:sz w:val="20"/>
        </w:rPr>
        <w:t xml:space="preserve"> Vilken typ av frågor har detta avsett (exv. vägar, bostäder, naturvård, vattenskydd, handel</w:t>
      </w:r>
      <w:r w:rsidRPr="000925A8">
        <w:rPr>
          <w:sz w:val="20"/>
        </w:rPr>
        <w:t>s</w:t>
      </w:r>
      <w:r w:rsidRPr="000925A8">
        <w:rPr>
          <w:sz w:val="20"/>
        </w:rPr>
        <w:t>etableringar etc.)?</w:t>
      </w:r>
    </w:p>
    <w:p w14:paraId="69D03FC0" w14:textId="77777777" w:rsidR="00241093" w:rsidRPr="000925A8" w:rsidRDefault="00241093">
      <w:pPr>
        <w:pStyle w:val="Brdtextmedindrag"/>
        <w:spacing w:before="120" w:after="120"/>
        <w:ind w:left="0"/>
        <w:rPr>
          <w:sz w:val="20"/>
        </w:rPr>
      </w:pPr>
      <w:r w:rsidRPr="000925A8">
        <w:rPr>
          <w:sz w:val="20"/>
        </w:rPr>
        <w:t>___________________________________________________________</w:t>
      </w:r>
    </w:p>
    <w:p w14:paraId="752AA8B9" w14:textId="77777777" w:rsidR="00241093" w:rsidRPr="000925A8" w:rsidRDefault="00241093">
      <w:pPr>
        <w:pStyle w:val="Brdtextmedindrag"/>
        <w:spacing w:before="120" w:after="120"/>
        <w:ind w:left="0"/>
        <w:rPr>
          <w:sz w:val="20"/>
        </w:rPr>
      </w:pPr>
      <w:r w:rsidRPr="000925A8">
        <w:rPr>
          <w:b/>
          <w:sz w:val="20"/>
        </w:rPr>
        <w:t>c)</w:t>
      </w:r>
      <w:r w:rsidRPr="000925A8">
        <w:rPr>
          <w:sz w:val="20"/>
        </w:rPr>
        <w:t xml:space="preserve"> Hur många av länsstyrelsens beslut om upphävande enligt fråga 11a har överklagats till r</w:t>
      </w:r>
      <w:r w:rsidRPr="000925A8">
        <w:rPr>
          <w:sz w:val="20"/>
        </w:rPr>
        <w:t>e</w:t>
      </w:r>
      <w:r w:rsidRPr="000925A8">
        <w:rPr>
          <w:sz w:val="20"/>
        </w:rPr>
        <w:t>geringen?</w:t>
      </w:r>
    </w:p>
    <w:p w14:paraId="0097CAB4" w14:textId="77777777" w:rsidR="00241093" w:rsidRPr="000925A8" w:rsidRDefault="00241093">
      <w:pPr>
        <w:pStyle w:val="Brdtextmedindrag"/>
        <w:spacing w:before="120" w:after="120"/>
        <w:ind w:left="0"/>
        <w:rPr>
          <w:sz w:val="20"/>
        </w:rPr>
      </w:pPr>
      <w:r w:rsidRPr="000925A8">
        <w:rPr>
          <w:sz w:val="20"/>
        </w:rPr>
        <w:t xml:space="preserve"> ______________beslut</w:t>
      </w:r>
      <w:r w:rsidRPr="000925A8">
        <w:rPr>
          <w:sz w:val="20"/>
        </w:rPr>
        <w:tab/>
      </w:r>
      <w:r w:rsidRPr="000925A8">
        <w:rPr>
          <w:b/>
          <w:sz w:val="20"/>
        </w:rPr>
        <w:t xml:space="preserve">Om noll beslut </w:t>
      </w:r>
      <w:r w:rsidRPr="000925A8">
        <w:rPr>
          <w:b/>
          <w:sz w:val="20"/>
        </w:rPr>
        <w:sym w:font="Symbol" w:char="F0DE"/>
      </w:r>
      <w:r w:rsidRPr="000925A8">
        <w:rPr>
          <w:b/>
          <w:sz w:val="20"/>
        </w:rPr>
        <w:t xml:space="preserve"> Gå till fråga 12</w:t>
      </w:r>
    </w:p>
    <w:p w14:paraId="5A481ADB" w14:textId="77777777" w:rsidR="00241093" w:rsidRPr="000925A8" w:rsidRDefault="00241093">
      <w:pPr>
        <w:pStyle w:val="Brdtextmedindrag"/>
        <w:spacing w:before="120" w:after="120"/>
        <w:ind w:left="0"/>
        <w:rPr>
          <w:sz w:val="20"/>
        </w:rPr>
      </w:pPr>
      <w:r w:rsidRPr="000925A8">
        <w:rPr>
          <w:b/>
          <w:sz w:val="20"/>
        </w:rPr>
        <w:t>d)</w:t>
      </w:r>
      <w:r w:rsidRPr="000925A8">
        <w:rPr>
          <w:sz w:val="20"/>
        </w:rPr>
        <w:t xml:space="preserve"> Vilken typ av frågor har detta avsett (exv. vägar, bostäder, naturvård, vattenskydd, handel</w:t>
      </w:r>
      <w:r w:rsidRPr="000925A8">
        <w:rPr>
          <w:sz w:val="20"/>
        </w:rPr>
        <w:t>s</w:t>
      </w:r>
      <w:r w:rsidRPr="000925A8">
        <w:rPr>
          <w:sz w:val="20"/>
        </w:rPr>
        <w:t>etableringar etc.)?</w:t>
      </w:r>
    </w:p>
    <w:p w14:paraId="1B3B17A2" w14:textId="77777777" w:rsidR="00241093" w:rsidRPr="000925A8" w:rsidRDefault="00241093">
      <w:pPr>
        <w:pStyle w:val="Brdtextmedindrag"/>
        <w:spacing w:before="120" w:after="120"/>
        <w:ind w:left="0"/>
      </w:pPr>
      <w:r w:rsidRPr="000925A8">
        <w:rPr>
          <w:b/>
        </w:rPr>
        <w:t>Länsstyrelsens arbete med mellankommunala planfrågor under planeringens program- och samrådsskeden</w:t>
      </w:r>
    </w:p>
    <w:p w14:paraId="45065926" w14:textId="77777777" w:rsidR="00241093" w:rsidRPr="000925A8" w:rsidRDefault="00241093">
      <w:r w:rsidRPr="000925A8">
        <w:rPr>
          <w:b/>
        </w:rPr>
        <w:t>12a)</w:t>
      </w:r>
      <w:r w:rsidRPr="000925A8">
        <w:t xml:space="preserve"> I vilken genomsnittlig omfattning (relativt övriga frågor) diskuteras frågor om mellankommunal samordning vid länsstyrelsens kontakter med kommunerna i </w:t>
      </w:r>
      <w:r w:rsidRPr="000925A8">
        <w:rPr>
          <w:i/>
        </w:rPr>
        <w:t>översiktsplaneprocessens programskede</w:t>
      </w:r>
      <w:r w:rsidRPr="000925A8">
        <w:t>? (Ringa in ett värde på skalan)</w:t>
      </w:r>
    </w:p>
    <w:p w14:paraId="1F96E298" w14:textId="77777777" w:rsidR="00241093" w:rsidRPr="000925A8" w:rsidRDefault="00241093">
      <w:pPr>
        <w:pStyle w:val="Brdtextmedindrag"/>
        <w:tabs>
          <w:tab w:val="left" w:pos="540"/>
          <w:tab w:val="left" w:pos="990"/>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7A7FA83F" w14:textId="77777777" w:rsidR="00241093" w:rsidRPr="000925A8" w:rsidRDefault="00241093">
      <w:pPr>
        <w:pStyle w:val="Brdtextmedindrag"/>
        <w:tabs>
          <w:tab w:val="left" w:pos="540"/>
          <w:tab w:val="left" w:pos="990"/>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Mycket liten </w:t>
      </w:r>
      <w:r w:rsidRPr="000925A8">
        <w:rPr>
          <w:sz w:val="20"/>
        </w:rPr>
        <w:tab/>
      </w:r>
      <w:r w:rsidRPr="000925A8">
        <w:rPr>
          <w:sz w:val="20"/>
        </w:rPr>
        <w:tab/>
      </w:r>
      <w:r w:rsidRPr="000925A8">
        <w:rPr>
          <w:sz w:val="20"/>
        </w:rPr>
        <w:tab/>
      </w:r>
      <w:r w:rsidRPr="000925A8">
        <w:rPr>
          <w:sz w:val="20"/>
        </w:rPr>
        <w:tab/>
        <w:t>Mycket stor</w:t>
      </w:r>
      <w:r w:rsidRPr="000925A8">
        <w:rPr>
          <w:sz w:val="20"/>
        </w:rPr>
        <w:br/>
        <w:t>omfattning</w:t>
      </w:r>
      <w:r w:rsidRPr="000925A8">
        <w:rPr>
          <w:sz w:val="20"/>
        </w:rPr>
        <w:tab/>
      </w:r>
      <w:r w:rsidRPr="000925A8">
        <w:rPr>
          <w:sz w:val="20"/>
        </w:rPr>
        <w:tab/>
      </w:r>
      <w:r w:rsidRPr="000925A8">
        <w:rPr>
          <w:sz w:val="20"/>
        </w:rPr>
        <w:tab/>
      </w:r>
      <w:r w:rsidRPr="000925A8">
        <w:rPr>
          <w:sz w:val="20"/>
        </w:rPr>
        <w:tab/>
      </w:r>
      <w:r w:rsidRPr="000925A8">
        <w:rPr>
          <w:sz w:val="20"/>
        </w:rPr>
        <w:tab/>
        <w:t>omfattning</w:t>
      </w:r>
    </w:p>
    <w:p w14:paraId="0E668096" w14:textId="77777777" w:rsidR="00241093" w:rsidRPr="000925A8" w:rsidRDefault="00241093">
      <w:pPr>
        <w:pStyle w:val="Brdtextmedindrag"/>
        <w:tabs>
          <w:tab w:val="left" w:pos="450"/>
          <w:tab w:val="left" w:pos="990"/>
          <w:tab w:val="left" w:pos="1620"/>
          <w:tab w:val="left" w:pos="2340"/>
          <w:tab w:val="left" w:pos="3240"/>
          <w:tab w:val="left" w:pos="4140"/>
          <w:tab w:val="left" w:pos="5130"/>
        </w:tabs>
        <w:spacing w:before="120"/>
        <w:ind w:left="0"/>
        <w:rPr>
          <w:sz w:val="20"/>
        </w:rPr>
      </w:pPr>
    </w:p>
    <w:p w14:paraId="0D5FAC2C" w14:textId="77777777" w:rsidR="00241093" w:rsidRPr="000925A8" w:rsidRDefault="00241093">
      <w:r w:rsidRPr="000925A8">
        <w:t>b) Hur stor är variationen i omfattningen som angivits i fråga 12a om man jämför länets komm</w:t>
      </w:r>
      <w:r w:rsidRPr="000925A8">
        <w:t>u</w:t>
      </w:r>
      <w:r w:rsidRPr="000925A8">
        <w:t>ner? Variationen är</w:t>
      </w:r>
    </w:p>
    <w:p w14:paraId="2A5CD7DF" w14:textId="77777777" w:rsidR="00241093" w:rsidRPr="000925A8" w:rsidRDefault="00241093">
      <w:pPr>
        <w:pStyle w:val="Brdtextmedindrag"/>
        <w:tabs>
          <w:tab w:val="left" w:pos="540"/>
          <w:tab w:val="left" w:pos="990"/>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46D24F37" w14:textId="77777777" w:rsidR="00241093" w:rsidRPr="000925A8" w:rsidRDefault="00241093">
      <w:pPr>
        <w:pStyle w:val="Brdtextmedindrag"/>
        <w:tabs>
          <w:tab w:val="left" w:pos="540"/>
          <w:tab w:val="left" w:pos="990"/>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Mycket liten </w:t>
      </w:r>
      <w:r w:rsidRPr="000925A8">
        <w:rPr>
          <w:sz w:val="20"/>
        </w:rPr>
        <w:tab/>
      </w:r>
      <w:r w:rsidRPr="000925A8">
        <w:rPr>
          <w:sz w:val="20"/>
        </w:rPr>
        <w:tab/>
      </w:r>
      <w:r w:rsidRPr="000925A8">
        <w:rPr>
          <w:sz w:val="20"/>
        </w:rPr>
        <w:tab/>
      </w:r>
      <w:r w:rsidRPr="000925A8">
        <w:rPr>
          <w:sz w:val="20"/>
        </w:rPr>
        <w:tab/>
        <w:t>Mycket stor</w:t>
      </w:r>
      <w:r w:rsidRPr="000925A8">
        <w:rPr>
          <w:sz w:val="20"/>
        </w:rPr>
        <w:br/>
      </w:r>
    </w:p>
    <w:p w14:paraId="0D35DC95" w14:textId="77777777" w:rsidR="00241093" w:rsidRPr="000925A8" w:rsidRDefault="00241093">
      <w:pPr>
        <w:pStyle w:val="Brdtextmedindrag"/>
        <w:tabs>
          <w:tab w:val="left" w:pos="284"/>
          <w:tab w:val="left" w:pos="450"/>
          <w:tab w:val="left" w:pos="990"/>
          <w:tab w:val="left" w:pos="1276"/>
          <w:tab w:val="left" w:pos="1620"/>
          <w:tab w:val="left" w:pos="2340"/>
          <w:tab w:val="left" w:pos="2410"/>
          <w:tab w:val="left" w:pos="3240"/>
          <w:tab w:val="left" w:pos="3402"/>
          <w:tab w:val="left" w:pos="4140"/>
          <w:tab w:val="left" w:pos="4253"/>
          <w:tab w:val="left" w:pos="5130"/>
          <w:tab w:val="left" w:pos="5245"/>
          <w:tab w:val="left" w:pos="6521"/>
        </w:tabs>
        <w:spacing w:before="120"/>
        <w:ind w:left="0"/>
        <w:rPr>
          <w:sz w:val="20"/>
        </w:rPr>
      </w:pPr>
    </w:p>
    <w:p w14:paraId="665BED4F" w14:textId="77777777" w:rsidR="00241093" w:rsidRPr="000925A8" w:rsidRDefault="00241093">
      <w:r w:rsidRPr="000925A8">
        <w:rPr>
          <w:b/>
        </w:rPr>
        <w:t>13a)</w:t>
      </w:r>
      <w:r w:rsidRPr="000925A8">
        <w:t xml:space="preserve"> I vilken genomsnittlig omfattning (relativt övriga frågor) diskuteras frågor om mellankommunal samordning vid länsstyrelsens kontakter med kommunerna i </w:t>
      </w:r>
      <w:r w:rsidRPr="000925A8">
        <w:rPr>
          <w:i/>
        </w:rPr>
        <w:t>översiktsplaneprocessens samrådsskede</w:t>
      </w:r>
      <w:r w:rsidRPr="000925A8">
        <w:t>? (Ringa in ett värde på skalan)</w:t>
      </w:r>
    </w:p>
    <w:p w14:paraId="6FABDDD7" w14:textId="77777777" w:rsidR="00241093" w:rsidRPr="000925A8" w:rsidRDefault="00241093">
      <w:pPr>
        <w:pStyle w:val="Brdtextmedindrag"/>
        <w:tabs>
          <w:tab w:val="left" w:pos="540"/>
          <w:tab w:val="left" w:pos="990"/>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2F6A81C2" w14:textId="77777777" w:rsidR="00241093" w:rsidRPr="000925A8" w:rsidRDefault="00241093">
      <w:pPr>
        <w:pStyle w:val="Brdtextmedindrag"/>
        <w:tabs>
          <w:tab w:val="left" w:pos="540"/>
          <w:tab w:val="left" w:pos="990"/>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Mycket liten </w:t>
      </w:r>
      <w:r w:rsidRPr="000925A8">
        <w:rPr>
          <w:sz w:val="20"/>
        </w:rPr>
        <w:tab/>
      </w:r>
      <w:r w:rsidRPr="000925A8">
        <w:rPr>
          <w:sz w:val="20"/>
        </w:rPr>
        <w:tab/>
      </w:r>
      <w:r w:rsidRPr="000925A8">
        <w:rPr>
          <w:sz w:val="20"/>
        </w:rPr>
        <w:tab/>
      </w:r>
      <w:r w:rsidRPr="000925A8">
        <w:rPr>
          <w:sz w:val="20"/>
        </w:rPr>
        <w:tab/>
        <w:t xml:space="preserve">Mycket stor </w:t>
      </w:r>
      <w:r w:rsidRPr="000925A8">
        <w:rPr>
          <w:sz w:val="20"/>
        </w:rPr>
        <w:br/>
        <w:t>o</w:t>
      </w:r>
      <w:r w:rsidRPr="000925A8">
        <w:rPr>
          <w:sz w:val="20"/>
        </w:rPr>
        <w:t>m</w:t>
      </w:r>
      <w:r w:rsidRPr="000925A8">
        <w:rPr>
          <w:sz w:val="20"/>
        </w:rPr>
        <w:t xml:space="preserve">fattning </w:t>
      </w:r>
      <w:r w:rsidRPr="000925A8">
        <w:rPr>
          <w:sz w:val="20"/>
        </w:rPr>
        <w:tab/>
      </w:r>
      <w:r w:rsidRPr="000925A8">
        <w:rPr>
          <w:sz w:val="20"/>
        </w:rPr>
        <w:tab/>
      </w:r>
      <w:r w:rsidRPr="000925A8">
        <w:rPr>
          <w:sz w:val="20"/>
        </w:rPr>
        <w:tab/>
      </w:r>
      <w:r w:rsidRPr="000925A8">
        <w:rPr>
          <w:sz w:val="20"/>
        </w:rPr>
        <w:tab/>
      </w:r>
      <w:r w:rsidRPr="000925A8">
        <w:rPr>
          <w:sz w:val="20"/>
        </w:rPr>
        <w:tab/>
        <w:t>omfattning</w:t>
      </w:r>
    </w:p>
    <w:p w14:paraId="2400C4AC" w14:textId="77777777" w:rsidR="00241093" w:rsidRPr="000925A8" w:rsidRDefault="00241093">
      <w:pPr>
        <w:pStyle w:val="Brdtextmedindrag"/>
        <w:tabs>
          <w:tab w:val="left" w:pos="540"/>
          <w:tab w:val="left" w:pos="990"/>
          <w:tab w:val="left" w:pos="1560"/>
          <w:tab w:val="left" w:pos="1985"/>
          <w:tab w:val="left" w:pos="2552"/>
          <w:tab w:val="left" w:pos="3119"/>
          <w:tab w:val="left" w:pos="3544"/>
          <w:tab w:val="left" w:pos="3828"/>
          <w:tab w:val="left" w:pos="6521"/>
        </w:tabs>
        <w:spacing w:before="120"/>
        <w:ind w:left="0"/>
        <w:rPr>
          <w:sz w:val="20"/>
        </w:rPr>
      </w:pPr>
    </w:p>
    <w:p w14:paraId="4C85C21E" w14:textId="77777777" w:rsidR="00241093" w:rsidRPr="000925A8" w:rsidRDefault="00241093">
      <w:r w:rsidRPr="000925A8">
        <w:t>b) Hur stor är variationen i omfattningen som angivits i fråga 13a om man jämför länets komm</w:t>
      </w:r>
      <w:r w:rsidRPr="000925A8">
        <w:t>u</w:t>
      </w:r>
      <w:r w:rsidRPr="000925A8">
        <w:t>ner? Variationen är</w:t>
      </w:r>
    </w:p>
    <w:p w14:paraId="4274C540" w14:textId="77777777" w:rsidR="00241093" w:rsidRPr="000925A8" w:rsidRDefault="00241093">
      <w:pPr>
        <w:pStyle w:val="Brdtextmedindrag"/>
        <w:tabs>
          <w:tab w:val="left" w:pos="540"/>
          <w:tab w:val="left" w:pos="990"/>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14C0059D" w14:textId="77777777" w:rsidR="00241093" w:rsidRPr="000925A8" w:rsidRDefault="00241093">
      <w:pPr>
        <w:pStyle w:val="Brdtextmedindrag"/>
        <w:tabs>
          <w:tab w:val="left" w:pos="540"/>
          <w:tab w:val="left" w:pos="990"/>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Mycket liten </w:t>
      </w:r>
      <w:r w:rsidRPr="000925A8">
        <w:rPr>
          <w:sz w:val="20"/>
        </w:rPr>
        <w:tab/>
      </w:r>
      <w:r w:rsidRPr="000925A8">
        <w:rPr>
          <w:sz w:val="20"/>
        </w:rPr>
        <w:tab/>
      </w:r>
      <w:r w:rsidRPr="000925A8">
        <w:rPr>
          <w:sz w:val="20"/>
        </w:rPr>
        <w:tab/>
      </w:r>
      <w:r w:rsidRPr="000925A8">
        <w:rPr>
          <w:sz w:val="20"/>
        </w:rPr>
        <w:tab/>
        <w:t>Mycket stor</w:t>
      </w:r>
      <w:r w:rsidRPr="000925A8">
        <w:rPr>
          <w:sz w:val="20"/>
        </w:rPr>
        <w:br/>
      </w:r>
    </w:p>
    <w:p w14:paraId="25A417F3" w14:textId="77777777" w:rsidR="00241093" w:rsidRPr="000925A8" w:rsidRDefault="00241093">
      <w:r w:rsidRPr="000925A8">
        <w:rPr>
          <w:b/>
        </w:rPr>
        <w:t>14a)</w:t>
      </w:r>
      <w:r w:rsidRPr="000925A8">
        <w:t xml:space="preserve"> I vilken genomsnittlig omfattning (relativt övriga frågor) diskuteras frågor om mellankommunal samordning vid länsstyrelsens kontakter med kommunerna i </w:t>
      </w:r>
      <w:r w:rsidRPr="000925A8">
        <w:rPr>
          <w:i/>
        </w:rPr>
        <w:t>detaljplaneprocessens programskede</w:t>
      </w:r>
      <w:r w:rsidRPr="000925A8">
        <w:t>? (Ringa in ett värde på skalan)</w:t>
      </w:r>
    </w:p>
    <w:p w14:paraId="23379CCC" w14:textId="77777777" w:rsidR="00241093" w:rsidRPr="000925A8" w:rsidRDefault="00241093">
      <w:pPr>
        <w:pStyle w:val="Brdtextmedindrag"/>
        <w:tabs>
          <w:tab w:val="left" w:pos="540"/>
          <w:tab w:val="left" w:pos="990"/>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2786F795" w14:textId="77777777" w:rsidR="00241093" w:rsidRPr="000925A8" w:rsidRDefault="00241093">
      <w:pPr>
        <w:pStyle w:val="Brdtextmedindrag"/>
        <w:tabs>
          <w:tab w:val="left" w:pos="540"/>
          <w:tab w:val="left" w:pos="990"/>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Mycket liten </w:t>
      </w:r>
      <w:r w:rsidRPr="000925A8">
        <w:rPr>
          <w:sz w:val="20"/>
        </w:rPr>
        <w:tab/>
      </w:r>
      <w:r w:rsidRPr="000925A8">
        <w:rPr>
          <w:sz w:val="20"/>
        </w:rPr>
        <w:tab/>
      </w:r>
      <w:r w:rsidRPr="000925A8">
        <w:rPr>
          <w:sz w:val="20"/>
        </w:rPr>
        <w:tab/>
      </w:r>
      <w:r w:rsidRPr="000925A8">
        <w:rPr>
          <w:sz w:val="20"/>
        </w:rPr>
        <w:tab/>
        <w:t xml:space="preserve">Mycket stor </w:t>
      </w:r>
      <w:r w:rsidRPr="000925A8">
        <w:rPr>
          <w:sz w:val="20"/>
        </w:rPr>
        <w:br/>
        <w:t>o</w:t>
      </w:r>
      <w:r w:rsidRPr="000925A8">
        <w:rPr>
          <w:sz w:val="20"/>
        </w:rPr>
        <w:t>m</w:t>
      </w:r>
      <w:r w:rsidRPr="000925A8">
        <w:rPr>
          <w:sz w:val="20"/>
        </w:rPr>
        <w:t xml:space="preserve">fattning </w:t>
      </w:r>
      <w:r w:rsidRPr="000925A8">
        <w:rPr>
          <w:sz w:val="20"/>
        </w:rPr>
        <w:tab/>
      </w:r>
      <w:r w:rsidRPr="000925A8">
        <w:rPr>
          <w:sz w:val="20"/>
        </w:rPr>
        <w:tab/>
      </w:r>
      <w:r w:rsidRPr="000925A8">
        <w:rPr>
          <w:sz w:val="20"/>
        </w:rPr>
        <w:tab/>
      </w:r>
      <w:r w:rsidRPr="000925A8">
        <w:rPr>
          <w:sz w:val="20"/>
        </w:rPr>
        <w:tab/>
      </w:r>
      <w:r w:rsidRPr="000925A8">
        <w:rPr>
          <w:sz w:val="20"/>
        </w:rPr>
        <w:tab/>
        <w:t>omfattning</w:t>
      </w:r>
    </w:p>
    <w:p w14:paraId="7FD4CED0" w14:textId="77777777" w:rsidR="00241093" w:rsidRPr="000925A8" w:rsidRDefault="00241093">
      <w:r w:rsidRPr="000925A8">
        <w:t>b) Hur stor är variationen i omfattningen som angivits i fråga 14a om man jämför länets komm</w:t>
      </w:r>
      <w:r w:rsidRPr="000925A8">
        <w:t>u</w:t>
      </w:r>
      <w:r w:rsidRPr="000925A8">
        <w:t>ner? Variationen är</w:t>
      </w:r>
    </w:p>
    <w:p w14:paraId="220F10E7" w14:textId="77777777" w:rsidR="00241093" w:rsidRPr="000925A8" w:rsidRDefault="00241093">
      <w:pPr>
        <w:pStyle w:val="Brdtextmedindrag"/>
        <w:tabs>
          <w:tab w:val="left" w:pos="284"/>
          <w:tab w:val="left" w:pos="450"/>
          <w:tab w:val="left" w:pos="990"/>
          <w:tab w:val="left" w:pos="1276"/>
          <w:tab w:val="left" w:pos="1620"/>
          <w:tab w:val="left" w:pos="2340"/>
          <w:tab w:val="left" w:pos="2410"/>
          <w:tab w:val="left" w:pos="3420"/>
          <w:tab w:val="left" w:pos="4253"/>
          <w:tab w:val="left" w:pos="5130"/>
          <w:tab w:val="left" w:pos="5245"/>
          <w:tab w:val="left" w:pos="6521"/>
        </w:tabs>
        <w:spacing w:before="120"/>
        <w:ind w:left="0"/>
        <w:rPr>
          <w:sz w:val="20"/>
        </w:rPr>
      </w:pPr>
    </w:p>
    <w:p w14:paraId="370833D4" w14:textId="77777777" w:rsidR="00241093" w:rsidRPr="000925A8" w:rsidRDefault="00241093">
      <w:pPr>
        <w:pStyle w:val="Brdtextmedindrag"/>
        <w:tabs>
          <w:tab w:val="left" w:pos="540"/>
          <w:tab w:val="left" w:pos="990"/>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50B9118C" w14:textId="77777777" w:rsidR="00241093" w:rsidRPr="000925A8" w:rsidRDefault="00241093">
      <w:pPr>
        <w:pStyle w:val="Brdtextmedindrag"/>
        <w:tabs>
          <w:tab w:val="left" w:pos="540"/>
          <w:tab w:val="left" w:pos="990"/>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Mycket liten </w:t>
      </w:r>
      <w:r w:rsidRPr="000925A8">
        <w:rPr>
          <w:sz w:val="20"/>
        </w:rPr>
        <w:tab/>
      </w:r>
      <w:r w:rsidRPr="000925A8">
        <w:rPr>
          <w:sz w:val="20"/>
        </w:rPr>
        <w:tab/>
      </w:r>
      <w:r w:rsidRPr="000925A8">
        <w:rPr>
          <w:sz w:val="20"/>
        </w:rPr>
        <w:tab/>
      </w:r>
      <w:r w:rsidRPr="000925A8">
        <w:rPr>
          <w:sz w:val="20"/>
        </w:rPr>
        <w:tab/>
        <w:t xml:space="preserve">Mycket stor </w:t>
      </w:r>
    </w:p>
    <w:p w14:paraId="66E31747" w14:textId="77777777" w:rsidR="00241093" w:rsidRPr="000925A8" w:rsidRDefault="00241093">
      <w:pPr>
        <w:pStyle w:val="Brdtextmedindrag"/>
        <w:tabs>
          <w:tab w:val="left" w:pos="284"/>
          <w:tab w:val="left" w:pos="1276"/>
          <w:tab w:val="left" w:pos="2410"/>
          <w:tab w:val="left" w:pos="3402"/>
          <w:tab w:val="left" w:pos="4253"/>
          <w:tab w:val="left" w:pos="5245"/>
          <w:tab w:val="left" w:pos="6521"/>
        </w:tabs>
        <w:spacing w:before="120"/>
        <w:ind w:left="0"/>
        <w:rPr>
          <w:sz w:val="20"/>
        </w:rPr>
      </w:pPr>
    </w:p>
    <w:p w14:paraId="3100DC74" w14:textId="77777777" w:rsidR="00241093" w:rsidRPr="000925A8" w:rsidRDefault="00241093">
      <w:r w:rsidRPr="000925A8">
        <w:rPr>
          <w:b/>
        </w:rPr>
        <w:t>15a)</w:t>
      </w:r>
      <w:r w:rsidRPr="000925A8">
        <w:t xml:space="preserve"> I vilken genomsnittlig omfattning (relativt övriga frågor) diskuteras frågor om mellankommunal samordning vid länsstyrelsens kontakter med kommunerna i </w:t>
      </w:r>
      <w:r w:rsidRPr="000925A8">
        <w:rPr>
          <w:i/>
        </w:rPr>
        <w:t>detaljplaneprocessens samrådsskede</w:t>
      </w:r>
      <w:r w:rsidRPr="000925A8">
        <w:t>? (Ringa in ett värde på skalan)</w:t>
      </w:r>
    </w:p>
    <w:p w14:paraId="091629EE" w14:textId="77777777" w:rsidR="00241093" w:rsidRPr="000925A8" w:rsidRDefault="00241093">
      <w:pPr>
        <w:pStyle w:val="Brdtextmedindrag"/>
        <w:tabs>
          <w:tab w:val="left" w:pos="540"/>
          <w:tab w:val="left" w:pos="990"/>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3253567E" w14:textId="77777777" w:rsidR="00241093" w:rsidRPr="000925A8" w:rsidRDefault="00241093">
      <w:pPr>
        <w:pStyle w:val="Brdtextmedindrag"/>
        <w:tabs>
          <w:tab w:val="left" w:pos="540"/>
          <w:tab w:val="left" w:pos="990"/>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Mycket liten </w:t>
      </w:r>
      <w:r w:rsidRPr="000925A8">
        <w:rPr>
          <w:sz w:val="20"/>
        </w:rPr>
        <w:tab/>
      </w:r>
      <w:r w:rsidRPr="000925A8">
        <w:rPr>
          <w:sz w:val="20"/>
        </w:rPr>
        <w:tab/>
      </w:r>
      <w:r w:rsidRPr="000925A8">
        <w:rPr>
          <w:sz w:val="20"/>
        </w:rPr>
        <w:tab/>
      </w:r>
      <w:r w:rsidRPr="000925A8">
        <w:rPr>
          <w:sz w:val="20"/>
        </w:rPr>
        <w:tab/>
        <w:t>Mycket stor</w:t>
      </w:r>
      <w:r w:rsidRPr="000925A8">
        <w:rPr>
          <w:sz w:val="20"/>
        </w:rPr>
        <w:br/>
        <w:t>o</w:t>
      </w:r>
      <w:r w:rsidRPr="000925A8">
        <w:rPr>
          <w:sz w:val="20"/>
        </w:rPr>
        <w:t>m</w:t>
      </w:r>
      <w:r w:rsidRPr="000925A8">
        <w:rPr>
          <w:sz w:val="20"/>
        </w:rPr>
        <w:t xml:space="preserve">fattning </w:t>
      </w:r>
      <w:r w:rsidRPr="000925A8">
        <w:rPr>
          <w:sz w:val="20"/>
        </w:rPr>
        <w:tab/>
      </w:r>
      <w:r w:rsidRPr="000925A8">
        <w:rPr>
          <w:sz w:val="20"/>
        </w:rPr>
        <w:tab/>
      </w:r>
      <w:r w:rsidRPr="000925A8">
        <w:rPr>
          <w:sz w:val="20"/>
        </w:rPr>
        <w:tab/>
      </w:r>
      <w:r w:rsidRPr="000925A8">
        <w:rPr>
          <w:sz w:val="20"/>
        </w:rPr>
        <w:tab/>
      </w:r>
      <w:r w:rsidRPr="000925A8">
        <w:rPr>
          <w:sz w:val="20"/>
        </w:rPr>
        <w:tab/>
        <w:t>omfattning</w:t>
      </w:r>
    </w:p>
    <w:p w14:paraId="422A011B" w14:textId="77777777" w:rsidR="00241093" w:rsidRPr="000925A8" w:rsidRDefault="00241093">
      <w:r w:rsidRPr="000925A8">
        <w:t>b) Hur stor är variationen i omfattningen som angivits i fråga 15a om man jämför länets komm</w:t>
      </w:r>
      <w:r w:rsidRPr="000925A8">
        <w:t>u</w:t>
      </w:r>
      <w:r w:rsidRPr="000925A8">
        <w:t>ner? Variationen är</w:t>
      </w:r>
    </w:p>
    <w:p w14:paraId="607940C6" w14:textId="77777777" w:rsidR="00241093" w:rsidRPr="000925A8" w:rsidRDefault="00241093">
      <w:pPr>
        <w:pStyle w:val="Brdtextmedindrag"/>
        <w:tabs>
          <w:tab w:val="left" w:pos="540"/>
          <w:tab w:val="left" w:pos="990"/>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26B6CF36"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Mycket liten </w:t>
      </w:r>
      <w:r w:rsidRPr="000925A8">
        <w:rPr>
          <w:sz w:val="20"/>
        </w:rPr>
        <w:tab/>
      </w:r>
      <w:r w:rsidRPr="000925A8">
        <w:rPr>
          <w:sz w:val="20"/>
        </w:rPr>
        <w:tab/>
      </w:r>
      <w:r w:rsidRPr="000925A8">
        <w:rPr>
          <w:sz w:val="20"/>
        </w:rPr>
        <w:tab/>
      </w:r>
      <w:r w:rsidRPr="000925A8">
        <w:rPr>
          <w:sz w:val="20"/>
        </w:rPr>
        <w:tab/>
        <w:t xml:space="preserve">Mycket stor </w:t>
      </w:r>
    </w:p>
    <w:p w14:paraId="4E3817F1"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 </w:t>
      </w:r>
    </w:p>
    <w:p w14:paraId="58FB63C6" w14:textId="77777777" w:rsidR="00241093" w:rsidRPr="000925A8" w:rsidRDefault="00241093">
      <w:r w:rsidRPr="000925A8">
        <w:rPr>
          <w:b/>
        </w:rPr>
        <w:t>16</w:t>
      </w:r>
      <w:r w:rsidRPr="000925A8">
        <w:t xml:space="preserve"> Ta ställning till följande påståenden genom att ringa in ett värde på r</w:t>
      </w:r>
      <w:r w:rsidRPr="000925A8">
        <w:t>e</w:t>
      </w:r>
      <w:r w:rsidRPr="000925A8">
        <w:t>spektive skala:</w:t>
      </w:r>
    </w:p>
    <w:p w14:paraId="3F2F79FF" w14:textId="77777777" w:rsidR="00241093" w:rsidRPr="000925A8" w:rsidRDefault="00241093">
      <w:pPr>
        <w:rPr>
          <w:i/>
        </w:rPr>
      </w:pPr>
      <w:r w:rsidRPr="000925A8">
        <w:rPr>
          <w:i/>
        </w:rPr>
        <w:t>a) Kommunerna hanterar huvudsakligen den mellankommunala samordnin</w:t>
      </w:r>
      <w:r w:rsidRPr="000925A8">
        <w:rPr>
          <w:i/>
        </w:rPr>
        <w:t>g</w:t>
      </w:r>
      <w:r w:rsidRPr="000925A8">
        <w:rPr>
          <w:i/>
        </w:rPr>
        <w:t>en utan län</w:t>
      </w:r>
      <w:r w:rsidRPr="000925A8">
        <w:rPr>
          <w:i/>
        </w:rPr>
        <w:t>s</w:t>
      </w:r>
      <w:r w:rsidRPr="000925A8">
        <w:rPr>
          <w:i/>
        </w:rPr>
        <w:t>styrelsens direkta medverkan</w:t>
      </w:r>
    </w:p>
    <w:p w14:paraId="1B680807"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w:t>
      </w:r>
      <w:r w:rsidRPr="000925A8">
        <w:rPr>
          <w:sz w:val="20"/>
        </w:rPr>
        <w:t>g</w:t>
      </w:r>
    </w:p>
    <w:p w14:paraId="0108A699"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Instämmer </w:t>
      </w:r>
      <w:r w:rsidRPr="000925A8">
        <w:rPr>
          <w:sz w:val="20"/>
        </w:rPr>
        <w:tab/>
      </w:r>
      <w:r w:rsidRPr="000925A8">
        <w:rPr>
          <w:sz w:val="20"/>
        </w:rPr>
        <w:tab/>
      </w:r>
      <w:r w:rsidRPr="000925A8">
        <w:rPr>
          <w:sz w:val="20"/>
        </w:rPr>
        <w:tab/>
      </w:r>
      <w:r w:rsidRPr="000925A8">
        <w:rPr>
          <w:sz w:val="20"/>
        </w:rPr>
        <w:tab/>
      </w:r>
      <w:r w:rsidRPr="000925A8">
        <w:rPr>
          <w:sz w:val="20"/>
        </w:rPr>
        <w:tab/>
        <w:t xml:space="preserve">Instämmer </w:t>
      </w:r>
      <w:r w:rsidRPr="000925A8">
        <w:rPr>
          <w:sz w:val="20"/>
        </w:rPr>
        <w:br/>
        <w:t xml:space="preserve">inte alls </w:t>
      </w:r>
      <w:r w:rsidRPr="000925A8">
        <w:rPr>
          <w:sz w:val="20"/>
        </w:rPr>
        <w:tab/>
      </w:r>
      <w:r w:rsidRPr="000925A8">
        <w:rPr>
          <w:sz w:val="20"/>
        </w:rPr>
        <w:tab/>
      </w:r>
      <w:r w:rsidRPr="000925A8">
        <w:rPr>
          <w:sz w:val="20"/>
        </w:rPr>
        <w:tab/>
      </w:r>
      <w:r w:rsidRPr="000925A8">
        <w:rPr>
          <w:sz w:val="20"/>
        </w:rPr>
        <w:tab/>
      </w:r>
      <w:r w:rsidRPr="000925A8">
        <w:rPr>
          <w:sz w:val="20"/>
        </w:rPr>
        <w:tab/>
        <w:t>helt</w:t>
      </w:r>
      <w:r w:rsidRPr="000925A8">
        <w:rPr>
          <w:sz w:val="20"/>
        </w:rPr>
        <w:tab/>
      </w:r>
      <w:r w:rsidRPr="000925A8">
        <w:rPr>
          <w:sz w:val="20"/>
        </w:rPr>
        <w:tab/>
        <w:t xml:space="preserve"> </w:t>
      </w:r>
    </w:p>
    <w:p w14:paraId="43EBFBF2" w14:textId="77777777" w:rsidR="00241093" w:rsidRPr="000925A8" w:rsidRDefault="00241093">
      <w:pPr>
        <w:rPr>
          <w:i/>
        </w:rPr>
      </w:pPr>
      <w:r w:rsidRPr="000925A8">
        <w:rPr>
          <w:i/>
        </w:rPr>
        <w:t>b) Länsstyrelsens roll i samband med mellankommunala planfrågor är främst att fungera som en medlare då kommuner inte kan komma överens</w:t>
      </w:r>
    </w:p>
    <w:p w14:paraId="4F2D4DE1"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w:t>
      </w:r>
      <w:r w:rsidRPr="000925A8">
        <w:rPr>
          <w:sz w:val="20"/>
        </w:rPr>
        <w:t>g</w:t>
      </w:r>
    </w:p>
    <w:p w14:paraId="18118350"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Instämmer </w:t>
      </w:r>
      <w:r w:rsidRPr="000925A8">
        <w:rPr>
          <w:sz w:val="20"/>
        </w:rPr>
        <w:tab/>
      </w:r>
      <w:r w:rsidRPr="000925A8">
        <w:rPr>
          <w:sz w:val="20"/>
        </w:rPr>
        <w:tab/>
      </w:r>
      <w:r w:rsidRPr="000925A8">
        <w:rPr>
          <w:sz w:val="20"/>
        </w:rPr>
        <w:tab/>
      </w:r>
      <w:r w:rsidRPr="000925A8">
        <w:rPr>
          <w:sz w:val="20"/>
        </w:rPr>
        <w:tab/>
      </w:r>
      <w:r w:rsidRPr="000925A8">
        <w:rPr>
          <w:sz w:val="20"/>
        </w:rPr>
        <w:tab/>
        <w:t>Instämmer</w:t>
      </w:r>
      <w:r w:rsidRPr="000925A8">
        <w:rPr>
          <w:sz w:val="20"/>
        </w:rPr>
        <w:br/>
        <w:t xml:space="preserve">inte alls </w:t>
      </w:r>
      <w:r w:rsidRPr="000925A8">
        <w:rPr>
          <w:sz w:val="20"/>
        </w:rPr>
        <w:tab/>
      </w:r>
      <w:r w:rsidRPr="000925A8">
        <w:rPr>
          <w:sz w:val="20"/>
        </w:rPr>
        <w:tab/>
      </w:r>
      <w:r w:rsidRPr="000925A8">
        <w:rPr>
          <w:sz w:val="20"/>
        </w:rPr>
        <w:tab/>
      </w:r>
      <w:r w:rsidRPr="000925A8">
        <w:rPr>
          <w:sz w:val="20"/>
        </w:rPr>
        <w:tab/>
      </w:r>
      <w:r w:rsidRPr="000925A8">
        <w:rPr>
          <w:sz w:val="20"/>
        </w:rPr>
        <w:tab/>
        <w:t>helt</w:t>
      </w:r>
      <w:r w:rsidRPr="000925A8">
        <w:rPr>
          <w:sz w:val="20"/>
        </w:rPr>
        <w:tab/>
      </w:r>
      <w:r w:rsidRPr="000925A8">
        <w:rPr>
          <w:sz w:val="20"/>
        </w:rPr>
        <w:tab/>
        <w:t xml:space="preserve"> </w:t>
      </w:r>
    </w:p>
    <w:p w14:paraId="72E74DFB"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i/>
        </w:rPr>
      </w:pPr>
      <w:r w:rsidRPr="000925A8">
        <w:rPr>
          <w:sz w:val="20"/>
        </w:rPr>
        <w:t>c) Länsstyrelsens roll i samband med mellankommunala planfrågor är främst</w:t>
      </w:r>
      <w:r w:rsidRPr="000925A8">
        <w:rPr>
          <w:i/>
        </w:rPr>
        <w:t xml:space="preserve"> att tillhandahålla kunskap om vilka frågor som kräver mellankommunal sa</w:t>
      </w:r>
      <w:r w:rsidRPr="000925A8">
        <w:rPr>
          <w:i/>
        </w:rPr>
        <w:t>m</w:t>
      </w:r>
      <w:r w:rsidRPr="000925A8">
        <w:rPr>
          <w:i/>
        </w:rPr>
        <w:t>ordning</w:t>
      </w:r>
    </w:p>
    <w:p w14:paraId="2EA77FAF"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w:t>
      </w:r>
      <w:r w:rsidRPr="000925A8">
        <w:rPr>
          <w:sz w:val="20"/>
        </w:rPr>
        <w:t>g</w:t>
      </w:r>
    </w:p>
    <w:p w14:paraId="6ADA2CD2"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Instämmer </w:t>
      </w:r>
      <w:r w:rsidRPr="000925A8">
        <w:rPr>
          <w:sz w:val="20"/>
        </w:rPr>
        <w:tab/>
      </w:r>
      <w:r w:rsidRPr="000925A8">
        <w:rPr>
          <w:sz w:val="20"/>
        </w:rPr>
        <w:tab/>
      </w:r>
      <w:r w:rsidRPr="000925A8">
        <w:rPr>
          <w:sz w:val="20"/>
        </w:rPr>
        <w:tab/>
      </w:r>
      <w:r w:rsidRPr="000925A8">
        <w:rPr>
          <w:sz w:val="20"/>
        </w:rPr>
        <w:tab/>
      </w:r>
      <w:r w:rsidRPr="000925A8">
        <w:rPr>
          <w:sz w:val="20"/>
        </w:rPr>
        <w:tab/>
        <w:t>Instämmer</w:t>
      </w:r>
      <w:r w:rsidRPr="000925A8">
        <w:rPr>
          <w:sz w:val="20"/>
        </w:rPr>
        <w:br/>
        <w:t xml:space="preserve">inte alls </w:t>
      </w:r>
      <w:r w:rsidRPr="000925A8">
        <w:rPr>
          <w:sz w:val="20"/>
        </w:rPr>
        <w:tab/>
      </w:r>
      <w:r w:rsidRPr="000925A8">
        <w:rPr>
          <w:sz w:val="20"/>
        </w:rPr>
        <w:tab/>
      </w:r>
      <w:r w:rsidRPr="000925A8">
        <w:rPr>
          <w:sz w:val="20"/>
        </w:rPr>
        <w:tab/>
      </w:r>
      <w:r w:rsidRPr="000925A8">
        <w:rPr>
          <w:sz w:val="20"/>
        </w:rPr>
        <w:tab/>
      </w:r>
      <w:r w:rsidRPr="000925A8">
        <w:rPr>
          <w:sz w:val="20"/>
        </w:rPr>
        <w:tab/>
        <w:t>helt</w:t>
      </w:r>
      <w:r w:rsidRPr="000925A8">
        <w:rPr>
          <w:sz w:val="20"/>
        </w:rPr>
        <w:tab/>
      </w:r>
      <w:r w:rsidRPr="000925A8">
        <w:rPr>
          <w:sz w:val="20"/>
        </w:rPr>
        <w:tab/>
      </w:r>
    </w:p>
    <w:p w14:paraId="4EF662BC" w14:textId="77777777" w:rsidR="00241093" w:rsidRPr="000925A8" w:rsidRDefault="00241093">
      <w:pPr>
        <w:rPr>
          <w:i/>
        </w:rPr>
      </w:pPr>
      <w:r w:rsidRPr="000925A8">
        <w:rPr>
          <w:i/>
        </w:rPr>
        <w:t>d) När kommuner är överens i en mellankommunal planfråga anser länsst</w:t>
      </w:r>
      <w:r w:rsidRPr="000925A8">
        <w:rPr>
          <w:i/>
        </w:rPr>
        <w:t>y</w:t>
      </w:r>
      <w:r w:rsidRPr="000925A8">
        <w:rPr>
          <w:i/>
        </w:rPr>
        <w:t>relsen inte att det finns rättslig grund för att pröva planen eller områdesb</w:t>
      </w:r>
      <w:r w:rsidRPr="000925A8">
        <w:rPr>
          <w:i/>
        </w:rPr>
        <w:t>e</w:t>
      </w:r>
      <w:r w:rsidRPr="000925A8">
        <w:rPr>
          <w:i/>
        </w:rPr>
        <w:t xml:space="preserve">stämmelserna enligt 12 kap. 1 § 2 p PBL </w:t>
      </w:r>
    </w:p>
    <w:p w14:paraId="5D36963E"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w:t>
      </w:r>
      <w:r w:rsidRPr="000925A8">
        <w:rPr>
          <w:sz w:val="20"/>
        </w:rPr>
        <w:t>g</w:t>
      </w:r>
    </w:p>
    <w:p w14:paraId="122EC176"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Instämmer </w:t>
      </w:r>
      <w:r w:rsidRPr="000925A8">
        <w:rPr>
          <w:sz w:val="20"/>
        </w:rPr>
        <w:tab/>
      </w:r>
      <w:r w:rsidRPr="000925A8">
        <w:rPr>
          <w:sz w:val="20"/>
        </w:rPr>
        <w:tab/>
      </w:r>
      <w:r w:rsidRPr="000925A8">
        <w:rPr>
          <w:sz w:val="20"/>
        </w:rPr>
        <w:tab/>
      </w:r>
      <w:r w:rsidRPr="000925A8">
        <w:rPr>
          <w:sz w:val="20"/>
        </w:rPr>
        <w:tab/>
      </w:r>
      <w:r w:rsidRPr="000925A8">
        <w:rPr>
          <w:sz w:val="20"/>
        </w:rPr>
        <w:tab/>
        <w:t>Instämmer</w:t>
      </w:r>
      <w:r w:rsidRPr="000925A8">
        <w:rPr>
          <w:sz w:val="20"/>
        </w:rPr>
        <w:br/>
        <w:t xml:space="preserve">inte alls </w:t>
      </w:r>
      <w:r w:rsidRPr="000925A8">
        <w:rPr>
          <w:sz w:val="20"/>
        </w:rPr>
        <w:tab/>
      </w:r>
      <w:r w:rsidRPr="000925A8">
        <w:rPr>
          <w:sz w:val="20"/>
        </w:rPr>
        <w:tab/>
      </w:r>
      <w:r w:rsidRPr="000925A8">
        <w:rPr>
          <w:sz w:val="20"/>
        </w:rPr>
        <w:tab/>
      </w:r>
      <w:r w:rsidRPr="000925A8">
        <w:rPr>
          <w:sz w:val="20"/>
        </w:rPr>
        <w:tab/>
      </w:r>
      <w:r w:rsidRPr="000925A8">
        <w:rPr>
          <w:sz w:val="20"/>
        </w:rPr>
        <w:tab/>
        <w:t>helt</w:t>
      </w:r>
    </w:p>
    <w:p w14:paraId="26C085CA" w14:textId="77777777" w:rsidR="00241093" w:rsidRPr="000925A8" w:rsidRDefault="00241093">
      <w:r w:rsidRPr="000925A8">
        <w:rPr>
          <w:b/>
        </w:rPr>
        <w:t>17</w:t>
      </w:r>
      <w:r w:rsidRPr="000925A8">
        <w:t xml:space="preserve"> Vilka är länsstyrelsens främsta metoder för att verka för en lämplig me</w:t>
      </w:r>
      <w:r w:rsidRPr="000925A8">
        <w:t>l</w:t>
      </w:r>
      <w:r w:rsidRPr="000925A8">
        <w:t>lankommunal sa</w:t>
      </w:r>
      <w:r w:rsidRPr="000925A8">
        <w:t>m</w:t>
      </w:r>
      <w:r w:rsidRPr="000925A8">
        <w:t>ordning inom PBL-området?</w:t>
      </w:r>
    </w:p>
    <w:p w14:paraId="42D95985" w14:textId="77777777" w:rsidR="00241093" w:rsidRPr="000925A8" w:rsidRDefault="00241093">
      <w:r w:rsidRPr="000925A8">
        <w:rPr>
          <w:b/>
        </w:rPr>
        <w:t xml:space="preserve">18 </w:t>
      </w:r>
      <w:r w:rsidRPr="000925A8">
        <w:t>I vilken typ av planfrågor som förekommer i det egna länet anser länsst</w:t>
      </w:r>
      <w:r w:rsidRPr="000925A8">
        <w:t>y</w:t>
      </w:r>
      <w:r w:rsidRPr="000925A8">
        <w:t>relsen att den me</w:t>
      </w:r>
      <w:r w:rsidRPr="000925A8">
        <w:t>l</w:t>
      </w:r>
      <w:r w:rsidRPr="000925A8">
        <w:t>lankommunala samordningen fungerar mindre bra?</w:t>
      </w:r>
    </w:p>
    <w:p w14:paraId="274C1391" w14:textId="77777777" w:rsidR="00241093" w:rsidRPr="000925A8" w:rsidRDefault="00241093">
      <w:r w:rsidRPr="000925A8">
        <w:rPr>
          <w:b/>
        </w:rPr>
        <w:t>19</w:t>
      </w:r>
      <w:r w:rsidRPr="000925A8">
        <w:t xml:space="preserve"> Vilka problem upplever länsstyrelsen i arbetet med mellankommunala planfrågor? b) Ser länsstyrelsen några lösningar på dessa problem? Vilka är dessa lösningar?</w:t>
      </w:r>
    </w:p>
    <w:p w14:paraId="2C9769C2" w14:textId="77777777" w:rsidR="00241093" w:rsidRPr="000925A8" w:rsidRDefault="00241093">
      <w:pPr>
        <w:jc w:val="left"/>
      </w:pPr>
      <w:r w:rsidRPr="000925A8">
        <w:rPr>
          <w:b/>
        </w:rPr>
        <w:t>20</w:t>
      </w:r>
      <w:r w:rsidRPr="000925A8">
        <w:t xml:space="preserve"> Övriga kommentarer</w:t>
      </w:r>
    </w:p>
    <w:p w14:paraId="47C10746" w14:textId="77777777" w:rsidR="00241093" w:rsidRPr="000925A8" w:rsidRDefault="00241093">
      <w:pPr>
        <w:pStyle w:val="Normaltindrag"/>
      </w:pPr>
    </w:p>
    <w:p w14:paraId="5340F36D" w14:textId="77777777" w:rsidR="00241093" w:rsidRPr="000925A8" w:rsidRDefault="00241093">
      <w:pPr>
        <w:pStyle w:val="R2"/>
        <w:spacing w:before="0"/>
      </w:pPr>
      <w:r w:rsidRPr="000925A8">
        <w:br w:type="page"/>
        <w:t>Enkät till kommuner om länsstyrelsens arbete med mellankommunal samordning inom PBL-området</w:t>
      </w:r>
    </w:p>
    <w:p w14:paraId="7DC7851F" w14:textId="77777777" w:rsidR="00241093" w:rsidRPr="000925A8" w:rsidRDefault="00241093">
      <w:pPr>
        <w:ind w:left="-851" w:right="-285"/>
        <w:rPr>
          <w:sz w:val="20"/>
        </w:rPr>
      </w:pPr>
    </w:p>
    <w:p w14:paraId="6A4ADF02" w14:textId="77777777" w:rsidR="00241093" w:rsidRPr="000925A8" w:rsidRDefault="00241093">
      <w:pPr>
        <w:spacing w:before="0"/>
        <w:rPr>
          <w:i/>
        </w:rPr>
      </w:pPr>
      <w:r w:rsidRPr="000925A8">
        <w:rPr>
          <w:i/>
        </w:rPr>
        <w:t>Av plan- och bygglagen (PBL) framgår att kommuner vid planläggning ska ta hänsyn till förhållanden i angränsande kommuner (2 kap. 2 § PBL). Länsst</w:t>
      </w:r>
      <w:r w:rsidRPr="000925A8">
        <w:rPr>
          <w:i/>
        </w:rPr>
        <w:t>y</w:t>
      </w:r>
      <w:r w:rsidRPr="000925A8">
        <w:rPr>
          <w:i/>
        </w:rPr>
        <w:t>relsen ska under planeringsprocessernas samrådsskeden verka för en lämplig kommunal samordning och kan pröva planbeslut som inte tillgodoser kraven på mellankommunal samordning (12 kap. 1 § 2 p PBL).</w:t>
      </w:r>
    </w:p>
    <w:p w14:paraId="555A4D88" w14:textId="77777777" w:rsidR="00241093" w:rsidRPr="000925A8" w:rsidRDefault="00241093">
      <w:pPr>
        <w:ind w:right="-285"/>
        <w:rPr>
          <w:b/>
        </w:rPr>
      </w:pPr>
    </w:p>
    <w:p w14:paraId="045D3346" w14:textId="77777777" w:rsidR="00241093" w:rsidRPr="000925A8" w:rsidRDefault="00241093">
      <w:pPr>
        <w:ind w:right="-285"/>
        <w:rPr>
          <w:sz w:val="20"/>
        </w:rPr>
      </w:pPr>
      <w:r w:rsidRPr="000925A8">
        <w:rPr>
          <w:b/>
        </w:rPr>
        <w:t>1</w:t>
      </w:r>
      <w:r w:rsidRPr="000925A8">
        <w:rPr>
          <w:sz w:val="20"/>
        </w:rPr>
        <w:t xml:space="preserve"> Hur upplever kommunen länsstyrelsens arbete för att främja en lämplig kommunal samordning i den kommunala </w:t>
      </w:r>
      <w:r w:rsidRPr="000925A8">
        <w:rPr>
          <w:i/>
          <w:sz w:val="20"/>
        </w:rPr>
        <w:t>översiktplaneprocessen</w:t>
      </w:r>
      <w:r w:rsidRPr="000925A8">
        <w:rPr>
          <w:sz w:val="20"/>
        </w:rPr>
        <w:t>? Ringa in det värde på respektive skala som bäst motsvarar kommunens uppfattning.</w:t>
      </w:r>
    </w:p>
    <w:p w14:paraId="0684C83E" w14:textId="77777777" w:rsidR="00241093" w:rsidRPr="000925A8" w:rsidRDefault="00241093">
      <w:pPr>
        <w:ind w:right="-285"/>
        <w:rPr>
          <w:b/>
          <w:i/>
          <w:sz w:val="20"/>
        </w:rPr>
      </w:pPr>
      <w:r w:rsidRPr="000925A8">
        <w:rPr>
          <w:b/>
          <w:i/>
          <w:sz w:val="20"/>
        </w:rPr>
        <w:t>a) Betydelse</w:t>
      </w:r>
    </w:p>
    <w:p w14:paraId="2F02B4C3"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w:t>
      </w:r>
      <w:r w:rsidRPr="000925A8">
        <w:rPr>
          <w:sz w:val="20"/>
        </w:rPr>
        <w:t>p</w:t>
      </w:r>
      <w:r w:rsidRPr="000925A8">
        <w:rPr>
          <w:sz w:val="20"/>
        </w:rPr>
        <w:t>fattning</w:t>
      </w:r>
    </w:p>
    <w:p w14:paraId="15DD6633"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Inte alls </w:t>
      </w:r>
      <w:r w:rsidRPr="000925A8">
        <w:rPr>
          <w:sz w:val="20"/>
        </w:rPr>
        <w:tab/>
      </w:r>
      <w:r w:rsidRPr="000925A8">
        <w:rPr>
          <w:sz w:val="20"/>
        </w:rPr>
        <w:tab/>
      </w:r>
      <w:r w:rsidRPr="000925A8">
        <w:rPr>
          <w:sz w:val="20"/>
        </w:rPr>
        <w:tab/>
      </w:r>
      <w:r w:rsidRPr="000925A8">
        <w:rPr>
          <w:sz w:val="20"/>
        </w:rPr>
        <w:tab/>
      </w:r>
      <w:r w:rsidRPr="000925A8">
        <w:rPr>
          <w:sz w:val="20"/>
        </w:rPr>
        <w:tab/>
        <w:t xml:space="preserve">Mycket </w:t>
      </w:r>
      <w:r w:rsidRPr="000925A8">
        <w:rPr>
          <w:sz w:val="20"/>
        </w:rPr>
        <w:br/>
        <w:t>viktigt</w:t>
      </w:r>
      <w:r w:rsidRPr="000925A8">
        <w:rPr>
          <w:sz w:val="20"/>
        </w:rPr>
        <w:tab/>
      </w:r>
      <w:r w:rsidRPr="000925A8">
        <w:rPr>
          <w:sz w:val="20"/>
        </w:rPr>
        <w:tab/>
      </w:r>
      <w:r w:rsidRPr="000925A8">
        <w:rPr>
          <w:sz w:val="20"/>
        </w:rPr>
        <w:tab/>
      </w:r>
      <w:r w:rsidRPr="000925A8">
        <w:rPr>
          <w:sz w:val="20"/>
        </w:rPr>
        <w:tab/>
      </w:r>
      <w:r w:rsidRPr="000925A8">
        <w:rPr>
          <w:sz w:val="20"/>
        </w:rPr>
        <w:tab/>
      </w:r>
      <w:r w:rsidRPr="000925A8">
        <w:rPr>
          <w:sz w:val="20"/>
        </w:rPr>
        <w:tab/>
        <w:t>viktigt</w:t>
      </w:r>
    </w:p>
    <w:p w14:paraId="69A65F55" w14:textId="77777777" w:rsidR="00241093" w:rsidRPr="000925A8" w:rsidRDefault="00241093">
      <w:pPr>
        <w:rPr>
          <w:b/>
          <w:i/>
          <w:sz w:val="20"/>
        </w:rPr>
      </w:pPr>
      <w:r w:rsidRPr="000925A8">
        <w:rPr>
          <w:b/>
          <w:i/>
          <w:sz w:val="20"/>
        </w:rPr>
        <w:t>b) Omfattning</w:t>
      </w:r>
    </w:p>
    <w:p w14:paraId="2EA4318C"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6C0D9063"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Inte alls</w:t>
      </w:r>
      <w:r w:rsidRPr="000925A8">
        <w:rPr>
          <w:sz w:val="20"/>
        </w:rPr>
        <w:tab/>
      </w:r>
      <w:r w:rsidRPr="000925A8">
        <w:rPr>
          <w:sz w:val="20"/>
        </w:rPr>
        <w:tab/>
      </w:r>
      <w:r w:rsidRPr="000925A8">
        <w:rPr>
          <w:sz w:val="20"/>
        </w:rPr>
        <w:tab/>
      </w:r>
      <w:r w:rsidRPr="000925A8">
        <w:rPr>
          <w:sz w:val="20"/>
        </w:rPr>
        <w:tab/>
        <w:t xml:space="preserve"> </w:t>
      </w:r>
      <w:r w:rsidRPr="000925A8">
        <w:rPr>
          <w:sz w:val="20"/>
        </w:rPr>
        <w:tab/>
        <w:t>Mycket</w:t>
      </w:r>
      <w:r w:rsidRPr="000925A8">
        <w:rPr>
          <w:sz w:val="20"/>
        </w:rPr>
        <w:br/>
        <w:t>omfa</w:t>
      </w:r>
      <w:r w:rsidRPr="000925A8">
        <w:rPr>
          <w:sz w:val="20"/>
        </w:rPr>
        <w:t>t</w:t>
      </w:r>
      <w:r w:rsidRPr="000925A8">
        <w:rPr>
          <w:sz w:val="20"/>
        </w:rPr>
        <w:t>tande</w:t>
      </w:r>
      <w:r w:rsidRPr="000925A8">
        <w:rPr>
          <w:sz w:val="20"/>
        </w:rPr>
        <w:tab/>
      </w:r>
      <w:r w:rsidRPr="000925A8">
        <w:rPr>
          <w:sz w:val="20"/>
        </w:rPr>
        <w:tab/>
      </w:r>
      <w:r w:rsidRPr="000925A8">
        <w:rPr>
          <w:sz w:val="20"/>
        </w:rPr>
        <w:tab/>
      </w:r>
      <w:r w:rsidRPr="000925A8">
        <w:rPr>
          <w:sz w:val="20"/>
        </w:rPr>
        <w:tab/>
      </w:r>
      <w:r w:rsidRPr="000925A8">
        <w:rPr>
          <w:sz w:val="20"/>
        </w:rPr>
        <w:tab/>
        <w:t>omfattande</w:t>
      </w:r>
    </w:p>
    <w:p w14:paraId="5F691F92" w14:textId="77777777" w:rsidR="00241093" w:rsidRPr="000925A8" w:rsidRDefault="00241093">
      <w:pPr>
        <w:ind w:right="-285"/>
        <w:rPr>
          <w:b/>
          <w:i/>
          <w:sz w:val="20"/>
        </w:rPr>
      </w:pPr>
      <w:r w:rsidRPr="000925A8">
        <w:rPr>
          <w:b/>
          <w:i/>
          <w:sz w:val="20"/>
        </w:rPr>
        <w:t>c) Tillräckligt</w:t>
      </w:r>
    </w:p>
    <w:p w14:paraId="5EED1CBF"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4974BD21"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Inte alls</w:t>
      </w:r>
      <w:r w:rsidRPr="000925A8">
        <w:rPr>
          <w:sz w:val="20"/>
        </w:rPr>
        <w:tab/>
      </w:r>
      <w:r w:rsidRPr="000925A8">
        <w:rPr>
          <w:sz w:val="20"/>
        </w:rPr>
        <w:tab/>
      </w:r>
      <w:r w:rsidRPr="000925A8">
        <w:rPr>
          <w:sz w:val="20"/>
        </w:rPr>
        <w:tab/>
      </w:r>
      <w:r w:rsidRPr="000925A8">
        <w:rPr>
          <w:sz w:val="20"/>
        </w:rPr>
        <w:tab/>
      </w:r>
      <w:r w:rsidRPr="000925A8">
        <w:rPr>
          <w:sz w:val="20"/>
        </w:rPr>
        <w:tab/>
        <w:t xml:space="preserve">Fullt </w:t>
      </w:r>
      <w:r w:rsidRPr="000925A8">
        <w:rPr>
          <w:sz w:val="20"/>
        </w:rPr>
        <w:br/>
        <w:t xml:space="preserve">tillräckligt </w:t>
      </w:r>
      <w:r w:rsidRPr="000925A8">
        <w:rPr>
          <w:sz w:val="20"/>
        </w:rPr>
        <w:tab/>
      </w:r>
      <w:r w:rsidRPr="000925A8">
        <w:rPr>
          <w:sz w:val="20"/>
        </w:rPr>
        <w:tab/>
      </w:r>
      <w:r w:rsidRPr="000925A8">
        <w:rPr>
          <w:sz w:val="20"/>
        </w:rPr>
        <w:tab/>
      </w:r>
      <w:r w:rsidRPr="000925A8">
        <w:rPr>
          <w:sz w:val="20"/>
        </w:rPr>
        <w:tab/>
      </w:r>
      <w:r w:rsidRPr="000925A8">
        <w:rPr>
          <w:sz w:val="20"/>
        </w:rPr>
        <w:tab/>
        <w:t>tillräckligt</w:t>
      </w:r>
    </w:p>
    <w:p w14:paraId="1E886A7D" w14:textId="77777777" w:rsidR="00241093" w:rsidRPr="000925A8" w:rsidRDefault="00241093">
      <w:pPr>
        <w:ind w:right="-285"/>
        <w:rPr>
          <w:b/>
          <w:i/>
          <w:sz w:val="20"/>
        </w:rPr>
      </w:pPr>
      <w:r w:rsidRPr="000925A8">
        <w:rPr>
          <w:b/>
          <w:i/>
          <w:sz w:val="20"/>
        </w:rPr>
        <w:t>d) Relevans</w:t>
      </w:r>
    </w:p>
    <w:p w14:paraId="726A0C88"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696FB66A"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Inte alls </w:t>
      </w:r>
      <w:r w:rsidRPr="000925A8">
        <w:rPr>
          <w:sz w:val="20"/>
        </w:rPr>
        <w:tab/>
      </w:r>
      <w:r w:rsidRPr="000925A8">
        <w:rPr>
          <w:sz w:val="20"/>
        </w:rPr>
        <w:tab/>
      </w:r>
      <w:r w:rsidRPr="000925A8">
        <w:rPr>
          <w:sz w:val="20"/>
        </w:rPr>
        <w:tab/>
      </w:r>
      <w:r w:rsidRPr="000925A8">
        <w:rPr>
          <w:sz w:val="20"/>
        </w:rPr>
        <w:tab/>
      </w:r>
      <w:r w:rsidRPr="000925A8">
        <w:rPr>
          <w:sz w:val="20"/>
        </w:rPr>
        <w:tab/>
        <w:t>Mycket</w:t>
      </w:r>
      <w:r w:rsidRPr="000925A8">
        <w:rPr>
          <w:sz w:val="20"/>
        </w:rPr>
        <w:br/>
        <w:t xml:space="preserve">relevant för </w:t>
      </w:r>
      <w:r w:rsidRPr="000925A8">
        <w:rPr>
          <w:sz w:val="20"/>
        </w:rPr>
        <w:tab/>
      </w:r>
      <w:r w:rsidRPr="000925A8">
        <w:rPr>
          <w:sz w:val="20"/>
        </w:rPr>
        <w:tab/>
      </w:r>
      <w:r w:rsidRPr="000925A8">
        <w:rPr>
          <w:sz w:val="20"/>
        </w:rPr>
        <w:tab/>
      </w:r>
      <w:r w:rsidRPr="000925A8">
        <w:rPr>
          <w:sz w:val="20"/>
        </w:rPr>
        <w:tab/>
      </w:r>
      <w:r w:rsidRPr="000925A8">
        <w:rPr>
          <w:sz w:val="20"/>
        </w:rPr>
        <w:tab/>
        <w:t>relevant för</w:t>
      </w:r>
      <w:r w:rsidRPr="000925A8">
        <w:rPr>
          <w:sz w:val="20"/>
        </w:rPr>
        <w:br/>
        <w:t xml:space="preserve">planeringsfrågorna </w:t>
      </w:r>
      <w:r w:rsidRPr="000925A8">
        <w:rPr>
          <w:sz w:val="20"/>
        </w:rPr>
        <w:tab/>
      </w:r>
      <w:r w:rsidRPr="000925A8">
        <w:rPr>
          <w:sz w:val="20"/>
        </w:rPr>
        <w:tab/>
      </w:r>
      <w:r w:rsidRPr="000925A8">
        <w:rPr>
          <w:sz w:val="20"/>
        </w:rPr>
        <w:tab/>
        <w:t>planeringsfrågorn</w:t>
      </w:r>
      <w:r w:rsidRPr="000925A8">
        <w:rPr>
          <w:sz w:val="20"/>
        </w:rPr>
        <w:br/>
        <w:t xml:space="preserve">i vår kommun </w:t>
      </w:r>
      <w:r w:rsidRPr="000925A8">
        <w:rPr>
          <w:sz w:val="20"/>
        </w:rPr>
        <w:tab/>
      </w:r>
      <w:r w:rsidRPr="000925A8">
        <w:rPr>
          <w:sz w:val="20"/>
        </w:rPr>
        <w:tab/>
      </w:r>
      <w:r w:rsidRPr="000925A8">
        <w:rPr>
          <w:sz w:val="20"/>
        </w:rPr>
        <w:tab/>
      </w:r>
      <w:r w:rsidRPr="000925A8">
        <w:rPr>
          <w:sz w:val="20"/>
        </w:rPr>
        <w:tab/>
        <w:t xml:space="preserve">i vår kommun </w:t>
      </w:r>
    </w:p>
    <w:p w14:paraId="7DB5E7D5"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p>
    <w:p w14:paraId="468BC2BA" w14:textId="77777777" w:rsidR="00241093" w:rsidRPr="000925A8" w:rsidRDefault="00241093">
      <w:pPr>
        <w:ind w:right="-285"/>
        <w:rPr>
          <w:sz w:val="20"/>
        </w:rPr>
      </w:pPr>
      <w:r w:rsidRPr="000925A8">
        <w:rPr>
          <w:b/>
        </w:rPr>
        <w:t>2</w:t>
      </w:r>
      <w:r w:rsidRPr="000925A8">
        <w:rPr>
          <w:sz w:val="20"/>
        </w:rPr>
        <w:t xml:space="preserve"> Hur upplever kommunen länsstyrelsens arbete för att främja en lämplig kommunal samordning i kommunens arbete med </w:t>
      </w:r>
      <w:r w:rsidRPr="000925A8">
        <w:rPr>
          <w:i/>
          <w:sz w:val="20"/>
        </w:rPr>
        <w:t>detaljplaner</w:t>
      </w:r>
      <w:r w:rsidRPr="000925A8">
        <w:rPr>
          <w:sz w:val="20"/>
        </w:rPr>
        <w:t xml:space="preserve"> </w:t>
      </w:r>
      <w:r w:rsidRPr="000925A8">
        <w:rPr>
          <w:i/>
          <w:sz w:val="20"/>
        </w:rPr>
        <w:t>och område</w:t>
      </w:r>
      <w:r w:rsidRPr="000925A8">
        <w:rPr>
          <w:i/>
          <w:sz w:val="20"/>
        </w:rPr>
        <w:t>s</w:t>
      </w:r>
      <w:r w:rsidRPr="000925A8">
        <w:rPr>
          <w:i/>
          <w:sz w:val="20"/>
        </w:rPr>
        <w:t>bestämmelser</w:t>
      </w:r>
      <w:r w:rsidRPr="000925A8">
        <w:rPr>
          <w:sz w:val="20"/>
        </w:rPr>
        <w:t>? Ringa in det värde på respektive skala som bäst motsvarar kommunens uppfattning.</w:t>
      </w:r>
    </w:p>
    <w:p w14:paraId="7ABA2638" w14:textId="77777777" w:rsidR="00241093" w:rsidRPr="000925A8" w:rsidRDefault="00241093">
      <w:pPr>
        <w:ind w:right="-285"/>
        <w:rPr>
          <w:b/>
          <w:i/>
          <w:sz w:val="20"/>
        </w:rPr>
      </w:pPr>
      <w:r w:rsidRPr="000925A8">
        <w:rPr>
          <w:b/>
          <w:i/>
          <w:sz w:val="20"/>
        </w:rPr>
        <w:t>a) Betydelse</w:t>
      </w:r>
    </w:p>
    <w:p w14:paraId="52592B94"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w:t>
      </w:r>
      <w:r w:rsidRPr="000925A8">
        <w:rPr>
          <w:sz w:val="20"/>
        </w:rPr>
        <w:t>p</w:t>
      </w:r>
      <w:r w:rsidRPr="000925A8">
        <w:rPr>
          <w:sz w:val="20"/>
        </w:rPr>
        <w:t>fattning</w:t>
      </w:r>
    </w:p>
    <w:p w14:paraId="41E9A2B5"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pPr>
      <w:r w:rsidRPr="000925A8">
        <w:rPr>
          <w:sz w:val="20"/>
        </w:rPr>
        <w:t xml:space="preserve">Inte alls </w:t>
      </w:r>
      <w:r w:rsidRPr="000925A8">
        <w:rPr>
          <w:sz w:val="20"/>
        </w:rPr>
        <w:tab/>
        <w:t xml:space="preserve">Mycket </w:t>
      </w:r>
      <w:r w:rsidRPr="000925A8">
        <w:rPr>
          <w:sz w:val="20"/>
        </w:rPr>
        <w:tab/>
      </w:r>
      <w:r w:rsidRPr="000925A8">
        <w:rPr>
          <w:sz w:val="20"/>
        </w:rPr>
        <w:tab/>
        <w:t xml:space="preserve">         viktigt</w:t>
      </w:r>
      <w:r w:rsidRPr="000925A8">
        <w:rPr>
          <w:sz w:val="20"/>
        </w:rPr>
        <w:tab/>
        <w:t>viktigt</w:t>
      </w:r>
    </w:p>
    <w:p w14:paraId="3B13E0B5" w14:textId="77777777" w:rsidR="00241093" w:rsidRPr="000925A8" w:rsidRDefault="00241093">
      <w:pPr>
        <w:rPr>
          <w:b/>
          <w:i/>
          <w:sz w:val="20"/>
        </w:rPr>
      </w:pPr>
      <w:r w:rsidRPr="000925A8">
        <w:rPr>
          <w:b/>
          <w:i/>
          <w:sz w:val="20"/>
        </w:rPr>
        <w:t>b) Omfattning</w:t>
      </w:r>
    </w:p>
    <w:p w14:paraId="04A04943"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w:t>
      </w:r>
      <w:r w:rsidRPr="000925A8">
        <w:rPr>
          <w:sz w:val="20"/>
        </w:rPr>
        <w:t>p</w:t>
      </w:r>
      <w:r w:rsidRPr="000925A8">
        <w:rPr>
          <w:sz w:val="20"/>
        </w:rPr>
        <w:t>fattning</w:t>
      </w:r>
    </w:p>
    <w:p w14:paraId="14274A16"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Inte alls </w:t>
      </w:r>
      <w:r w:rsidRPr="000925A8">
        <w:rPr>
          <w:sz w:val="20"/>
        </w:rPr>
        <w:tab/>
      </w:r>
      <w:r w:rsidRPr="000925A8">
        <w:rPr>
          <w:sz w:val="20"/>
        </w:rPr>
        <w:tab/>
      </w:r>
      <w:r w:rsidRPr="000925A8">
        <w:rPr>
          <w:sz w:val="20"/>
        </w:rPr>
        <w:tab/>
      </w:r>
      <w:r w:rsidRPr="000925A8">
        <w:rPr>
          <w:sz w:val="20"/>
        </w:rPr>
        <w:tab/>
      </w:r>
      <w:r w:rsidRPr="000925A8">
        <w:rPr>
          <w:sz w:val="20"/>
        </w:rPr>
        <w:tab/>
        <w:t>Mycket</w:t>
      </w:r>
      <w:r w:rsidRPr="000925A8">
        <w:rPr>
          <w:sz w:val="20"/>
        </w:rPr>
        <w:br/>
        <w:t>omfa</w:t>
      </w:r>
      <w:r w:rsidRPr="000925A8">
        <w:rPr>
          <w:sz w:val="20"/>
        </w:rPr>
        <w:t>t</w:t>
      </w:r>
      <w:r w:rsidRPr="000925A8">
        <w:rPr>
          <w:sz w:val="20"/>
        </w:rPr>
        <w:t>tande</w:t>
      </w:r>
      <w:r w:rsidRPr="000925A8">
        <w:rPr>
          <w:sz w:val="20"/>
        </w:rPr>
        <w:tab/>
      </w:r>
      <w:r w:rsidRPr="000925A8">
        <w:rPr>
          <w:sz w:val="20"/>
        </w:rPr>
        <w:tab/>
      </w:r>
      <w:r w:rsidRPr="000925A8">
        <w:rPr>
          <w:sz w:val="20"/>
        </w:rPr>
        <w:tab/>
      </w:r>
      <w:r w:rsidRPr="000925A8">
        <w:rPr>
          <w:sz w:val="20"/>
        </w:rPr>
        <w:tab/>
      </w:r>
      <w:r w:rsidRPr="000925A8">
        <w:rPr>
          <w:sz w:val="20"/>
        </w:rPr>
        <w:tab/>
        <w:t>omfattande</w:t>
      </w:r>
    </w:p>
    <w:p w14:paraId="4251F10E"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c) Tillräckligt</w:t>
      </w:r>
    </w:p>
    <w:p w14:paraId="5C996F5D"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0552355B"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pPr>
      <w:r w:rsidRPr="000925A8">
        <w:rPr>
          <w:sz w:val="20"/>
        </w:rPr>
        <w:t>Inte alls</w:t>
      </w:r>
      <w:r w:rsidRPr="000925A8">
        <w:rPr>
          <w:sz w:val="20"/>
        </w:rPr>
        <w:tab/>
      </w:r>
      <w:r w:rsidRPr="000925A8">
        <w:rPr>
          <w:sz w:val="20"/>
        </w:rPr>
        <w:tab/>
      </w:r>
      <w:r w:rsidRPr="000925A8">
        <w:rPr>
          <w:sz w:val="20"/>
        </w:rPr>
        <w:tab/>
      </w:r>
      <w:r w:rsidRPr="000925A8">
        <w:rPr>
          <w:sz w:val="20"/>
        </w:rPr>
        <w:tab/>
      </w:r>
      <w:r w:rsidRPr="000925A8">
        <w:rPr>
          <w:sz w:val="20"/>
        </w:rPr>
        <w:tab/>
        <w:t>Fullt</w:t>
      </w:r>
      <w:r w:rsidRPr="000925A8">
        <w:rPr>
          <w:sz w:val="20"/>
        </w:rPr>
        <w:br/>
        <w:t xml:space="preserve">tillräckligt </w:t>
      </w:r>
      <w:r w:rsidRPr="000925A8">
        <w:rPr>
          <w:sz w:val="20"/>
        </w:rPr>
        <w:tab/>
      </w:r>
      <w:r w:rsidRPr="000925A8">
        <w:rPr>
          <w:sz w:val="20"/>
        </w:rPr>
        <w:tab/>
      </w:r>
      <w:r w:rsidRPr="000925A8">
        <w:rPr>
          <w:sz w:val="20"/>
        </w:rPr>
        <w:tab/>
      </w:r>
      <w:r w:rsidRPr="000925A8">
        <w:rPr>
          <w:sz w:val="20"/>
        </w:rPr>
        <w:tab/>
      </w:r>
      <w:r w:rsidRPr="000925A8">
        <w:rPr>
          <w:sz w:val="20"/>
        </w:rPr>
        <w:tab/>
        <w:t>tillräckligt</w:t>
      </w:r>
    </w:p>
    <w:p w14:paraId="3DD58D1F" w14:textId="77777777" w:rsidR="00241093" w:rsidRPr="000925A8" w:rsidRDefault="00241093">
      <w:pPr>
        <w:ind w:right="-285"/>
        <w:rPr>
          <w:b/>
          <w:i/>
          <w:sz w:val="20"/>
        </w:rPr>
      </w:pPr>
      <w:r w:rsidRPr="000925A8">
        <w:rPr>
          <w:b/>
          <w:i/>
          <w:sz w:val="20"/>
        </w:rPr>
        <w:t>d) Relevans</w:t>
      </w:r>
    </w:p>
    <w:p w14:paraId="4493A66B"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6F642DA3"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Inte alls </w:t>
      </w:r>
      <w:r w:rsidRPr="000925A8">
        <w:rPr>
          <w:sz w:val="20"/>
        </w:rPr>
        <w:tab/>
      </w:r>
      <w:r w:rsidRPr="000925A8">
        <w:rPr>
          <w:sz w:val="20"/>
        </w:rPr>
        <w:tab/>
      </w:r>
      <w:r w:rsidRPr="000925A8">
        <w:rPr>
          <w:sz w:val="20"/>
        </w:rPr>
        <w:tab/>
      </w:r>
      <w:r w:rsidRPr="000925A8">
        <w:rPr>
          <w:sz w:val="20"/>
        </w:rPr>
        <w:tab/>
      </w:r>
      <w:r w:rsidRPr="000925A8">
        <w:rPr>
          <w:sz w:val="20"/>
        </w:rPr>
        <w:tab/>
        <w:t>Mycket</w:t>
      </w:r>
      <w:r w:rsidRPr="000925A8">
        <w:rPr>
          <w:sz w:val="20"/>
        </w:rPr>
        <w:br/>
        <w:t xml:space="preserve">relevant för </w:t>
      </w:r>
      <w:r w:rsidRPr="000925A8">
        <w:rPr>
          <w:sz w:val="20"/>
        </w:rPr>
        <w:tab/>
      </w:r>
      <w:r w:rsidRPr="000925A8">
        <w:rPr>
          <w:sz w:val="20"/>
        </w:rPr>
        <w:tab/>
      </w:r>
      <w:r w:rsidRPr="000925A8">
        <w:rPr>
          <w:sz w:val="20"/>
        </w:rPr>
        <w:tab/>
      </w:r>
      <w:r w:rsidRPr="000925A8">
        <w:rPr>
          <w:sz w:val="20"/>
        </w:rPr>
        <w:tab/>
      </w:r>
      <w:r w:rsidRPr="000925A8">
        <w:rPr>
          <w:sz w:val="20"/>
        </w:rPr>
        <w:tab/>
        <w:t>relevant för</w:t>
      </w:r>
      <w:r w:rsidRPr="000925A8">
        <w:rPr>
          <w:sz w:val="20"/>
        </w:rPr>
        <w:br/>
        <w:t xml:space="preserve">planeringsfrågorna </w:t>
      </w:r>
      <w:r w:rsidRPr="000925A8">
        <w:rPr>
          <w:sz w:val="20"/>
        </w:rPr>
        <w:tab/>
      </w:r>
      <w:r w:rsidRPr="000925A8">
        <w:rPr>
          <w:sz w:val="20"/>
        </w:rPr>
        <w:tab/>
      </w:r>
      <w:r w:rsidRPr="000925A8">
        <w:rPr>
          <w:sz w:val="20"/>
        </w:rPr>
        <w:tab/>
        <w:t>planeringsfrågorna</w:t>
      </w:r>
      <w:r w:rsidRPr="000925A8">
        <w:rPr>
          <w:sz w:val="20"/>
        </w:rPr>
        <w:br/>
        <w:t xml:space="preserve">i vår kommun </w:t>
      </w:r>
      <w:r w:rsidRPr="000925A8">
        <w:rPr>
          <w:sz w:val="20"/>
        </w:rPr>
        <w:tab/>
      </w:r>
      <w:r w:rsidRPr="000925A8">
        <w:rPr>
          <w:sz w:val="20"/>
        </w:rPr>
        <w:tab/>
      </w:r>
      <w:r w:rsidRPr="000925A8">
        <w:rPr>
          <w:sz w:val="20"/>
        </w:rPr>
        <w:tab/>
      </w:r>
      <w:r w:rsidRPr="000925A8">
        <w:rPr>
          <w:sz w:val="20"/>
        </w:rPr>
        <w:tab/>
        <w:t xml:space="preserve">i vår kommun </w:t>
      </w:r>
    </w:p>
    <w:p w14:paraId="7137AD17"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p>
    <w:p w14:paraId="7FF83454" w14:textId="77777777" w:rsidR="00241093" w:rsidRPr="000925A8" w:rsidRDefault="00241093">
      <w:r w:rsidRPr="000925A8">
        <w:rPr>
          <w:b/>
        </w:rPr>
        <w:t>3</w:t>
      </w:r>
      <w:r w:rsidRPr="000925A8">
        <w:t xml:space="preserve"> Ta ställning till följande påståenden genom att ringa in ett värde på respe</w:t>
      </w:r>
      <w:r w:rsidRPr="000925A8">
        <w:t>k</w:t>
      </w:r>
      <w:r w:rsidRPr="000925A8">
        <w:t xml:space="preserve">tive skala: </w:t>
      </w:r>
    </w:p>
    <w:p w14:paraId="6FFC66C9" w14:textId="77777777" w:rsidR="00241093" w:rsidRPr="000925A8" w:rsidRDefault="00241093">
      <w:pPr>
        <w:rPr>
          <w:i/>
        </w:rPr>
      </w:pPr>
      <w:r w:rsidRPr="000925A8">
        <w:rPr>
          <w:i/>
        </w:rPr>
        <w:t>a) Vår kommun hanterar huvudsakligen frågor om mellankommunal samor</w:t>
      </w:r>
      <w:r w:rsidRPr="000925A8">
        <w:rPr>
          <w:i/>
        </w:rPr>
        <w:t>d</w:t>
      </w:r>
      <w:r w:rsidRPr="000925A8">
        <w:rPr>
          <w:i/>
        </w:rPr>
        <w:t>ning inom PBL-området utan länsstyrelsens medverkan.</w:t>
      </w:r>
    </w:p>
    <w:p w14:paraId="410018FE"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3BCB985F"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Instämmer </w:t>
      </w:r>
      <w:r w:rsidRPr="000925A8">
        <w:rPr>
          <w:sz w:val="20"/>
        </w:rPr>
        <w:tab/>
      </w:r>
      <w:r w:rsidRPr="000925A8">
        <w:rPr>
          <w:sz w:val="20"/>
        </w:rPr>
        <w:tab/>
      </w:r>
      <w:r w:rsidRPr="000925A8">
        <w:rPr>
          <w:sz w:val="20"/>
        </w:rPr>
        <w:tab/>
      </w:r>
      <w:r w:rsidRPr="000925A8">
        <w:rPr>
          <w:sz w:val="20"/>
        </w:rPr>
        <w:tab/>
      </w:r>
      <w:r w:rsidRPr="000925A8">
        <w:rPr>
          <w:sz w:val="20"/>
        </w:rPr>
        <w:tab/>
        <w:t>Instämmer</w:t>
      </w:r>
      <w:r w:rsidRPr="000925A8">
        <w:rPr>
          <w:sz w:val="20"/>
        </w:rPr>
        <w:br/>
        <w:t xml:space="preserve">inte alls </w:t>
      </w:r>
      <w:r w:rsidRPr="000925A8">
        <w:rPr>
          <w:sz w:val="20"/>
        </w:rPr>
        <w:tab/>
      </w:r>
      <w:r w:rsidRPr="000925A8">
        <w:rPr>
          <w:sz w:val="20"/>
        </w:rPr>
        <w:tab/>
      </w:r>
      <w:r w:rsidRPr="000925A8">
        <w:rPr>
          <w:sz w:val="20"/>
        </w:rPr>
        <w:tab/>
      </w:r>
      <w:r w:rsidRPr="000925A8">
        <w:rPr>
          <w:sz w:val="20"/>
        </w:rPr>
        <w:tab/>
      </w:r>
      <w:r w:rsidRPr="000925A8">
        <w:rPr>
          <w:sz w:val="20"/>
        </w:rPr>
        <w:tab/>
        <w:t>helt</w:t>
      </w:r>
      <w:r w:rsidRPr="000925A8">
        <w:rPr>
          <w:sz w:val="20"/>
        </w:rPr>
        <w:tab/>
      </w:r>
      <w:r w:rsidRPr="000925A8">
        <w:rPr>
          <w:sz w:val="20"/>
        </w:rPr>
        <w:tab/>
      </w:r>
    </w:p>
    <w:p w14:paraId="0CA15506" w14:textId="77777777" w:rsidR="00241093" w:rsidRPr="000925A8" w:rsidRDefault="00241093">
      <w:pPr>
        <w:rPr>
          <w:i/>
        </w:rPr>
      </w:pPr>
      <w:r w:rsidRPr="000925A8">
        <w:rPr>
          <w:i/>
        </w:rPr>
        <w:t>b) Länsstyrelsens roll i samband med mellankommunala PBL-frågor är främst att fungera som medlare då vår kommun och en eller flera grannko</w:t>
      </w:r>
      <w:r w:rsidRPr="000925A8">
        <w:rPr>
          <w:i/>
        </w:rPr>
        <w:t>m</w:t>
      </w:r>
      <w:r w:rsidRPr="000925A8">
        <w:rPr>
          <w:i/>
        </w:rPr>
        <w:t>muner inte kan komma överens.</w:t>
      </w:r>
    </w:p>
    <w:p w14:paraId="244778DC"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64F453CE"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Instämmer </w:t>
      </w:r>
      <w:r w:rsidRPr="000925A8">
        <w:rPr>
          <w:sz w:val="20"/>
        </w:rPr>
        <w:tab/>
      </w:r>
      <w:r w:rsidRPr="000925A8">
        <w:rPr>
          <w:sz w:val="20"/>
        </w:rPr>
        <w:tab/>
      </w:r>
      <w:r w:rsidRPr="000925A8">
        <w:rPr>
          <w:sz w:val="20"/>
        </w:rPr>
        <w:tab/>
      </w:r>
      <w:r w:rsidRPr="000925A8">
        <w:rPr>
          <w:sz w:val="20"/>
        </w:rPr>
        <w:tab/>
      </w:r>
      <w:r w:rsidRPr="000925A8">
        <w:rPr>
          <w:sz w:val="20"/>
        </w:rPr>
        <w:tab/>
        <w:t>Instämmer</w:t>
      </w:r>
      <w:r w:rsidRPr="000925A8">
        <w:rPr>
          <w:sz w:val="20"/>
        </w:rPr>
        <w:br/>
        <w:t xml:space="preserve">inte alls </w:t>
      </w:r>
      <w:r w:rsidRPr="000925A8">
        <w:rPr>
          <w:sz w:val="20"/>
        </w:rPr>
        <w:tab/>
      </w:r>
      <w:r w:rsidRPr="000925A8">
        <w:rPr>
          <w:sz w:val="20"/>
        </w:rPr>
        <w:tab/>
      </w:r>
      <w:r w:rsidRPr="000925A8">
        <w:rPr>
          <w:sz w:val="20"/>
        </w:rPr>
        <w:tab/>
      </w:r>
      <w:r w:rsidRPr="000925A8">
        <w:rPr>
          <w:sz w:val="20"/>
        </w:rPr>
        <w:tab/>
      </w:r>
      <w:r w:rsidRPr="000925A8">
        <w:rPr>
          <w:sz w:val="20"/>
        </w:rPr>
        <w:tab/>
        <w:t>helt</w:t>
      </w:r>
    </w:p>
    <w:p w14:paraId="0C3FF568" w14:textId="77777777" w:rsidR="00241093" w:rsidRPr="000925A8" w:rsidRDefault="00241093">
      <w:pPr>
        <w:rPr>
          <w:i/>
        </w:rPr>
      </w:pPr>
      <w:r w:rsidRPr="000925A8">
        <w:rPr>
          <w:i/>
        </w:rPr>
        <w:t>c) Länsstyrelsen och vår kommun har som regel en gemensam uppfattning i frågor om mellankommunal samordning inom PBL-området.</w:t>
      </w:r>
    </w:p>
    <w:p w14:paraId="0CB65C05"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4AF4D8FF"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Instämmer </w:t>
      </w:r>
      <w:r w:rsidRPr="000925A8">
        <w:rPr>
          <w:sz w:val="20"/>
        </w:rPr>
        <w:tab/>
      </w:r>
      <w:r w:rsidRPr="000925A8">
        <w:rPr>
          <w:sz w:val="20"/>
        </w:rPr>
        <w:tab/>
      </w:r>
      <w:r w:rsidRPr="000925A8">
        <w:rPr>
          <w:sz w:val="20"/>
        </w:rPr>
        <w:tab/>
      </w:r>
      <w:r w:rsidRPr="000925A8">
        <w:rPr>
          <w:sz w:val="20"/>
        </w:rPr>
        <w:tab/>
      </w:r>
      <w:r w:rsidRPr="000925A8">
        <w:rPr>
          <w:sz w:val="20"/>
        </w:rPr>
        <w:tab/>
        <w:t>Instämmer</w:t>
      </w:r>
      <w:r w:rsidRPr="000925A8">
        <w:rPr>
          <w:sz w:val="20"/>
        </w:rPr>
        <w:br/>
        <w:t xml:space="preserve">inte alls </w:t>
      </w:r>
      <w:r w:rsidRPr="000925A8">
        <w:rPr>
          <w:sz w:val="20"/>
        </w:rPr>
        <w:tab/>
      </w:r>
      <w:r w:rsidRPr="000925A8">
        <w:rPr>
          <w:sz w:val="20"/>
        </w:rPr>
        <w:tab/>
      </w:r>
      <w:r w:rsidRPr="000925A8">
        <w:rPr>
          <w:sz w:val="20"/>
        </w:rPr>
        <w:tab/>
      </w:r>
      <w:r w:rsidRPr="000925A8">
        <w:rPr>
          <w:sz w:val="20"/>
        </w:rPr>
        <w:tab/>
      </w:r>
      <w:r w:rsidRPr="000925A8">
        <w:rPr>
          <w:sz w:val="20"/>
        </w:rPr>
        <w:tab/>
        <w:t>helt</w:t>
      </w:r>
    </w:p>
    <w:p w14:paraId="2E359CC8" w14:textId="77777777" w:rsidR="00241093" w:rsidRPr="000925A8" w:rsidRDefault="00241093">
      <w:pPr>
        <w:rPr>
          <w:i/>
        </w:rPr>
      </w:pPr>
      <w:r w:rsidRPr="000925A8">
        <w:rPr>
          <w:i/>
        </w:rPr>
        <w:br/>
      </w:r>
    </w:p>
    <w:p w14:paraId="59CC7EF2" w14:textId="77777777" w:rsidR="00241093" w:rsidRPr="000925A8" w:rsidRDefault="00241093">
      <w:pPr>
        <w:rPr>
          <w:i/>
        </w:rPr>
      </w:pPr>
      <w:r w:rsidRPr="000925A8">
        <w:rPr>
          <w:i/>
        </w:rPr>
        <w:br w:type="page"/>
        <w:t>d) Länsstyrelsens arbete för att främja en lämplig mellankommunal samor</w:t>
      </w:r>
      <w:r w:rsidRPr="000925A8">
        <w:rPr>
          <w:i/>
        </w:rPr>
        <w:t>d</w:t>
      </w:r>
      <w:r w:rsidRPr="000925A8">
        <w:rPr>
          <w:i/>
        </w:rPr>
        <w:t>ning sker huvudsakligen under planprocessernas program- och samrådssk</w:t>
      </w:r>
      <w:r w:rsidRPr="000925A8">
        <w:rPr>
          <w:i/>
        </w:rPr>
        <w:t>e</w:t>
      </w:r>
      <w:r w:rsidRPr="000925A8">
        <w:rPr>
          <w:i/>
        </w:rPr>
        <w:t>den.</w:t>
      </w:r>
    </w:p>
    <w:p w14:paraId="152EDF09"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422F1CEF"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Instämmer </w:t>
      </w:r>
      <w:r w:rsidRPr="000925A8">
        <w:rPr>
          <w:sz w:val="20"/>
        </w:rPr>
        <w:tab/>
      </w:r>
      <w:r w:rsidRPr="000925A8">
        <w:rPr>
          <w:sz w:val="20"/>
        </w:rPr>
        <w:tab/>
      </w:r>
      <w:r w:rsidRPr="000925A8">
        <w:rPr>
          <w:sz w:val="20"/>
        </w:rPr>
        <w:tab/>
      </w:r>
      <w:r w:rsidRPr="000925A8">
        <w:rPr>
          <w:sz w:val="20"/>
        </w:rPr>
        <w:tab/>
      </w:r>
      <w:r w:rsidRPr="000925A8">
        <w:rPr>
          <w:sz w:val="20"/>
        </w:rPr>
        <w:tab/>
        <w:t xml:space="preserve">Instämmer </w:t>
      </w:r>
      <w:r w:rsidRPr="000925A8">
        <w:rPr>
          <w:sz w:val="20"/>
        </w:rPr>
        <w:br/>
        <w:t xml:space="preserve">inte alls </w:t>
      </w:r>
      <w:r w:rsidRPr="000925A8">
        <w:rPr>
          <w:sz w:val="20"/>
        </w:rPr>
        <w:tab/>
      </w:r>
      <w:r w:rsidRPr="000925A8">
        <w:rPr>
          <w:sz w:val="20"/>
        </w:rPr>
        <w:tab/>
      </w:r>
      <w:r w:rsidRPr="000925A8">
        <w:rPr>
          <w:sz w:val="20"/>
        </w:rPr>
        <w:tab/>
      </w:r>
      <w:r w:rsidRPr="000925A8">
        <w:rPr>
          <w:sz w:val="20"/>
        </w:rPr>
        <w:tab/>
      </w:r>
      <w:r w:rsidRPr="000925A8">
        <w:rPr>
          <w:sz w:val="20"/>
        </w:rPr>
        <w:tab/>
        <w:t>helt</w:t>
      </w:r>
    </w:p>
    <w:p w14:paraId="2475CD4D" w14:textId="77777777" w:rsidR="00241093" w:rsidRPr="000925A8" w:rsidRDefault="00241093">
      <w:pPr>
        <w:rPr>
          <w:i/>
        </w:rPr>
      </w:pPr>
      <w:r w:rsidRPr="000925A8">
        <w:rPr>
          <w:i/>
        </w:rPr>
        <w:t>e) När kommuner är överens i en mellankommunal planfråga finns det inte rättslig grund för länsstyrelsen att pröva planen eller områdesbestämmelse</w:t>
      </w:r>
      <w:r w:rsidRPr="000925A8">
        <w:rPr>
          <w:i/>
        </w:rPr>
        <w:t>r</w:t>
      </w:r>
      <w:r w:rsidRPr="000925A8">
        <w:rPr>
          <w:i/>
        </w:rPr>
        <w:t>na enligt 12 kap. 1 § 2 p PBL.</w:t>
      </w:r>
    </w:p>
    <w:p w14:paraId="5651B998"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1</w:t>
      </w:r>
      <w:r w:rsidRPr="000925A8">
        <w:rPr>
          <w:sz w:val="20"/>
        </w:rPr>
        <w:tab/>
        <w:t>2</w:t>
      </w:r>
      <w:r w:rsidRPr="000925A8">
        <w:rPr>
          <w:sz w:val="20"/>
        </w:rPr>
        <w:tab/>
        <w:t>3</w:t>
      </w:r>
      <w:r w:rsidRPr="000925A8">
        <w:rPr>
          <w:sz w:val="20"/>
        </w:rPr>
        <w:tab/>
        <w:t>4</w:t>
      </w:r>
      <w:r w:rsidRPr="000925A8">
        <w:rPr>
          <w:sz w:val="20"/>
        </w:rPr>
        <w:tab/>
        <w:t>5</w:t>
      </w:r>
      <w:r w:rsidRPr="000925A8">
        <w:rPr>
          <w:sz w:val="20"/>
        </w:rPr>
        <w:tab/>
        <w:t>6</w:t>
      </w:r>
      <w:r w:rsidRPr="000925A8">
        <w:rPr>
          <w:sz w:val="20"/>
        </w:rPr>
        <w:tab/>
        <w:t>7</w:t>
      </w:r>
      <w:r w:rsidRPr="000925A8">
        <w:rPr>
          <w:sz w:val="20"/>
        </w:rPr>
        <w:tab/>
      </w:r>
      <w:r w:rsidRPr="000925A8">
        <w:rPr>
          <w:sz w:val="20"/>
        </w:rPr>
        <w:tab/>
      </w: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Ingen uppfattning</w:t>
      </w:r>
    </w:p>
    <w:p w14:paraId="1849E605" w14:textId="77777777" w:rsidR="00241093" w:rsidRPr="000925A8" w:rsidRDefault="00241093">
      <w:pPr>
        <w:pStyle w:val="Brdtextmedindrag"/>
        <w:tabs>
          <w:tab w:val="left" w:pos="540"/>
          <w:tab w:val="left" w:pos="993"/>
          <w:tab w:val="left" w:pos="1560"/>
          <w:tab w:val="left" w:pos="1985"/>
          <w:tab w:val="left" w:pos="2552"/>
          <w:tab w:val="left" w:pos="3119"/>
          <w:tab w:val="left" w:pos="3544"/>
          <w:tab w:val="left" w:pos="3828"/>
          <w:tab w:val="left" w:pos="6521"/>
        </w:tabs>
        <w:spacing w:before="120"/>
        <w:ind w:left="0"/>
        <w:rPr>
          <w:sz w:val="20"/>
        </w:rPr>
      </w:pPr>
      <w:r w:rsidRPr="000925A8">
        <w:rPr>
          <w:sz w:val="20"/>
        </w:rPr>
        <w:t xml:space="preserve">Instämmer </w:t>
      </w:r>
      <w:r w:rsidRPr="000925A8">
        <w:rPr>
          <w:sz w:val="20"/>
        </w:rPr>
        <w:tab/>
      </w:r>
      <w:r w:rsidRPr="000925A8">
        <w:rPr>
          <w:sz w:val="20"/>
        </w:rPr>
        <w:tab/>
      </w:r>
      <w:r w:rsidRPr="000925A8">
        <w:rPr>
          <w:sz w:val="20"/>
        </w:rPr>
        <w:tab/>
      </w:r>
      <w:r w:rsidRPr="000925A8">
        <w:rPr>
          <w:sz w:val="20"/>
        </w:rPr>
        <w:tab/>
      </w:r>
      <w:r w:rsidRPr="000925A8">
        <w:rPr>
          <w:sz w:val="20"/>
        </w:rPr>
        <w:tab/>
        <w:t>Instämmer</w:t>
      </w:r>
      <w:r w:rsidRPr="000925A8">
        <w:rPr>
          <w:sz w:val="20"/>
        </w:rPr>
        <w:br/>
        <w:t>inte alls</w:t>
      </w:r>
      <w:r w:rsidRPr="000925A8">
        <w:rPr>
          <w:sz w:val="20"/>
        </w:rPr>
        <w:tab/>
      </w:r>
      <w:r w:rsidRPr="000925A8">
        <w:rPr>
          <w:sz w:val="20"/>
        </w:rPr>
        <w:tab/>
      </w:r>
      <w:r w:rsidRPr="000925A8">
        <w:rPr>
          <w:sz w:val="20"/>
        </w:rPr>
        <w:tab/>
      </w:r>
      <w:r w:rsidRPr="000925A8">
        <w:rPr>
          <w:sz w:val="20"/>
        </w:rPr>
        <w:tab/>
        <w:t xml:space="preserve"> </w:t>
      </w:r>
      <w:r w:rsidRPr="000925A8">
        <w:rPr>
          <w:sz w:val="20"/>
        </w:rPr>
        <w:tab/>
        <w:t>helt</w:t>
      </w:r>
    </w:p>
    <w:p w14:paraId="660A1393" w14:textId="77777777" w:rsidR="00241093" w:rsidRPr="000925A8" w:rsidRDefault="00241093">
      <w:pPr>
        <w:pStyle w:val="Indragetstycke"/>
        <w:ind w:left="0"/>
        <w:rPr>
          <w:b/>
          <w:sz w:val="24"/>
        </w:rPr>
      </w:pPr>
    </w:p>
    <w:p w14:paraId="2B9DCC5D" w14:textId="77777777" w:rsidR="00241093" w:rsidRPr="000925A8" w:rsidRDefault="00241093">
      <w:r w:rsidRPr="000925A8">
        <w:rPr>
          <w:b/>
          <w:sz w:val="24"/>
        </w:rPr>
        <w:t>4a)</w:t>
      </w:r>
      <w:r w:rsidRPr="000925A8">
        <w:t xml:space="preserve"> Har länsstyrelsen enligt 12 kap. 1 § 2 p PBL (ej lämplig mellankomm</w:t>
      </w:r>
      <w:r w:rsidRPr="000925A8">
        <w:t>u</w:t>
      </w:r>
      <w:r w:rsidRPr="000925A8">
        <w:t>nal samordning) prövat något av kommunens beslut om detaljplaner eller områdesbestämmelser under perioden 1998–2001?</w:t>
      </w:r>
    </w:p>
    <w:p w14:paraId="5FB5DD15" w14:textId="77777777" w:rsidR="00241093" w:rsidRPr="000925A8" w:rsidRDefault="00241093">
      <w:pPr>
        <w:rPr>
          <w:sz w:val="20"/>
        </w:rPr>
      </w:pP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Ja</w:t>
      </w:r>
    </w:p>
    <w:p w14:paraId="5EEF4B8A" w14:textId="77777777" w:rsidR="00241093" w:rsidRPr="000925A8" w:rsidRDefault="00241093">
      <w:pPr>
        <w:rPr>
          <w:sz w:val="20"/>
        </w:rPr>
      </w:pP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Nej</w:t>
      </w:r>
      <w:r w:rsidRPr="000925A8">
        <w:rPr>
          <w:sz w:val="20"/>
        </w:rPr>
        <w:tab/>
      </w:r>
      <w:r w:rsidRPr="000925A8">
        <w:rPr>
          <w:b/>
          <w:sz w:val="20"/>
        </w:rPr>
        <w:sym w:font="Symbol" w:char="F0DE"/>
      </w:r>
      <w:r w:rsidRPr="000925A8">
        <w:rPr>
          <w:b/>
          <w:sz w:val="20"/>
        </w:rPr>
        <w:t xml:space="preserve"> Gå till fråga 5</w:t>
      </w:r>
    </w:p>
    <w:p w14:paraId="1D31CFF7" w14:textId="77777777" w:rsidR="00241093" w:rsidRPr="000925A8" w:rsidRDefault="00241093">
      <w:pPr>
        <w:rPr>
          <w:sz w:val="20"/>
        </w:rPr>
      </w:pPr>
      <w:r w:rsidRPr="000925A8">
        <w:rPr>
          <w:sz w:val="20"/>
        </w:rPr>
        <w:fldChar w:fldCharType="begin" w:fldLock="1">
          <w:ffData>
            <w:name w:val="Kryss37"/>
            <w:enabled/>
            <w:calcOnExit w:val="0"/>
            <w:checkBox>
              <w:sizeAuto/>
              <w:default w:val="0"/>
            </w:checkBox>
          </w:ffData>
        </w:fldChar>
      </w:r>
      <w:r w:rsidRPr="000925A8">
        <w:rPr>
          <w:sz w:val="20"/>
        </w:rPr>
        <w:instrText xml:space="preserve"> FORMCHECKBOX </w:instrText>
      </w:r>
      <w:r w:rsidRPr="000925A8">
        <w:rPr>
          <w:sz w:val="20"/>
        </w:rPr>
      </w:r>
      <w:r w:rsidRPr="000925A8">
        <w:rPr>
          <w:sz w:val="20"/>
        </w:rPr>
        <w:fldChar w:fldCharType="end"/>
      </w:r>
      <w:r w:rsidRPr="000925A8">
        <w:rPr>
          <w:sz w:val="20"/>
        </w:rPr>
        <w:t xml:space="preserve"> Vet ej</w:t>
      </w:r>
      <w:r w:rsidRPr="000925A8">
        <w:rPr>
          <w:sz w:val="20"/>
        </w:rPr>
        <w:tab/>
      </w:r>
      <w:r w:rsidRPr="000925A8">
        <w:rPr>
          <w:b/>
          <w:sz w:val="20"/>
        </w:rPr>
        <w:sym w:font="Symbol" w:char="F0DE"/>
      </w:r>
      <w:r w:rsidRPr="000925A8">
        <w:rPr>
          <w:b/>
          <w:sz w:val="20"/>
        </w:rPr>
        <w:t xml:space="preserve"> Gå till fråga 5</w:t>
      </w:r>
    </w:p>
    <w:p w14:paraId="1B04009D" w14:textId="77777777" w:rsidR="00241093" w:rsidRPr="000925A8" w:rsidRDefault="00241093">
      <w:r w:rsidRPr="000925A8">
        <w:t>b) Vilken typ av fråga/frågor har den/de prövade planerna eller områdesb</w:t>
      </w:r>
      <w:r w:rsidRPr="000925A8">
        <w:t>e</w:t>
      </w:r>
      <w:r w:rsidRPr="000925A8">
        <w:t>stämmelserna omfattat (exv. vägar, bostäder, naturvård, vattenskydd, ha</w:t>
      </w:r>
      <w:r w:rsidRPr="000925A8">
        <w:t>n</w:t>
      </w:r>
      <w:r w:rsidRPr="000925A8">
        <w:t>delsetabl</w:t>
      </w:r>
      <w:r w:rsidRPr="000925A8">
        <w:t>e</w:t>
      </w:r>
      <w:r w:rsidRPr="000925A8">
        <w:t>ringar etc.)?</w:t>
      </w:r>
    </w:p>
    <w:p w14:paraId="03983E43" w14:textId="77777777" w:rsidR="00241093" w:rsidRPr="000925A8" w:rsidRDefault="00241093">
      <w:r w:rsidRPr="000925A8">
        <w:t xml:space="preserve">c) Vad blev utfallet av prövningen/prövningarna? </w:t>
      </w:r>
    </w:p>
    <w:p w14:paraId="02993ECD" w14:textId="77777777" w:rsidR="00241093" w:rsidRPr="000925A8" w:rsidRDefault="00241093">
      <w:pPr>
        <w:pStyle w:val="Brdtextmedindrag"/>
        <w:spacing w:before="120" w:after="120"/>
        <w:ind w:left="0"/>
        <w:rPr>
          <w:sz w:val="20"/>
        </w:rPr>
      </w:pPr>
      <w:r w:rsidRPr="000925A8">
        <w:rPr>
          <w:sz w:val="20"/>
        </w:rPr>
        <w:t>___________________________________________________________</w:t>
      </w:r>
    </w:p>
    <w:p w14:paraId="4C0AE343" w14:textId="77777777" w:rsidR="00241093" w:rsidRPr="000925A8" w:rsidRDefault="00241093">
      <w:pPr>
        <w:ind w:right="-285"/>
        <w:rPr>
          <w:sz w:val="20"/>
        </w:rPr>
      </w:pPr>
    </w:p>
    <w:p w14:paraId="58BD624C" w14:textId="77777777" w:rsidR="00241093" w:rsidRPr="000925A8" w:rsidRDefault="00241093">
      <w:r w:rsidRPr="000925A8">
        <w:rPr>
          <w:b/>
        </w:rPr>
        <w:t xml:space="preserve">5 </w:t>
      </w:r>
      <w:r w:rsidRPr="000925A8">
        <w:t>Vilka eventuella problem upplever kommunen i länsstyrelsens arbete med mellankommunala PBL-frågor?</w:t>
      </w:r>
    </w:p>
    <w:p w14:paraId="7470F019" w14:textId="77777777" w:rsidR="00241093" w:rsidRPr="000925A8" w:rsidRDefault="00241093">
      <w:r w:rsidRPr="000925A8">
        <w:rPr>
          <w:b/>
        </w:rPr>
        <w:t>6</w:t>
      </w:r>
      <w:r w:rsidRPr="000925A8">
        <w:t xml:space="preserve"> Vilka eventuella förändringar skulle kommunen önska i länsstyrelsens arbete med mellanko</w:t>
      </w:r>
      <w:r w:rsidRPr="000925A8">
        <w:t>m</w:t>
      </w:r>
      <w:r w:rsidRPr="000925A8">
        <w:t>munala PBL-frågor?</w:t>
      </w:r>
    </w:p>
    <w:p w14:paraId="2BB7DDE7" w14:textId="77777777" w:rsidR="00241093" w:rsidRPr="000925A8" w:rsidRDefault="00241093">
      <w:r w:rsidRPr="000925A8">
        <w:rPr>
          <w:b/>
        </w:rPr>
        <w:t>7</w:t>
      </w:r>
      <w:r w:rsidRPr="000925A8">
        <w:t xml:space="preserve"> Vilka övriga förslag har kommunen på hur den mellankommunala samor</w:t>
      </w:r>
      <w:r w:rsidRPr="000925A8">
        <w:t>d</w:t>
      </w:r>
      <w:r w:rsidRPr="000925A8">
        <w:t>ningen skulle kunna förbättras inom PBL-området?</w:t>
      </w:r>
    </w:p>
    <w:p w14:paraId="47C8B345" w14:textId="77777777" w:rsidR="00241093" w:rsidRPr="000925A8" w:rsidRDefault="00241093">
      <w:r w:rsidRPr="000925A8">
        <w:rPr>
          <w:b/>
        </w:rPr>
        <w:t>8</w:t>
      </w:r>
      <w:r w:rsidRPr="000925A8">
        <w:t xml:space="preserve"> Övriga kommentarer</w:t>
      </w:r>
    </w:p>
    <w:p w14:paraId="79923B6D" w14:textId="77777777" w:rsidR="00241093" w:rsidRPr="000925A8" w:rsidRDefault="00241093">
      <w:pPr>
        <w:pStyle w:val="Brdtextmedindrag"/>
        <w:spacing w:before="120" w:after="120"/>
        <w:ind w:left="0"/>
        <w:rPr>
          <w:sz w:val="20"/>
        </w:rPr>
      </w:pPr>
    </w:p>
    <w:p w14:paraId="79FEAADF" w14:textId="77777777" w:rsidR="00241093" w:rsidRPr="000925A8" w:rsidRDefault="00241093">
      <w:pPr>
        <w:pStyle w:val="R2"/>
        <w:spacing w:before="0"/>
      </w:pPr>
      <w:r w:rsidRPr="000925A8">
        <w:br w:type="page"/>
        <w:t>Kommunurval</w:t>
      </w:r>
    </w:p>
    <w:tbl>
      <w:tblPr>
        <w:tblW w:w="0" w:type="auto"/>
        <w:tblInd w:w="-30" w:type="dxa"/>
        <w:tblLayout w:type="fixed"/>
        <w:tblCellMar>
          <w:left w:w="30" w:type="dxa"/>
          <w:right w:w="30" w:type="dxa"/>
        </w:tblCellMar>
        <w:tblLook w:val="0000" w:firstRow="0" w:lastRow="0" w:firstColumn="0" w:lastColumn="0" w:noHBand="0" w:noVBand="0"/>
      </w:tblPr>
      <w:tblGrid>
        <w:gridCol w:w="1970"/>
        <w:gridCol w:w="1840"/>
        <w:gridCol w:w="2610"/>
      </w:tblGrid>
      <w:tr w:rsidR="00000000" w:rsidRPr="000925A8" w14:paraId="6ED1197B" w14:textId="77777777">
        <w:tblPrEx>
          <w:tblCellMar>
            <w:top w:w="0" w:type="dxa"/>
            <w:bottom w:w="0" w:type="dxa"/>
          </w:tblCellMar>
        </w:tblPrEx>
        <w:trPr>
          <w:trHeight w:val="247"/>
        </w:trPr>
        <w:tc>
          <w:tcPr>
            <w:tcW w:w="1970" w:type="dxa"/>
            <w:tcBorders>
              <w:bottom w:val="single" w:sz="6" w:space="0" w:color="auto"/>
            </w:tcBorders>
          </w:tcPr>
          <w:p w14:paraId="39EE2AF8" w14:textId="77777777" w:rsidR="00241093" w:rsidRPr="000925A8" w:rsidRDefault="00241093">
            <w:pPr>
              <w:pStyle w:val="R3"/>
            </w:pPr>
            <w:r w:rsidRPr="000925A8">
              <w:t>Kommun</w:t>
            </w:r>
          </w:p>
        </w:tc>
        <w:tc>
          <w:tcPr>
            <w:tcW w:w="1840" w:type="dxa"/>
            <w:tcBorders>
              <w:bottom w:val="single" w:sz="6" w:space="0" w:color="auto"/>
            </w:tcBorders>
          </w:tcPr>
          <w:p w14:paraId="00F32C9C" w14:textId="77777777" w:rsidR="00241093" w:rsidRPr="000925A8" w:rsidRDefault="00241093">
            <w:pPr>
              <w:pStyle w:val="R3"/>
              <w:rPr>
                <w:snapToGrid w:val="0"/>
                <w:lang w:eastAsia="sv-SE"/>
              </w:rPr>
            </w:pPr>
            <w:r w:rsidRPr="000925A8">
              <w:rPr>
                <w:snapToGrid w:val="0"/>
                <w:lang w:eastAsia="sv-SE"/>
              </w:rPr>
              <w:t>Län</w:t>
            </w:r>
          </w:p>
        </w:tc>
        <w:tc>
          <w:tcPr>
            <w:tcW w:w="2610" w:type="dxa"/>
            <w:tcBorders>
              <w:bottom w:val="single" w:sz="6" w:space="0" w:color="auto"/>
            </w:tcBorders>
          </w:tcPr>
          <w:p w14:paraId="0C031F36" w14:textId="77777777" w:rsidR="00241093" w:rsidRPr="000925A8" w:rsidRDefault="00241093">
            <w:pPr>
              <w:pStyle w:val="R3"/>
              <w:rPr>
                <w:snapToGrid w:val="0"/>
                <w:lang w:eastAsia="sv-SE"/>
              </w:rPr>
            </w:pPr>
            <w:r w:rsidRPr="000925A8">
              <w:rPr>
                <w:snapToGrid w:val="0"/>
                <w:lang w:eastAsia="sv-SE"/>
              </w:rPr>
              <w:t>Kommuntyp</w:t>
            </w:r>
          </w:p>
        </w:tc>
      </w:tr>
      <w:tr w:rsidR="00000000" w:rsidRPr="000925A8" w14:paraId="2591A473"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66CB783C" w14:textId="77777777" w:rsidR="00241093" w:rsidRPr="000925A8" w:rsidRDefault="00241093">
            <w:pPr>
              <w:spacing w:after="60"/>
              <w:rPr>
                <w:snapToGrid w:val="0"/>
                <w:lang w:eastAsia="sv-SE"/>
              </w:rPr>
            </w:pPr>
            <w:r w:rsidRPr="000925A8">
              <w:rPr>
                <w:snapToGrid w:val="0"/>
                <w:lang w:eastAsia="sv-SE"/>
              </w:rPr>
              <w:t>Olofström</w:t>
            </w:r>
          </w:p>
        </w:tc>
        <w:tc>
          <w:tcPr>
            <w:tcW w:w="1840" w:type="dxa"/>
            <w:tcBorders>
              <w:top w:val="single" w:sz="6" w:space="0" w:color="auto"/>
              <w:left w:val="single" w:sz="6" w:space="0" w:color="auto"/>
              <w:bottom w:val="single" w:sz="6" w:space="0" w:color="auto"/>
              <w:right w:val="single" w:sz="6" w:space="0" w:color="auto"/>
            </w:tcBorders>
          </w:tcPr>
          <w:p w14:paraId="26D07149" w14:textId="77777777" w:rsidR="00241093" w:rsidRPr="000925A8" w:rsidRDefault="00241093">
            <w:pPr>
              <w:spacing w:after="60"/>
              <w:rPr>
                <w:snapToGrid w:val="0"/>
                <w:lang w:eastAsia="sv-SE"/>
              </w:rPr>
            </w:pPr>
            <w:r w:rsidRPr="000925A8">
              <w:rPr>
                <w:snapToGrid w:val="0"/>
                <w:lang w:eastAsia="sv-SE"/>
              </w:rPr>
              <w:t>Blekinge</w:t>
            </w:r>
          </w:p>
        </w:tc>
        <w:tc>
          <w:tcPr>
            <w:tcW w:w="2610" w:type="dxa"/>
            <w:tcBorders>
              <w:top w:val="single" w:sz="6" w:space="0" w:color="auto"/>
              <w:left w:val="single" w:sz="6" w:space="0" w:color="auto"/>
              <w:bottom w:val="single" w:sz="6" w:space="0" w:color="auto"/>
              <w:right w:val="single" w:sz="6" w:space="0" w:color="auto"/>
            </w:tcBorders>
          </w:tcPr>
          <w:p w14:paraId="2596CF0B" w14:textId="77777777" w:rsidR="00241093" w:rsidRPr="000925A8" w:rsidRDefault="00241093">
            <w:pPr>
              <w:spacing w:after="60"/>
              <w:ind w:right="-30"/>
              <w:rPr>
                <w:snapToGrid w:val="0"/>
                <w:lang w:eastAsia="sv-SE"/>
              </w:rPr>
            </w:pPr>
            <w:r w:rsidRPr="000925A8">
              <w:rPr>
                <w:snapToGrid w:val="0"/>
                <w:lang w:eastAsia="sv-SE"/>
              </w:rPr>
              <w:t>Industrikommun</w:t>
            </w:r>
          </w:p>
        </w:tc>
      </w:tr>
      <w:tr w:rsidR="00000000" w:rsidRPr="000925A8" w14:paraId="4859E290"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5F5EA63E" w14:textId="77777777" w:rsidR="00241093" w:rsidRPr="000925A8" w:rsidRDefault="00241093">
            <w:pPr>
              <w:spacing w:after="60"/>
              <w:rPr>
                <w:snapToGrid w:val="0"/>
                <w:lang w:eastAsia="sv-SE"/>
              </w:rPr>
            </w:pPr>
            <w:r w:rsidRPr="000925A8">
              <w:rPr>
                <w:snapToGrid w:val="0"/>
                <w:lang w:eastAsia="sv-SE"/>
              </w:rPr>
              <w:t>Ronneby</w:t>
            </w:r>
          </w:p>
        </w:tc>
        <w:tc>
          <w:tcPr>
            <w:tcW w:w="1840" w:type="dxa"/>
            <w:tcBorders>
              <w:top w:val="single" w:sz="6" w:space="0" w:color="auto"/>
              <w:left w:val="single" w:sz="6" w:space="0" w:color="auto"/>
              <w:bottom w:val="single" w:sz="6" w:space="0" w:color="auto"/>
              <w:right w:val="single" w:sz="6" w:space="0" w:color="auto"/>
            </w:tcBorders>
          </w:tcPr>
          <w:p w14:paraId="4D1C89E4" w14:textId="77777777" w:rsidR="00241093" w:rsidRPr="000925A8" w:rsidRDefault="00241093">
            <w:pPr>
              <w:spacing w:after="60"/>
              <w:rPr>
                <w:snapToGrid w:val="0"/>
                <w:lang w:eastAsia="sv-SE"/>
              </w:rPr>
            </w:pPr>
            <w:r w:rsidRPr="000925A8">
              <w:rPr>
                <w:snapToGrid w:val="0"/>
                <w:lang w:eastAsia="sv-SE"/>
              </w:rPr>
              <w:t>Blekinge</w:t>
            </w:r>
          </w:p>
        </w:tc>
        <w:tc>
          <w:tcPr>
            <w:tcW w:w="2610" w:type="dxa"/>
            <w:tcBorders>
              <w:top w:val="single" w:sz="6" w:space="0" w:color="auto"/>
              <w:left w:val="single" w:sz="6" w:space="0" w:color="auto"/>
              <w:bottom w:val="single" w:sz="6" w:space="0" w:color="auto"/>
              <w:right w:val="single" w:sz="6" w:space="0" w:color="auto"/>
            </w:tcBorders>
          </w:tcPr>
          <w:p w14:paraId="5AE2C2D9" w14:textId="77777777" w:rsidR="00241093" w:rsidRPr="000925A8" w:rsidRDefault="00241093">
            <w:pPr>
              <w:spacing w:after="60"/>
              <w:rPr>
                <w:snapToGrid w:val="0"/>
                <w:lang w:eastAsia="sv-SE"/>
              </w:rPr>
            </w:pPr>
            <w:r w:rsidRPr="000925A8">
              <w:rPr>
                <w:snapToGrid w:val="0"/>
                <w:lang w:eastAsia="sv-SE"/>
              </w:rPr>
              <w:t>Medelstor stad</w:t>
            </w:r>
          </w:p>
        </w:tc>
      </w:tr>
      <w:tr w:rsidR="00000000" w:rsidRPr="000925A8" w14:paraId="4E4A73D4"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3B557F16" w14:textId="77777777" w:rsidR="00241093" w:rsidRPr="000925A8" w:rsidRDefault="00241093">
            <w:pPr>
              <w:spacing w:after="60"/>
              <w:rPr>
                <w:snapToGrid w:val="0"/>
                <w:lang w:eastAsia="sv-SE"/>
              </w:rPr>
            </w:pPr>
            <w:r w:rsidRPr="000925A8">
              <w:rPr>
                <w:snapToGrid w:val="0"/>
                <w:lang w:eastAsia="sv-SE"/>
              </w:rPr>
              <w:t>Borlänge</w:t>
            </w:r>
          </w:p>
        </w:tc>
        <w:tc>
          <w:tcPr>
            <w:tcW w:w="1840" w:type="dxa"/>
            <w:tcBorders>
              <w:top w:val="single" w:sz="6" w:space="0" w:color="auto"/>
              <w:left w:val="single" w:sz="6" w:space="0" w:color="auto"/>
              <w:bottom w:val="single" w:sz="6" w:space="0" w:color="auto"/>
              <w:right w:val="single" w:sz="6" w:space="0" w:color="auto"/>
            </w:tcBorders>
          </w:tcPr>
          <w:p w14:paraId="59F9417D" w14:textId="77777777" w:rsidR="00241093" w:rsidRPr="000925A8" w:rsidRDefault="00241093">
            <w:pPr>
              <w:spacing w:after="60"/>
              <w:rPr>
                <w:snapToGrid w:val="0"/>
                <w:lang w:eastAsia="sv-SE"/>
              </w:rPr>
            </w:pPr>
            <w:r w:rsidRPr="000925A8">
              <w:rPr>
                <w:snapToGrid w:val="0"/>
                <w:lang w:eastAsia="sv-SE"/>
              </w:rPr>
              <w:t>Dalarna</w:t>
            </w:r>
          </w:p>
        </w:tc>
        <w:tc>
          <w:tcPr>
            <w:tcW w:w="2610" w:type="dxa"/>
            <w:tcBorders>
              <w:top w:val="single" w:sz="6" w:space="0" w:color="auto"/>
              <w:left w:val="single" w:sz="6" w:space="0" w:color="auto"/>
              <w:bottom w:val="single" w:sz="6" w:space="0" w:color="auto"/>
              <w:right w:val="single" w:sz="6" w:space="0" w:color="auto"/>
            </w:tcBorders>
          </w:tcPr>
          <w:p w14:paraId="4A5231B9" w14:textId="77777777" w:rsidR="00241093" w:rsidRPr="000925A8" w:rsidRDefault="00241093">
            <w:pPr>
              <w:spacing w:after="60"/>
              <w:rPr>
                <w:snapToGrid w:val="0"/>
                <w:lang w:eastAsia="sv-SE"/>
              </w:rPr>
            </w:pPr>
            <w:r w:rsidRPr="000925A8">
              <w:rPr>
                <w:snapToGrid w:val="0"/>
                <w:lang w:eastAsia="sv-SE"/>
              </w:rPr>
              <w:t>Medelstor stad</w:t>
            </w:r>
          </w:p>
        </w:tc>
      </w:tr>
      <w:tr w:rsidR="00000000" w:rsidRPr="000925A8" w14:paraId="750FA5E8"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194A5BE4" w14:textId="77777777" w:rsidR="00241093" w:rsidRPr="000925A8" w:rsidRDefault="00241093">
            <w:pPr>
              <w:spacing w:after="60"/>
              <w:rPr>
                <w:snapToGrid w:val="0"/>
                <w:lang w:eastAsia="sv-SE"/>
              </w:rPr>
            </w:pPr>
            <w:r w:rsidRPr="000925A8">
              <w:rPr>
                <w:snapToGrid w:val="0"/>
                <w:lang w:eastAsia="sv-SE"/>
              </w:rPr>
              <w:t>Malung</w:t>
            </w:r>
          </w:p>
        </w:tc>
        <w:tc>
          <w:tcPr>
            <w:tcW w:w="1840" w:type="dxa"/>
            <w:tcBorders>
              <w:top w:val="single" w:sz="6" w:space="0" w:color="auto"/>
              <w:left w:val="single" w:sz="6" w:space="0" w:color="auto"/>
              <w:bottom w:val="single" w:sz="6" w:space="0" w:color="auto"/>
              <w:right w:val="single" w:sz="6" w:space="0" w:color="auto"/>
            </w:tcBorders>
          </w:tcPr>
          <w:p w14:paraId="54B4056E" w14:textId="77777777" w:rsidR="00241093" w:rsidRPr="000925A8" w:rsidRDefault="00241093">
            <w:pPr>
              <w:spacing w:after="60"/>
              <w:rPr>
                <w:snapToGrid w:val="0"/>
                <w:lang w:eastAsia="sv-SE"/>
              </w:rPr>
            </w:pPr>
            <w:r w:rsidRPr="000925A8">
              <w:rPr>
                <w:snapToGrid w:val="0"/>
                <w:lang w:eastAsia="sv-SE"/>
              </w:rPr>
              <w:t>Dalarna</w:t>
            </w:r>
          </w:p>
        </w:tc>
        <w:tc>
          <w:tcPr>
            <w:tcW w:w="2610" w:type="dxa"/>
            <w:tcBorders>
              <w:top w:val="single" w:sz="6" w:space="0" w:color="auto"/>
              <w:left w:val="single" w:sz="6" w:space="0" w:color="auto"/>
              <w:bottom w:val="single" w:sz="6" w:space="0" w:color="auto"/>
              <w:right w:val="single" w:sz="6" w:space="0" w:color="auto"/>
            </w:tcBorders>
          </w:tcPr>
          <w:p w14:paraId="1941315E" w14:textId="77777777" w:rsidR="00241093" w:rsidRPr="000925A8" w:rsidRDefault="00241093">
            <w:pPr>
              <w:spacing w:after="60"/>
              <w:rPr>
                <w:snapToGrid w:val="0"/>
                <w:lang w:eastAsia="sv-SE"/>
              </w:rPr>
            </w:pPr>
            <w:r w:rsidRPr="000925A8">
              <w:rPr>
                <w:snapToGrid w:val="0"/>
                <w:lang w:eastAsia="sv-SE"/>
              </w:rPr>
              <w:t>Glesbygdskommun</w:t>
            </w:r>
          </w:p>
        </w:tc>
      </w:tr>
      <w:tr w:rsidR="00000000" w:rsidRPr="000925A8" w14:paraId="4063FA40"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745CAF69" w14:textId="77777777" w:rsidR="00241093" w:rsidRPr="000925A8" w:rsidRDefault="00241093">
            <w:pPr>
              <w:spacing w:after="60"/>
              <w:rPr>
                <w:snapToGrid w:val="0"/>
                <w:lang w:eastAsia="sv-SE"/>
              </w:rPr>
            </w:pPr>
            <w:r w:rsidRPr="000925A8">
              <w:rPr>
                <w:snapToGrid w:val="0"/>
                <w:lang w:eastAsia="sv-SE"/>
              </w:rPr>
              <w:t>Ljusdal</w:t>
            </w:r>
          </w:p>
        </w:tc>
        <w:tc>
          <w:tcPr>
            <w:tcW w:w="1840" w:type="dxa"/>
            <w:tcBorders>
              <w:top w:val="single" w:sz="6" w:space="0" w:color="auto"/>
              <w:left w:val="single" w:sz="6" w:space="0" w:color="auto"/>
              <w:bottom w:val="single" w:sz="6" w:space="0" w:color="auto"/>
              <w:right w:val="single" w:sz="6" w:space="0" w:color="auto"/>
            </w:tcBorders>
          </w:tcPr>
          <w:p w14:paraId="22C25259" w14:textId="77777777" w:rsidR="00241093" w:rsidRPr="000925A8" w:rsidRDefault="00241093">
            <w:pPr>
              <w:spacing w:after="60"/>
              <w:rPr>
                <w:snapToGrid w:val="0"/>
                <w:lang w:eastAsia="sv-SE"/>
              </w:rPr>
            </w:pPr>
            <w:r w:rsidRPr="000925A8">
              <w:rPr>
                <w:snapToGrid w:val="0"/>
                <w:lang w:eastAsia="sv-SE"/>
              </w:rPr>
              <w:t>Gävleborg</w:t>
            </w:r>
          </w:p>
        </w:tc>
        <w:tc>
          <w:tcPr>
            <w:tcW w:w="2610" w:type="dxa"/>
            <w:tcBorders>
              <w:top w:val="single" w:sz="6" w:space="0" w:color="auto"/>
              <w:left w:val="single" w:sz="6" w:space="0" w:color="auto"/>
              <w:bottom w:val="single" w:sz="6" w:space="0" w:color="auto"/>
              <w:right w:val="single" w:sz="6" w:space="0" w:color="auto"/>
            </w:tcBorders>
          </w:tcPr>
          <w:p w14:paraId="13DDD5E9" w14:textId="77777777" w:rsidR="00241093" w:rsidRPr="000925A8" w:rsidRDefault="00241093">
            <w:pPr>
              <w:spacing w:after="60"/>
              <w:rPr>
                <w:snapToGrid w:val="0"/>
                <w:lang w:eastAsia="sv-SE"/>
              </w:rPr>
            </w:pPr>
            <w:r w:rsidRPr="000925A8">
              <w:rPr>
                <w:snapToGrid w:val="0"/>
                <w:lang w:eastAsia="sv-SE"/>
              </w:rPr>
              <w:t>Landsbygdskommun</w:t>
            </w:r>
          </w:p>
        </w:tc>
      </w:tr>
      <w:tr w:rsidR="00000000" w:rsidRPr="000925A8" w14:paraId="1A266106"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56844257" w14:textId="77777777" w:rsidR="00241093" w:rsidRPr="000925A8" w:rsidRDefault="00241093">
            <w:pPr>
              <w:spacing w:after="60"/>
              <w:rPr>
                <w:snapToGrid w:val="0"/>
                <w:lang w:eastAsia="sv-SE"/>
              </w:rPr>
            </w:pPr>
            <w:r w:rsidRPr="000925A8">
              <w:rPr>
                <w:snapToGrid w:val="0"/>
                <w:lang w:eastAsia="sv-SE"/>
              </w:rPr>
              <w:t>Söderhamn</w:t>
            </w:r>
          </w:p>
        </w:tc>
        <w:tc>
          <w:tcPr>
            <w:tcW w:w="1840" w:type="dxa"/>
            <w:tcBorders>
              <w:top w:val="single" w:sz="6" w:space="0" w:color="auto"/>
              <w:left w:val="single" w:sz="6" w:space="0" w:color="auto"/>
              <w:bottom w:val="single" w:sz="6" w:space="0" w:color="auto"/>
              <w:right w:val="single" w:sz="6" w:space="0" w:color="auto"/>
            </w:tcBorders>
          </w:tcPr>
          <w:p w14:paraId="2AF1DC52" w14:textId="77777777" w:rsidR="00241093" w:rsidRPr="000925A8" w:rsidRDefault="00241093">
            <w:pPr>
              <w:spacing w:after="60"/>
              <w:rPr>
                <w:snapToGrid w:val="0"/>
                <w:lang w:eastAsia="sv-SE"/>
              </w:rPr>
            </w:pPr>
            <w:r w:rsidRPr="000925A8">
              <w:rPr>
                <w:snapToGrid w:val="0"/>
                <w:lang w:eastAsia="sv-SE"/>
              </w:rPr>
              <w:t>Gävleborg</w:t>
            </w:r>
          </w:p>
        </w:tc>
        <w:tc>
          <w:tcPr>
            <w:tcW w:w="2610" w:type="dxa"/>
            <w:tcBorders>
              <w:top w:val="single" w:sz="6" w:space="0" w:color="auto"/>
              <w:left w:val="single" w:sz="6" w:space="0" w:color="auto"/>
              <w:bottom w:val="single" w:sz="6" w:space="0" w:color="auto"/>
              <w:right w:val="single" w:sz="6" w:space="0" w:color="auto"/>
            </w:tcBorders>
          </w:tcPr>
          <w:p w14:paraId="1B9E1207" w14:textId="77777777" w:rsidR="00241093" w:rsidRPr="000925A8" w:rsidRDefault="00241093">
            <w:pPr>
              <w:spacing w:after="60"/>
              <w:rPr>
                <w:snapToGrid w:val="0"/>
                <w:lang w:eastAsia="sv-SE"/>
              </w:rPr>
            </w:pPr>
            <w:r w:rsidRPr="000925A8">
              <w:rPr>
                <w:snapToGrid w:val="0"/>
                <w:lang w:eastAsia="sv-SE"/>
              </w:rPr>
              <w:t>Medelstor stad</w:t>
            </w:r>
          </w:p>
        </w:tc>
      </w:tr>
      <w:tr w:rsidR="00000000" w:rsidRPr="000925A8" w14:paraId="0F610611"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4D64EBC9" w14:textId="77777777" w:rsidR="00241093" w:rsidRPr="000925A8" w:rsidRDefault="00241093">
            <w:pPr>
              <w:spacing w:after="60"/>
              <w:rPr>
                <w:snapToGrid w:val="0"/>
                <w:lang w:eastAsia="sv-SE"/>
              </w:rPr>
            </w:pPr>
            <w:r w:rsidRPr="000925A8">
              <w:rPr>
                <w:snapToGrid w:val="0"/>
                <w:lang w:eastAsia="sv-SE"/>
              </w:rPr>
              <w:t>Falkenberg</w:t>
            </w:r>
          </w:p>
        </w:tc>
        <w:tc>
          <w:tcPr>
            <w:tcW w:w="1840" w:type="dxa"/>
            <w:tcBorders>
              <w:top w:val="single" w:sz="6" w:space="0" w:color="auto"/>
              <w:left w:val="single" w:sz="6" w:space="0" w:color="auto"/>
              <w:bottom w:val="single" w:sz="6" w:space="0" w:color="auto"/>
              <w:right w:val="single" w:sz="6" w:space="0" w:color="auto"/>
            </w:tcBorders>
          </w:tcPr>
          <w:p w14:paraId="33B6583C" w14:textId="77777777" w:rsidR="00241093" w:rsidRPr="000925A8" w:rsidRDefault="00241093">
            <w:pPr>
              <w:spacing w:after="60"/>
              <w:rPr>
                <w:snapToGrid w:val="0"/>
                <w:lang w:eastAsia="sv-SE"/>
              </w:rPr>
            </w:pPr>
            <w:r w:rsidRPr="000925A8">
              <w:rPr>
                <w:snapToGrid w:val="0"/>
                <w:lang w:eastAsia="sv-SE"/>
              </w:rPr>
              <w:t>Halland</w:t>
            </w:r>
          </w:p>
        </w:tc>
        <w:tc>
          <w:tcPr>
            <w:tcW w:w="2610" w:type="dxa"/>
            <w:tcBorders>
              <w:top w:val="single" w:sz="6" w:space="0" w:color="auto"/>
              <w:left w:val="single" w:sz="6" w:space="0" w:color="auto"/>
              <w:bottom w:val="single" w:sz="6" w:space="0" w:color="auto"/>
              <w:right w:val="single" w:sz="6" w:space="0" w:color="auto"/>
            </w:tcBorders>
          </w:tcPr>
          <w:p w14:paraId="7563C3F2" w14:textId="77777777" w:rsidR="00241093" w:rsidRPr="000925A8" w:rsidRDefault="00241093">
            <w:pPr>
              <w:spacing w:after="60"/>
              <w:rPr>
                <w:snapToGrid w:val="0"/>
                <w:lang w:eastAsia="sv-SE"/>
              </w:rPr>
            </w:pPr>
            <w:r w:rsidRPr="000925A8">
              <w:rPr>
                <w:snapToGrid w:val="0"/>
                <w:lang w:eastAsia="sv-SE"/>
              </w:rPr>
              <w:t>Medelstor stad</w:t>
            </w:r>
          </w:p>
        </w:tc>
      </w:tr>
      <w:tr w:rsidR="00000000" w:rsidRPr="000925A8" w14:paraId="4350BDE8"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18326410" w14:textId="77777777" w:rsidR="00241093" w:rsidRPr="000925A8" w:rsidRDefault="00241093">
            <w:pPr>
              <w:spacing w:after="60"/>
              <w:rPr>
                <w:snapToGrid w:val="0"/>
                <w:lang w:eastAsia="sv-SE"/>
              </w:rPr>
            </w:pPr>
            <w:r w:rsidRPr="000925A8">
              <w:rPr>
                <w:snapToGrid w:val="0"/>
                <w:lang w:eastAsia="sv-SE"/>
              </w:rPr>
              <w:t>Laholm</w:t>
            </w:r>
          </w:p>
        </w:tc>
        <w:tc>
          <w:tcPr>
            <w:tcW w:w="1840" w:type="dxa"/>
            <w:tcBorders>
              <w:top w:val="single" w:sz="6" w:space="0" w:color="auto"/>
              <w:left w:val="single" w:sz="6" w:space="0" w:color="auto"/>
              <w:bottom w:val="single" w:sz="6" w:space="0" w:color="auto"/>
              <w:right w:val="single" w:sz="6" w:space="0" w:color="auto"/>
            </w:tcBorders>
          </w:tcPr>
          <w:p w14:paraId="603581E4" w14:textId="77777777" w:rsidR="00241093" w:rsidRPr="000925A8" w:rsidRDefault="00241093">
            <w:pPr>
              <w:spacing w:after="60"/>
              <w:rPr>
                <w:snapToGrid w:val="0"/>
                <w:lang w:eastAsia="sv-SE"/>
              </w:rPr>
            </w:pPr>
            <w:r w:rsidRPr="000925A8">
              <w:rPr>
                <w:snapToGrid w:val="0"/>
                <w:lang w:eastAsia="sv-SE"/>
              </w:rPr>
              <w:t>Halland</w:t>
            </w:r>
          </w:p>
        </w:tc>
        <w:tc>
          <w:tcPr>
            <w:tcW w:w="2610" w:type="dxa"/>
            <w:tcBorders>
              <w:top w:val="single" w:sz="6" w:space="0" w:color="auto"/>
              <w:left w:val="single" w:sz="6" w:space="0" w:color="auto"/>
              <w:bottom w:val="single" w:sz="6" w:space="0" w:color="auto"/>
              <w:right w:val="single" w:sz="6" w:space="0" w:color="auto"/>
            </w:tcBorders>
          </w:tcPr>
          <w:p w14:paraId="7FC4FDFD" w14:textId="77777777" w:rsidR="00241093" w:rsidRPr="000925A8" w:rsidRDefault="00241093">
            <w:pPr>
              <w:spacing w:after="60"/>
              <w:rPr>
                <w:snapToGrid w:val="0"/>
                <w:lang w:eastAsia="sv-SE"/>
              </w:rPr>
            </w:pPr>
            <w:r w:rsidRPr="000925A8">
              <w:rPr>
                <w:snapToGrid w:val="0"/>
                <w:lang w:eastAsia="sv-SE"/>
              </w:rPr>
              <w:t>Landsbygdskommun</w:t>
            </w:r>
          </w:p>
        </w:tc>
      </w:tr>
      <w:tr w:rsidR="00000000" w:rsidRPr="000925A8" w14:paraId="70933EF2"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0B9255CF" w14:textId="77777777" w:rsidR="00241093" w:rsidRPr="000925A8" w:rsidRDefault="00241093">
            <w:pPr>
              <w:spacing w:after="60"/>
              <w:rPr>
                <w:snapToGrid w:val="0"/>
                <w:lang w:eastAsia="sv-SE"/>
              </w:rPr>
            </w:pPr>
            <w:r w:rsidRPr="000925A8">
              <w:rPr>
                <w:snapToGrid w:val="0"/>
                <w:lang w:eastAsia="sv-SE"/>
              </w:rPr>
              <w:t>Bräcke</w:t>
            </w:r>
          </w:p>
        </w:tc>
        <w:tc>
          <w:tcPr>
            <w:tcW w:w="1840" w:type="dxa"/>
            <w:tcBorders>
              <w:top w:val="single" w:sz="6" w:space="0" w:color="auto"/>
              <w:left w:val="single" w:sz="6" w:space="0" w:color="auto"/>
              <w:bottom w:val="single" w:sz="6" w:space="0" w:color="auto"/>
              <w:right w:val="single" w:sz="6" w:space="0" w:color="auto"/>
            </w:tcBorders>
          </w:tcPr>
          <w:p w14:paraId="07F2A897" w14:textId="77777777" w:rsidR="00241093" w:rsidRPr="000925A8" w:rsidRDefault="00241093">
            <w:pPr>
              <w:spacing w:after="60"/>
              <w:rPr>
                <w:snapToGrid w:val="0"/>
                <w:lang w:eastAsia="sv-SE"/>
              </w:rPr>
            </w:pPr>
            <w:r w:rsidRPr="000925A8">
              <w:rPr>
                <w:snapToGrid w:val="0"/>
                <w:lang w:eastAsia="sv-SE"/>
              </w:rPr>
              <w:t>Jämtland</w:t>
            </w:r>
          </w:p>
        </w:tc>
        <w:tc>
          <w:tcPr>
            <w:tcW w:w="2610" w:type="dxa"/>
            <w:tcBorders>
              <w:top w:val="single" w:sz="6" w:space="0" w:color="auto"/>
              <w:left w:val="single" w:sz="6" w:space="0" w:color="auto"/>
              <w:bottom w:val="single" w:sz="6" w:space="0" w:color="auto"/>
              <w:right w:val="single" w:sz="6" w:space="0" w:color="auto"/>
            </w:tcBorders>
          </w:tcPr>
          <w:p w14:paraId="033A59CA" w14:textId="77777777" w:rsidR="00241093" w:rsidRPr="000925A8" w:rsidRDefault="00241093">
            <w:pPr>
              <w:spacing w:after="60"/>
              <w:rPr>
                <w:snapToGrid w:val="0"/>
                <w:lang w:eastAsia="sv-SE"/>
              </w:rPr>
            </w:pPr>
            <w:r w:rsidRPr="000925A8">
              <w:rPr>
                <w:snapToGrid w:val="0"/>
                <w:lang w:eastAsia="sv-SE"/>
              </w:rPr>
              <w:t>Glesbygdskommun</w:t>
            </w:r>
          </w:p>
        </w:tc>
      </w:tr>
      <w:tr w:rsidR="00000000" w:rsidRPr="000925A8" w14:paraId="2DD3F550"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5BE2BC55" w14:textId="77777777" w:rsidR="00241093" w:rsidRPr="000925A8" w:rsidRDefault="00241093">
            <w:pPr>
              <w:spacing w:after="60"/>
              <w:rPr>
                <w:snapToGrid w:val="0"/>
                <w:lang w:eastAsia="sv-SE"/>
              </w:rPr>
            </w:pPr>
            <w:r w:rsidRPr="000925A8">
              <w:rPr>
                <w:snapToGrid w:val="0"/>
                <w:lang w:eastAsia="sv-SE"/>
              </w:rPr>
              <w:t>Östersund</w:t>
            </w:r>
          </w:p>
        </w:tc>
        <w:tc>
          <w:tcPr>
            <w:tcW w:w="1840" w:type="dxa"/>
            <w:tcBorders>
              <w:top w:val="single" w:sz="6" w:space="0" w:color="auto"/>
              <w:left w:val="single" w:sz="6" w:space="0" w:color="auto"/>
              <w:bottom w:val="single" w:sz="6" w:space="0" w:color="auto"/>
              <w:right w:val="single" w:sz="6" w:space="0" w:color="auto"/>
            </w:tcBorders>
          </w:tcPr>
          <w:p w14:paraId="245FE15F" w14:textId="77777777" w:rsidR="00241093" w:rsidRPr="000925A8" w:rsidRDefault="00241093">
            <w:pPr>
              <w:spacing w:after="60"/>
              <w:rPr>
                <w:snapToGrid w:val="0"/>
                <w:lang w:eastAsia="sv-SE"/>
              </w:rPr>
            </w:pPr>
            <w:r w:rsidRPr="000925A8">
              <w:rPr>
                <w:snapToGrid w:val="0"/>
                <w:lang w:eastAsia="sv-SE"/>
              </w:rPr>
              <w:t>Jämtland</w:t>
            </w:r>
          </w:p>
        </w:tc>
        <w:tc>
          <w:tcPr>
            <w:tcW w:w="2610" w:type="dxa"/>
            <w:tcBorders>
              <w:top w:val="single" w:sz="6" w:space="0" w:color="auto"/>
              <w:left w:val="single" w:sz="6" w:space="0" w:color="auto"/>
              <w:bottom w:val="single" w:sz="6" w:space="0" w:color="auto"/>
              <w:right w:val="single" w:sz="6" w:space="0" w:color="auto"/>
            </w:tcBorders>
          </w:tcPr>
          <w:p w14:paraId="0D55C0D9" w14:textId="77777777" w:rsidR="00241093" w:rsidRPr="000925A8" w:rsidRDefault="00241093">
            <w:pPr>
              <w:spacing w:after="60"/>
              <w:rPr>
                <w:snapToGrid w:val="0"/>
                <w:lang w:eastAsia="sv-SE"/>
              </w:rPr>
            </w:pPr>
            <w:r w:rsidRPr="000925A8">
              <w:rPr>
                <w:snapToGrid w:val="0"/>
                <w:lang w:eastAsia="sv-SE"/>
              </w:rPr>
              <w:t>Större stad</w:t>
            </w:r>
          </w:p>
        </w:tc>
      </w:tr>
      <w:tr w:rsidR="00000000" w:rsidRPr="000925A8" w14:paraId="6388296F"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3776C58C" w14:textId="77777777" w:rsidR="00241093" w:rsidRPr="000925A8" w:rsidRDefault="00241093">
            <w:pPr>
              <w:spacing w:after="60"/>
              <w:rPr>
                <w:snapToGrid w:val="0"/>
                <w:lang w:eastAsia="sv-SE"/>
              </w:rPr>
            </w:pPr>
            <w:r w:rsidRPr="000925A8">
              <w:rPr>
                <w:snapToGrid w:val="0"/>
                <w:lang w:eastAsia="sv-SE"/>
              </w:rPr>
              <w:t>Nässjö</w:t>
            </w:r>
          </w:p>
        </w:tc>
        <w:tc>
          <w:tcPr>
            <w:tcW w:w="1840" w:type="dxa"/>
            <w:tcBorders>
              <w:top w:val="single" w:sz="6" w:space="0" w:color="auto"/>
              <w:left w:val="single" w:sz="6" w:space="0" w:color="auto"/>
              <w:bottom w:val="single" w:sz="6" w:space="0" w:color="auto"/>
              <w:right w:val="single" w:sz="6" w:space="0" w:color="auto"/>
            </w:tcBorders>
          </w:tcPr>
          <w:p w14:paraId="62854A46" w14:textId="77777777" w:rsidR="00241093" w:rsidRPr="000925A8" w:rsidRDefault="00241093">
            <w:pPr>
              <w:spacing w:after="60"/>
              <w:rPr>
                <w:snapToGrid w:val="0"/>
                <w:lang w:eastAsia="sv-SE"/>
              </w:rPr>
            </w:pPr>
            <w:r w:rsidRPr="000925A8">
              <w:rPr>
                <w:snapToGrid w:val="0"/>
                <w:lang w:eastAsia="sv-SE"/>
              </w:rPr>
              <w:t>Jönköping</w:t>
            </w:r>
          </w:p>
        </w:tc>
        <w:tc>
          <w:tcPr>
            <w:tcW w:w="2610" w:type="dxa"/>
            <w:tcBorders>
              <w:top w:val="single" w:sz="6" w:space="0" w:color="auto"/>
              <w:left w:val="single" w:sz="6" w:space="0" w:color="auto"/>
              <w:bottom w:val="single" w:sz="6" w:space="0" w:color="auto"/>
              <w:right w:val="single" w:sz="6" w:space="0" w:color="auto"/>
            </w:tcBorders>
          </w:tcPr>
          <w:p w14:paraId="2E7F4509" w14:textId="77777777" w:rsidR="00241093" w:rsidRPr="000925A8" w:rsidRDefault="00241093">
            <w:pPr>
              <w:spacing w:after="60"/>
              <w:rPr>
                <w:snapToGrid w:val="0"/>
                <w:lang w:eastAsia="sv-SE"/>
              </w:rPr>
            </w:pPr>
            <w:r w:rsidRPr="000925A8">
              <w:rPr>
                <w:snapToGrid w:val="0"/>
                <w:lang w:eastAsia="sv-SE"/>
              </w:rPr>
              <w:t>Medelstor stad</w:t>
            </w:r>
          </w:p>
        </w:tc>
      </w:tr>
      <w:tr w:rsidR="00000000" w:rsidRPr="000925A8" w14:paraId="2FD28E11"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79AA65E1" w14:textId="77777777" w:rsidR="00241093" w:rsidRPr="000925A8" w:rsidRDefault="00241093">
            <w:pPr>
              <w:spacing w:after="60"/>
              <w:rPr>
                <w:snapToGrid w:val="0"/>
                <w:lang w:eastAsia="sv-SE"/>
              </w:rPr>
            </w:pPr>
            <w:r w:rsidRPr="000925A8">
              <w:rPr>
                <w:snapToGrid w:val="0"/>
                <w:lang w:eastAsia="sv-SE"/>
              </w:rPr>
              <w:t>Tranås</w:t>
            </w:r>
          </w:p>
        </w:tc>
        <w:tc>
          <w:tcPr>
            <w:tcW w:w="1840" w:type="dxa"/>
            <w:tcBorders>
              <w:top w:val="single" w:sz="6" w:space="0" w:color="auto"/>
              <w:left w:val="single" w:sz="6" w:space="0" w:color="auto"/>
              <w:bottom w:val="single" w:sz="6" w:space="0" w:color="auto"/>
              <w:right w:val="single" w:sz="6" w:space="0" w:color="auto"/>
            </w:tcBorders>
          </w:tcPr>
          <w:p w14:paraId="191371C9" w14:textId="77777777" w:rsidR="00241093" w:rsidRPr="000925A8" w:rsidRDefault="00241093">
            <w:pPr>
              <w:spacing w:after="60"/>
              <w:rPr>
                <w:snapToGrid w:val="0"/>
                <w:lang w:eastAsia="sv-SE"/>
              </w:rPr>
            </w:pPr>
            <w:r w:rsidRPr="000925A8">
              <w:rPr>
                <w:snapToGrid w:val="0"/>
                <w:lang w:eastAsia="sv-SE"/>
              </w:rPr>
              <w:t>Jönköping</w:t>
            </w:r>
          </w:p>
        </w:tc>
        <w:tc>
          <w:tcPr>
            <w:tcW w:w="2610" w:type="dxa"/>
            <w:tcBorders>
              <w:top w:val="single" w:sz="6" w:space="0" w:color="auto"/>
              <w:left w:val="single" w:sz="6" w:space="0" w:color="auto"/>
              <w:bottom w:val="single" w:sz="6" w:space="0" w:color="auto"/>
              <w:right w:val="single" w:sz="6" w:space="0" w:color="auto"/>
            </w:tcBorders>
          </w:tcPr>
          <w:p w14:paraId="1A00E80A" w14:textId="77777777" w:rsidR="00241093" w:rsidRPr="000925A8" w:rsidRDefault="00241093">
            <w:pPr>
              <w:spacing w:after="60"/>
              <w:rPr>
                <w:snapToGrid w:val="0"/>
                <w:lang w:eastAsia="sv-SE"/>
              </w:rPr>
            </w:pPr>
            <w:r w:rsidRPr="000925A8">
              <w:rPr>
                <w:snapToGrid w:val="0"/>
                <w:lang w:eastAsia="sv-SE"/>
              </w:rPr>
              <w:t>Övrig större ko</w:t>
            </w:r>
            <w:r w:rsidRPr="000925A8">
              <w:rPr>
                <w:snapToGrid w:val="0"/>
                <w:lang w:eastAsia="sv-SE"/>
              </w:rPr>
              <w:t>m</w:t>
            </w:r>
            <w:r w:rsidRPr="000925A8">
              <w:rPr>
                <w:snapToGrid w:val="0"/>
                <w:lang w:eastAsia="sv-SE"/>
              </w:rPr>
              <w:t>mun</w:t>
            </w:r>
          </w:p>
        </w:tc>
      </w:tr>
      <w:tr w:rsidR="00000000" w:rsidRPr="000925A8" w14:paraId="7927ECE9"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3BA0F220" w14:textId="77777777" w:rsidR="00241093" w:rsidRPr="000925A8" w:rsidRDefault="00241093">
            <w:pPr>
              <w:spacing w:after="60"/>
              <w:rPr>
                <w:snapToGrid w:val="0"/>
                <w:lang w:eastAsia="sv-SE"/>
              </w:rPr>
            </w:pPr>
            <w:r w:rsidRPr="000925A8">
              <w:rPr>
                <w:snapToGrid w:val="0"/>
                <w:lang w:eastAsia="sv-SE"/>
              </w:rPr>
              <w:t>Högsby</w:t>
            </w:r>
          </w:p>
        </w:tc>
        <w:tc>
          <w:tcPr>
            <w:tcW w:w="1840" w:type="dxa"/>
            <w:tcBorders>
              <w:top w:val="single" w:sz="6" w:space="0" w:color="auto"/>
              <w:left w:val="single" w:sz="6" w:space="0" w:color="auto"/>
              <w:bottom w:val="single" w:sz="6" w:space="0" w:color="auto"/>
              <w:right w:val="single" w:sz="6" w:space="0" w:color="auto"/>
            </w:tcBorders>
          </w:tcPr>
          <w:p w14:paraId="28758833" w14:textId="77777777" w:rsidR="00241093" w:rsidRPr="000925A8" w:rsidRDefault="00241093">
            <w:pPr>
              <w:spacing w:after="60"/>
              <w:rPr>
                <w:snapToGrid w:val="0"/>
                <w:lang w:eastAsia="sv-SE"/>
              </w:rPr>
            </w:pPr>
            <w:r w:rsidRPr="000925A8">
              <w:rPr>
                <w:snapToGrid w:val="0"/>
                <w:lang w:eastAsia="sv-SE"/>
              </w:rPr>
              <w:t>Kalmar</w:t>
            </w:r>
          </w:p>
        </w:tc>
        <w:tc>
          <w:tcPr>
            <w:tcW w:w="2610" w:type="dxa"/>
            <w:tcBorders>
              <w:top w:val="single" w:sz="6" w:space="0" w:color="auto"/>
              <w:left w:val="single" w:sz="6" w:space="0" w:color="auto"/>
              <w:bottom w:val="single" w:sz="6" w:space="0" w:color="auto"/>
              <w:right w:val="single" w:sz="6" w:space="0" w:color="auto"/>
            </w:tcBorders>
          </w:tcPr>
          <w:p w14:paraId="3FF6C672" w14:textId="77777777" w:rsidR="00241093" w:rsidRPr="000925A8" w:rsidRDefault="00241093">
            <w:pPr>
              <w:spacing w:after="60"/>
              <w:rPr>
                <w:snapToGrid w:val="0"/>
                <w:lang w:eastAsia="sv-SE"/>
              </w:rPr>
            </w:pPr>
            <w:r w:rsidRPr="000925A8">
              <w:rPr>
                <w:snapToGrid w:val="0"/>
                <w:lang w:eastAsia="sv-SE"/>
              </w:rPr>
              <w:t>Landsbygd</w:t>
            </w:r>
            <w:r w:rsidRPr="000925A8">
              <w:rPr>
                <w:snapToGrid w:val="0"/>
                <w:lang w:eastAsia="sv-SE"/>
              </w:rPr>
              <w:t>s</w:t>
            </w:r>
            <w:r w:rsidRPr="000925A8">
              <w:rPr>
                <w:snapToGrid w:val="0"/>
                <w:lang w:eastAsia="sv-SE"/>
              </w:rPr>
              <w:t>kommun</w:t>
            </w:r>
          </w:p>
        </w:tc>
      </w:tr>
      <w:tr w:rsidR="00000000" w:rsidRPr="000925A8" w14:paraId="4C1B55C6"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0BB89D42" w14:textId="77777777" w:rsidR="00241093" w:rsidRPr="000925A8" w:rsidRDefault="00241093">
            <w:pPr>
              <w:spacing w:after="60"/>
              <w:rPr>
                <w:snapToGrid w:val="0"/>
                <w:lang w:eastAsia="sv-SE"/>
              </w:rPr>
            </w:pPr>
            <w:r w:rsidRPr="000925A8">
              <w:rPr>
                <w:snapToGrid w:val="0"/>
                <w:lang w:eastAsia="sv-SE"/>
              </w:rPr>
              <w:t>Emmaboda</w:t>
            </w:r>
          </w:p>
        </w:tc>
        <w:tc>
          <w:tcPr>
            <w:tcW w:w="1840" w:type="dxa"/>
            <w:tcBorders>
              <w:top w:val="single" w:sz="6" w:space="0" w:color="auto"/>
              <w:left w:val="single" w:sz="6" w:space="0" w:color="auto"/>
              <w:bottom w:val="single" w:sz="6" w:space="0" w:color="auto"/>
              <w:right w:val="single" w:sz="6" w:space="0" w:color="auto"/>
            </w:tcBorders>
          </w:tcPr>
          <w:p w14:paraId="4475B522" w14:textId="77777777" w:rsidR="00241093" w:rsidRPr="000925A8" w:rsidRDefault="00241093">
            <w:pPr>
              <w:spacing w:after="60"/>
              <w:rPr>
                <w:snapToGrid w:val="0"/>
                <w:lang w:eastAsia="sv-SE"/>
              </w:rPr>
            </w:pPr>
            <w:r w:rsidRPr="000925A8">
              <w:rPr>
                <w:snapToGrid w:val="0"/>
                <w:lang w:eastAsia="sv-SE"/>
              </w:rPr>
              <w:t>Kalmar</w:t>
            </w:r>
          </w:p>
        </w:tc>
        <w:tc>
          <w:tcPr>
            <w:tcW w:w="2610" w:type="dxa"/>
            <w:tcBorders>
              <w:top w:val="single" w:sz="6" w:space="0" w:color="auto"/>
              <w:left w:val="single" w:sz="6" w:space="0" w:color="auto"/>
              <w:bottom w:val="single" w:sz="6" w:space="0" w:color="auto"/>
              <w:right w:val="single" w:sz="6" w:space="0" w:color="auto"/>
            </w:tcBorders>
          </w:tcPr>
          <w:p w14:paraId="72B2B01E" w14:textId="77777777" w:rsidR="00241093" w:rsidRPr="000925A8" w:rsidRDefault="00241093">
            <w:pPr>
              <w:spacing w:after="60"/>
              <w:rPr>
                <w:snapToGrid w:val="0"/>
                <w:lang w:eastAsia="sv-SE"/>
              </w:rPr>
            </w:pPr>
            <w:r w:rsidRPr="000925A8">
              <w:rPr>
                <w:snapToGrid w:val="0"/>
                <w:lang w:eastAsia="sv-SE"/>
              </w:rPr>
              <w:t>Industrikommun</w:t>
            </w:r>
          </w:p>
        </w:tc>
      </w:tr>
      <w:tr w:rsidR="00000000" w:rsidRPr="000925A8" w14:paraId="6F9D6E67"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4FB675E7" w14:textId="77777777" w:rsidR="00241093" w:rsidRPr="000925A8" w:rsidRDefault="00241093">
            <w:pPr>
              <w:spacing w:after="60"/>
              <w:rPr>
                <w:snapToGrid w:val="0"/>
                <w:lang w:eastAsia="sv-SE"/>
              </w:rPr>
            </w:pPr>
            <w:r w:rsidRPr="000925A8">
              <w:rPr>
                <w:snapToGrid w:val="0"/>
                <w:lang w:eastAsia="sv-SE"/>
              </w:rPr>
              <w:t>Oskarshamn</w:t>
            </w:r>
          </w:p>
        </w:tc>
        <w:tc>
          <w:tcPr>
            <w:tcW w:w="1840" w:type="dxa"/>
            <w:tcBorders>
              <w:top w:val="single" w:sz="6" w:space="0" w:color="auto"/>
              <w:left w:val="single" w:sz="6" w:space="0" w:color="auto"/>
              <w:bottom w:val="single" w:sz="6" w:space="0" w:color="auto"/>
              <w:right w:val="single" w:sz="6" w:space="0" w:color="auto"/>
            </w:tcBorders>
          </w:tcPr>
          <w:p w14:paraId="25D60B1E" w14:textId="77777777" w:rsidR="00241093" w:rsidRPr="000925A8" w:rsidRDefault="00241093">
            <w:pPr>
              <w:spacing w:after="60"/>
              <w:rPr>
                <w:snapToGrid w:val="0"/>
                <w:lang w:eastAsia="sv-SE"/>
              </w:rPr>
            </w:pPr>
            <w:r w:rsidRPr="000925A8">
              <w:rPr>
                <w:snapToGrid w:val="0"/>
                <w:lang w:eastAsia="sv-SE"/>
              </w:rPr>
              <w:t>Kalmar</w:t>
            </w:r>
          </w:p>
        </w:tc>
        <w:tc>
          <w:tcPr>
            <w:tcW w:w="2610" w:type="dxa"/>
            <w:tcBorders>
              <w:top w:val="single" w:sz="6" w:space="0" w:color="auto"/>
              <w:left w:val="single" w:sz="6" w:space="0" w:color="auto"/>
              <w:bottom w:val="single" w:sz="6" w:space="0" w:color="auto"/>
              <w:right w:val="single" w:sz="6" w:space="0" w:color="auto"/>
            </w:tcBorders>
          </w:tcPr>
          <w:p w14:paraId="1F753C77" w14:textId="77777777" w:rsidR="00241093" w:rsidRPr="000925A8" w:rsidRDefault="00241093">
            <w:pPr>
              <w:spacing w:after="60"/>
              <w:rPr>
                <w:snapToGrid w:val="0"/>
                <w:lang w:eastAsia="sv-SE"/>
              </w:rPr>
            </w:pPr>
            <w:r w:rsidRPr="000925A8">
              <w:rPr>
                <w:snapToGrid w:val="0"/>
                <w:lang w:eastAsia="sv-SE"/>
              </w:rPr>
              <w:t>Industrikommun</w:t>
            </w:r>
          </w:p>
        </w:tc>
      </w:tr>
      <w:tr w:rsidR="00000000" w:rsidRPr="000925A8" w14:paraId="45C242EC"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05A16912" w14:textId="77777777" w:rsidR="00241093" w:rsidRPr="000925A8" w:rsidRDefault="00241093">
            <w:pPr>
              <w:spacing w:after="60"/>
              <w:rPr>
                <w:snapToGrid w:val="0"/>
                <w:lang w:eastAsia="sv-SE"/>
              </w:rPr>
            </w:pPr>
            <w:r w:rsidRPr="000925A8">
              <w:rPr>
                <w:snapToGrid w:val="0"/>
                <w:lang w:eastAsia="sv-SE"/>
              </w:rPr>
              <w:t>Växjö</w:t>
            </w:r>
          </w:p>
        </w:tc>
        <w:tc>
          <w:tcPr>
            <w:tcW w:w="1840" w:type="dxa"/>
            <w:tcBorders>
              <w:top w:val="single" w:sz="6" w:space="0" w:color="auto"/>
              <w:left w:val="single" w:sz="6" w:space="0" w:color="auto"/>
              <w:bottom w:val="single" w:sz="6" w:space="0" w:color="auto"/>
              <w:right w:val="single" w:sz="6" w:space="0" w:color="auto"/>
            </w:tcBorders>
          </w:tcPr>
          <w:p w14:paraId="1C489090" w14:textId="77777777" w:rsidR="00241093" w:rsidRPr="000925A8" w:rsidRDefault="00241093">
            <w:pPr>
              <w:spacing w:after="60"/>
              <w:rPr>
                <w:snapToGrid w:val="0"/>
                <w:lang w:eastAsia="sv-SE"/>
              </w:rPr>
            </w:pPr>
            <w:r w:rsidRPr="000925A8">
              <w:rPr>
                <w:snapToGrid w:val="0"/>
                <w:lang w:eastAsia="sv-SE"/>
              </w:rPr>
              <w:t>Kronoberg</w:t>
            </w:r>
          </w:p>
        </w:tc>
        <w:tc>
          <w:tcPr>
            <w:tcW w:w="2610" w:type="dxa"/>
            <w:tcBorders>
              <w:top w:val="single" w:sz="6" w:space="0" w:color="auto"/>
              <w:left w:val="single" w:sz="6" w:space="0" w:color="auto"/>
              <w:bottom w:val="single" w:sz="6" w:space="0" w:color="auto"/>
              <w:right w:val="single" w:sz="6" w:space="0" w:color="auto"/>
            </w:tcBorders>
          </w:tcPr>
          <w:p w14:paraId="26DEA08F" w14:textId="77777777" w:rsidR="00241093" w:rsidRPr="000925A8" w:rsidRDefault="00241093">
            <w:pPr>
              <w:spacing w:after="60"/>
              <w:rPr>
                <w:snapToGrid w:val="0"/>
                <w:lang w:eastAsia="sv-SE"/>
              </w:rPr>
            </w:pPr>
            <w:r w:rsidRPr="000925A8">
              <w:rPr>
                <w:snapToGrid w:val="0"/>
                <w:lang w:eastAsia="sv-SE"/>
              </w:rPr>
              <w:t>Större stad</w:t>
            </w:r>
          </w:p>
        </w:tc>
      </w:tr>
      <w:tr w:rsidR="00000000" w:rsidRPr="000925A8" w14:paraId="5CEF6711"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488E41AF" w14:textId="77777777" w:rsidR="00241093" w:rsidRPr="000925A8" w:rsidRDefault="00241093">
            <w:pPr>
              <w:spacing w:after="60"/>
              <w:rPr>
                <w:snapToGrid w:val="0"/>
                <w:lang w:eastAsia="sv-SE"/>
              </w:rPr>
            </w:pPr>
            <w:r w:rsidRPr="000925A8">
              <w:rPr>
                <w:snapToGrid w:val="0"/>
                <w:lang w:eastAsia="sv-SE"/>
              </w:rPr>
              <w:t>Piteå</w:t>
            </w:r>
          </w:p>
        </w:tc>
        <w:tc>
          <w:tcPr>
            <w:tcW w:w="1840" w:type="dxa"/>
            <w:tcBorders>
              <w:top w:val="single" w:sz="6" w:space="0" w:color="auto"/>
              <w:left w:val="single" w:sz="6" w:space="0" w:color="auto"/>
              <w:bottom w:val="single" w:sz="6" w:space="0" w:color="auto"/>
              <w:right w:val="single" w:sz="6" w:space="0" w:color="auto"/>
            </w:tcBorders>
          </w:tcPr>
          <w:p w14:paraId="147AAA46" w14:textId="77777777" w:rsidR="00241093" w:rsidRPr="000925A8" w:rsidRDefault="00241093">
            <w:pPr>
              <w:spacing w:after="60"/>
              <w:rPr>
                <w:snapToGrid w:val="0"/>
                <w:lang w:eastAsia="sv-SE"/>
              </w:rPr>
            </w:pPr>
            <w:r w:rsidRPr="000925A8">
              <w:rPr>
                <w:snapToGrid w:val="0"/>
                <w:lang w:eastAsia="sv-SE"/>
              </w:rPr>
              <w:t>Norrbotten</w:t>
            </w:r>
          </w:p>
        </w:tc>
        <w:tc>
          <w:tcPr>
            <w:tcW w:w="2610" w:type="dxa"/>
            <w:tcBorders>
              <w:top w:val="single" w:sz="6" w:space="0" w:color="auto"/>
              <w:left w:val="single" w:sz="6" w:space="0" w:color="auto"/>
              <w:bottom w:val="single" w:sz="6" w:space="0" w:color="auto"/>
              <w:right w:val="single" w:sz="6" w:space="0" w:color="auto"/>
            </w:tcBorders>
          </w:tcPr>
          <w:p w14:paraId="40E2EEC9" w14:textId="77777777" w:rsidR="00241093" w:rsidRPr="000925A8" w:rsidRDefault="00241093">
            <w:pPr>
              <w:spacing w:after="60"/>
              <w:rPr>
                <w:snapToGrid w:val="0"/>
                <w:lang w:eastAsia="sv-SE"/>
              </w:rPr>
            </w:pPr>
            <w:r w:rsidRPr="000925A8">
              <w:rPr>
                <w:snapToGrid w:val="0"/>
                <w:lang w:eastAsia="sv-SE"/>
              </w:rPr>
              <w:t>Medelstor stad</w:t>
            </w:r>
          </w:p>
        </w:tc>
      </w:tr>
      <w:tr w:rsidR="00000000" w:rsidRPr="000925A8" w14:paraId="0D90D5EF"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6751CD0B" w14:textId="77777777" w:rsidR="00241093" w:rsidRPr="000925A8" w:rsidRDefault="00241093">
            <w:pPr>
              <w:spacing w:after="60"/>
              <w:rPr>
                <w:snapToGrid w:val="0"/>
                <w:lang w:eastAsia="sv-SE"/>
              </w:rPr>
            </w:pPr>
            <w:r w:rsidRPr="000925A8">
              <w:rPr>
                <w:snapToGrid w:val="0"/>
                <w:lang w:eastAsia="sv-SE"/>
              </w:rPr>
              <w:t>Överkalix</w:t>
            </w:r>
          </w:p>
        </w:tc>
        <w:tc>
          <w:tcPr>
            <w:tcW w:w="1840" w:type="dxa"/>
            <w:tcBorders>
              <w:top w:val="single" w:sz="6" w:space="0" w:color="auto"/>
              <w:left w:val="single" w:sz="6" w:space="0" w:color="auto"/>
              <w:bottom w:val="single" w:sz="6" w:space="0" w:color="auto"/>
              <w:right w:val="single" w:sz="6" w:space="0" w:color="auto"/>
            </w:tcBorders>
          </w:tcPr>
          <w:p w14:paraId="4833FEFB" w14:textId="77777777" w:rsidR="00241093" w:rsidRPr="000925A8" w:rsidRDefault="00241093">
            <w:pPr>
              <w:spacing w:after="60"/>
              <w:rPr>
                <w:snapToGrid w:val="0"/>
                <w:lang w:eastAsia="sv-SE"/>
              </w:rPr>
            </w:pPr>
            <w:r w:rsidRPr="000925A8">
              <w:rPr>
                <w:snapToGrid w:val="0"/>
                <w:lang w:eastAsia="sv-SE"/>
              </w:rPr>
              <w:t>Norrbotten</w:t>
            </w:r>
          </w:p>
        </w:tc>
        <w:tc>
          <w:tcPr>
            <w:tcW w:w="2610" w:type="dxa"/>
            <w:tcBorders>
              <w:top w:val="single" w:sz="6" w:space="0" w:color="auto"/>
              <w:left w:val="single" w:sz="6" w:space="0" w:color="auto"/>
              <w:bottom w:val="single" w:sz="6" w:space="0" w:color="auto"/>
              <w:right w:val="single" w:sz="6" w:space="0" w:color="auto"/>
            </w:tcBorders>
          </w:tcPr>
          <w:p w14:paraId="0DC9B0D0" w14:textId="77777777" w:rsidR="00241093" w:rsidRPr="000925A8" w:rsidRDefault="00241093">
            <w:pPr>
              <w:spacing w:after="60"/>
              <w:rPr>
                <w:snapToGrid w:val="0"/>
                <w:lang w:eastAsia="sv-SE"/>
              </w:rPr>
            </w:pPr>
            <w:r w:rsidRPr="000925A8">
              <w:rPr>
                <w:snapToGrid w:val="0"/>
                <w:lang w:eastAsia="sv-SE"/>
              </w:rPr>
              <w:t>Glesbygd</w:t>
            </w:r>
            <w:r w:rsidRPr="000925A8">
              <w:rPr>
                <w:snapToGrid w:val="0"/>
                <w:lang w:eastAsia="sv-SE"/>
              </w:rPr>
              <w:t>s</w:t>
            </w:r>
            <w:r w:rsidRPr="000925A8">
              <w:rPr>
                <w:snapToGrid w:val="0"/>
                <w:lang w:eastAsia="sv-SE"/>
              </w:rPr>
              <w:t>kommun</w:t>
            </w:r>
          </w:p>
        </w:tc>
      </w:tr>
      <w:tr w:rsidR="00000000" w:rsidRPr="000925A8" w14:paraId="2EE7C1D0"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086BF869" w14:textId="77777777" w:rsidR="00241093" w:rsidRPr="000925A8" w:rsidRDefault="00241093">
            <w:pPr>
              <w:spacing w:after="60"/>
              <w:rPr>
                <w:snapToGrid w:val="0"/>
                <w:lang w:eastAsia="sv-SE"/>
              </w:rPr>
            </w:pPr>
            <w:r w:rsidRPr="000925A8">
              <w:rPr>
                <w:snapToGrid w:val="0"/>
                <w:lang w:eastAsia="sv-SE"/>
              </w:rPr>
              <w:t>Burlöv</w:t>
            </w:r>
          </w:p>
        </w:tc>
        <w:tc>
          <w:tcPr>
            <w:tcW w:w="1840" w:type="dxa"/>
            <w:tcBorders>
              <w:top w:val="single" w:sz="6" w:space="0" w:color="auto"/>
              <w:left w:val="single" w:sz="6" w:space="0" w:color="auto"/>
              <w:bottom w:val="single" w:sz="6" w:space="0" w:color="auto"/>
              <w:right w:val="single" w:sz="6" w:space="0" w:color="auto"/>
            </w:tcBorders>
          </w:tcPr>
          <w:p w14:paraId="31258BAB" w14:textId="77777777" w:rsidR="00241093" w:rsidRPr="000925A8" w:rsidRDefault="00241093">
            <w:pPr>
              <w:spacing w:after="60"/>
              <w:rPr>
                <w:snapToGrid w:val="0"/>
                <w:lang w:eastAsia="sv-SE"/>
              </w:rPr>
            </w:pPr>
            <w:r w:rsidRPr="000925A8">
              <w:rPr>
                <w:snapToGrid w:val="0"/>
                <w:lang w:eastAsia="sv-SE"/>
              </w:rPr>
              <w:t>Skåne</w:t>
            </w:r>
          </w:p>
        </w:tc>
        <w:tc>
          <w:tcPr>
            <w:tcW w:w="2610" w:type="dxa"/>
            <w:tcBorders>
              <w:top w:val="single" w:sz="6" w:space="0" w:color="auto"/>
              <w:left w:val="single" w:sz="6" w:space="0" w:color="auto"/>
              <w:bottom w:val="single" w:sz="6" w:space="0" w:color="auto"/>
              <w:right w:val="single" w:sz="6" w:space="0" w:color="auto"/>
            </w:tcBorders>
          </w:tcPr>
          <w:p w14:paraId="086BE974" w14:textId="77777777" w:rsidR="00241093" w:rsidRPr="000925A8" w:rsidRDefault="00241093">
            <w:pPr>
              <w:spacing w:after="60"/>
              <w:rPr>
                <w:snapToGrid w:val="0"/>
                <w:lang w:eastAsia="sv-SE"/>
              </w:rPr>
            </w:pPr>
            <w:r w:rsidRPr="000925A8">
              <w:rPr>
                <w:snapToGrid w:val="0"/>
                <w:lang w:eastAsia="sv-SE"/>
              </w:rPr>
              <w:t>Förortskommun</w:t>
            </w:r>
          </w:p>
        </w:tc>
      </w:tr>
      <w:tr w:rsidR="00000000" w:rsidRPr="000925A8" w14:paraId="16A9FF1E"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0C0304A9" w14:textId="77777777" w:rsidR="00241093" w:rsidRPr="000925A8" w:rsidRDefault="00241093">
            <w:pPr>
              <w:spacing w:after="60"/>
              <w:rPr>
                <w:snapToGrid w:val="0"/>
                <w:lang w:eastAsia="sv-SE"/>
              </w:rPr>
            </w:pPr>
            <w:r w:rsidRPr="000925A8">
              <w:rPr>
                <w:snapToGrid w:val="0"/>
                <w:lang w:eastAsia="sv-SE"/>
              </w:rPr>
              <w:t>Lund</w:t>
            </w:r>
          </w:p>
        </w:tc>
        <w:tc>
          <w:tcPr>
            <w:tcW w:w="1840" w:type="dxa"/>
            <w:tcBorders>
              <w:top w:val="single" w:sz="6" w:space="0" w:color="auto"/>
              <w:left w:val="single" w:sz="6" w:space="0" w:color="auto"/>
              <w:bottom w:val="single" w:sz="6" w:space="0" w:color="auto"/>
              <w:right w:val="single" w:sz="6" w:space="0" w:color="auto"/>
            </w:tcBorders>
          </w:tcPr>
          <w:p w14:paraId="6AD66E6E" w14:textId="77777777" w:rsidR="00241093" w:rsidRPr="000925A8" w:rsidRDefault="00241093">
            <w:pPr>
              <w:spacing w:after="60"/>
              <w:rPr>
                <w:snapToGrid w:val="0"/>
                <w:lang w:eastAsia="sv-SE"/>
              </w:rPr>
            </w:pPr>
            <w:r w:rsidRPr="000925A8">
              <w:rPr>
                <w:snapToGrid w:val="0"/>
                <w:lang w:eastAsia="sv-SE"/>
              </w:rPr>
              <w:t>Skåne</w:t>
            </w:r>
          </w:p>
        </w:tc>
        <w:tc>
          <w:tcPr>
            <w:tcW w:w="2610" w:type="dxa"/>
            <w:tcBorders>
              <w:top w:val="single" w:sz="6" w:space="0" w:color="auto"/>
              <w:left w:val="single" w:sz="6" w:space="0" w:color="auto"/>
              <w:bottom w:val="single" w:sz="6" w:space="0" w:color="auto"/>
              <w:right w:val="single" w:sz="6" w:space="0" w:color="auto"/>
            </w:tcBorders>
          </w:tcPr>
          <w:p w14:paraId="3F576427" w14:textId="77777777" w:rsidR="00241093" w:rsidRPr="000925A8" w:rsidRDefault="00241093">
            <w:pPr>
              <w:spacing w:after="60"/>
              <w:rPr>
                <w:snapToGrid w:val="0"/>
                <w:lang w:eastAsia="sv-SE"/>
              </w:rPr>
            </w:pPr>
            <w:r w:rsidRPr="000925A8">
              <w:rPr>
                <w:snapToGrid w:val="0"/>
                <w:lang w:eastAsia="sv-SE"/>
              </w:rPr>
              <w:t>Större stad</w:t>
            </w:r>
          </w:p>
        </w:tc>
      </w:tr>
      <w:tr w:rsidR="00000000" w:rsidRPr="000925A8" w14:paraId="19009E63"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12ACD84D" w14:textId="77777777" w:rsidR="00241093" w:rsidRPr="000925A8" w:rsidRDefault="00241093">
            <w:pPr>
              <w:spacing w:after="60"/>
              <w:rPr>
                <w:snapToGrid w:val="0"/>
                <w:lang w:eastAsia="sv-SE"/>
              </w:rPr>
            </w:pPr>
            <w:r w:rsidRPr="000925A8">
              <w:rPr>
                <w:snapToGrid w:val="0"/>
                <w:lang w:eastAsia="sv-SE"/>
              </w:rPr>
              <w:t>Malmö</w:t>
            </w:r>
          </w:p>
        </w:tc>
        <w:tc>
          <w:tcPr>
            <w:tcW w:w="1840" w:type="dxa"/>
            <w:tcBorders>
              <w:top w:val="single" w:sz="6" w:space="0" w:color="auto"/>
              <w:left w:val="single" w:sz="6" w:space="0" w:color="auto"/>
              <w:bottom w:val="single" w:sz="6" w:space="0" w:color="auto"/>
              <w:right w:val="single" w:sz="6" w:space="0" w:color="auto"/>
            </w:tcBorders>
          </w:tcPr>
          <w:p w14:paraId="0BF2B082" w14:textId="77777777" w:rsidR="00241093" w:rsidRPr="000925A8" w:rsidRDefault="00241093">
            <w:pPr>
              <w:spacing w:after="60"/>
              <w:rPr>
                <w:snapToGrid w:val="0"/>
                <w:lang w:eastAsia="sv-SE"/>
              </w:rPr>
            </w:pPr>
            <w:r w:rsidRPr="000925A8">
              <w:rPr>
                <w:snapToGrid w:val="0"/>
                <w:lang w:eastAsia="sv-SE"/>
              </w:rPr>
              <w:t>Skåne</w:t>
            </w:r>
          </w:p>
        </w:tc>
        <w:tc>
          <w:tcPr>
            <w:tcW w:w="2610" w:type="dxa"/>
            <w:tcBorders>
              <w:top w:val="single" w:sz="6" w:space="0" w:color="auto"/>
              <w:left w:val="single" w:sz="6" w:space="0" w:color="auto"/>
              <w:bottom w:val="single" w:sz="6" w:space="0" w:color="auto"/>
              <w:right w:val="single" w:sz="6" w:space="0" w:color="auto"/>
            </w:tcBorders>
          </w:tcPr>
          <w:p w14:paraId="786A16FB" w14:textId="77777777" w:rsidR="00241093" w:rsidRPr="000925A8" w:rsidRDefault="00241093">
            <w:pPr>
              <w:spacing w:after="60"/>
              <w:rPr>
                <w:snapToGrid w:val="0"/>
                <w:lang w:eastAsia="sv-SE"/>
              </w:rPr>
            </w:pPr>
            <w:r w:rsidRPr="000925A8">
              <w:rPr>
                <w:snapToGrid w:val="0"/>
                <w:lang w:eastAsia="sv-SE"/>
              </w:rPr>
              <w:t>Storstad</w:t>
            </w:r>
          </w:p>
        </w:tc>
      </w:tr>
      <w:tr w:rsidR="00000000" w:rsidRPr="000925A8" w14:paraId="3AA5F67D"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47C8F18A" w14:textId="77777777" w:rsidR="00241093" w:rsidRPr="000925A8" w:rsidRDefault="00241093">
            <w:pPr>
              <w:spacing w:after="60"/>
              <w:rPr>
                <w:snapToGrid w:val="0"/>
                <w:lang w:eastAsia="sv-SE"/>
              </w:rPr>
            </w:pPr>
            <w:r w:rsidRPr="000925A8">
              <w:rPr>
                <w:snapToGrid w:val="0"/>
                <w:lang w:eastAsia="sv-SE"/>
              </w:rPr>
              <w:t>Simrishamn</w:t>
            </w:r>
          </w:p>
        </w:tc>
        <w:tc>
          <w:tcPr>
            <w:tcW w:w="1840" w:type="dxa"/>
            <w:tcBorders>
              <w:top w:val="single" w:sz="6" w:space="0" w:color="auto"/>
              <w:left w:val="single" w:sz="6" w:space="0" w:color="auto"/>
              <w:bottom w:val="single" w:sz="6" w:space="0" w:color="auto"/>
              <w:right w:val="single" w:sz="6" w:space="0" w:color="auto"/>
            </w:tcBorders>
          </w:tcPr>
          <w:p w14:paraId="02E7101B" w14:textId="77777777" w:rsidR="00241093" w:rsidRPr="000925A8" w:rsidRDefault="00241093">
            <w:pPr>
              <w:spacing w:after="60"/>
              <w:rPr>
                <w:snapToGrid w:val="0"/>
                <w:lang w:eastAsia="sv-SE"/>
              </w:rPr>
            </w:pPr>
            <w:r w:rsidRPr="000925A8">
              <w:rPr>
                <w:snapToGrid w:val="0"/>
                <w:lang w:eastAsia="sv-SE"/>
              </w:rPr>
              <w:t>Skåne</w:t>
            </w:r>
          </w:p>
        </w:tc>
        <w:tc>
          <w:tcPr>
            <w:tcW w:w="2610" w:type="dxa"/>
            <w:tcBorders>
              <w:top w:val="single" w:sz="6" w:space="0" w:color="auto"/>
              <w:left w:val="single" w:sz="6" w:space="0" w:color="auto"/>
              <w:bottom w:val="single" w:sz="6" w:space="0" w:color="auto"/>
              <w:right w:val="single" w:sz="6" w:space="0" w:color="auto"/>
            </w:tcBorders>
          </w:tcPr>
          <w:p w14:paraId="75618E88" w14:textId="77777777" w:rsidR="00241093" w:rsidRPr="000925A8" w:rsidRDefault="00241093">
            <w:pPr>
              <w:spacing w:after="60"/>
              <w:rPr>
                <w:snapToGrid w:val="0"/>
                <w:lang w:eastAsia="sv-SE"/>
              </w:rPr>
            </w:pPr>
            <w:r w:rsidRPr="000925A8">
              <w:rPr>
                <w:snapToGrid w:val="0"/>
                <w:lang w:eastAsia="sv-SE"/>
              </w:rPr>
              <w:t>Övrig större ko</w:t>
            </w:r>
            <w:r w:rsidRPr="000925A8">
              <w:rPr>
                <w:snapToGrid w:val="0"/>
                <w:lang w:eastAsia="sv-SE"/>
              </w:rPr>
              <w:t>m</w:t>
            </w:r>
            <w:r w:rsidRPr="000925A8">
              <w:rPr>
                <w:snapToGrid w:val="0"/>
                <w:lang w:eastAsia="sv-SE"/>
              </w:rPr>
              <w:t>mun</w:t>
            </w:r>
          </w:p>
        </w:tc>
      </w:tr>
      <w:tr w:rsidR="00000000" w:rsidRPr="000925A8" w14:paraId="3E5718FA"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0BEDE65D" w14:textId="77777777" w:rsidR="00241093" w:rsidRPr="000925A8" w:rsidRDefault="00241093">
            <w:pPr>
              <w:spacing w:after="60"/>
              <w:rPr>
                <w:snapToGrid w:val="0"/>
                <w:lang w:eastAsia="sv-SE"/>
              </w:rPr>
            </w:pPr>
            <w:r w:rsidRPr="000925A8">
              <w:rPr>
                <w:snapToGrid w:val="0"/>
                <w:lang w:eastAsia="sv-SE"/>
              </w:rPr>
              <w:t>Huddinge</w:t>
            </w:r>
          </w:p>
        </w:tc>
        <w:tc>
          <w:tcPr>
            <w:tcW w:w="1840" w:type="dxa"/>
            <w:tcBorders>
              <w:top w:val="single" w:sz="6" w:space="0" w:color="auto"/>
              <w:left w:val="single" w:sz="6" w:space="0" w:color="auto"/>
              <w:bottom w:val="single" w:sz="6" w:space="0" w:color="auto"/>
              <w:right w:val="single" w:sz="6" w:space="0" w:color="auto"/>
            </w:tcBorders>
          </w:tcPr>
          <w:p w14:paraId="40AB462B" w14:textId="77777777" w:rsidR="00241093" w:rsidRPr="000925A8" w:rsidRDefault="00241093">
            <w:pPr>
              <w:spacing w:after="60"/>
              <w:rPr>
                <w:snapToGrid w:val="0"/>
                <w:lang w:eastAsia="sv-SE"/>
              </w:rPr>
            </w:pPr>
            <w:r w:rsidRPr="000925A8">
              <w:rPr>
                <w:snapToGrid w:val="0"/>
                <w:lang w:eastAsia="sv-SE"/>
              </w:rPr>
              <w:t>Stockholm</w:t>
            </w:r>
          </w:p>
        </w:tc>
        <w:tc>
          <w:tcPr>
            <w:tcW w:w="2610" w:type="dxa"/>
            <w:tcBorders>
              <w:top w:val="single" w:sz="6" w:space="0" w:color="auto"/>
              <w:left w:val="single" w:sz="6" w:space="0" w:color="auto"/>
              <w:bottom w:val="single" w:sz="6" w:space="0" w:color="auto"/>
              <w:right w:val="single" w:sz="6" w:space="0" w:color="auto"/>
            </w:tcBorders>
          </w:tcPr>
          <w:p w14:paraId="05AFA4EF" w14:textId="77777777" w:rsidR="00241093" w:rsidRPr="000925A8" w:rsidRDefault="00241093">
            <w:pPr>
              <w:spacing w:after="60"/>
              <w:rPr>
                <w:snapToGrid w:val="0"/>
                <w:lang w:eastAsia="sv-SE"/>
              </w:rPr>
            </w:pPr>
            <w:r w:rsidRPr="000925A8">
              <w:rPr>
                <w:snapToGrid w:val="0"/>
                <w:lang w:eastAsia="sv-SE"/>
              </w:rPr>
              <w:t>Förortsko</w:t>
            </w:r>
            <w:r w:rsidRPr="000925A8">
              <w:rPr>
                <w:snapToGrid w:val="0"/>
                <w:lang w:eastAsia="sv-SE"/>
              </w:rPr>
              <w:t>m</w:t>
            </w:r>
            <w:r w:rsidRPr="000925A8">
              <w:rPr>
                <w:snapToGrid w:val="0"/>
                <w:lang w:eastAsia="sv-SE"/>
              </w:rPr>
              <w:t>mun</w:t>
            </w:r>
          </w:p>
        </w:tc>
      </w:tr>
      <w:tr w:rsidR="00000000" w:rsidRPr="000925A8" w14:paraId="33FDB2E2"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2E65F27B" w14:textId="77777777" w:rsidR="00241093" w:rsidRPr="000925A8" w:rsidRDefault="00241093">
            <w:pPr>
              <w:spacing w:after="60"/>
              <w:rPr>
                <w:snapToGrid w:val="0"/>
                <w:lang w:eastAsia="sv-SE"/>
              </w:rPr>
            </w:pPr>
            <w:r w:rsidRPr="000925A8">
              <w:rPr>
                <w:snapToGrid w:val="0"/>
                <w:lang w:eastAsia="sv-SE"/>
              </w:rPr>
              <w:t>Sollentuna</w:t>
            </w:r>
          </w:p>
        </w:tc>
        <w:tc>
          <w:tcPr>
            <w:tcW w:w="1840" w:type="dxa"/>
            <w:tcBorders>
              <w:top w:val="single" w:sz="6" w:space="0" w:color="auto"/>
              <w:left w:val="single" w:sz="6" w:space="0" w:color="auto"/>
              <w:bottom w:val="single" w:sz="6" w:space="0" w:color="auto"/>
              <w:right w:val="single" w:sz="6" w:space="0" w:color="auto"/>
            </w:tcBorders>
          </w:tcPr>
          <w:p w14:paraId="18143359" w14:textId="77777777" w:rsidR="00241093" w:rsidRPr="000925A8" w:rsidRDefault="00241093">
            <w:pPr>
              <w:spacing w:after="60"/>
              <w:rPr>
                <w:snapToGrid w:val="0"/>
                <w:lang w:eastAsia="sv-SE"/>
              </w:rPr>
            </w:pPr>
            <w:r w:rsidRPr="000925A8">
              <w:rPr>
                <w:snapToGrid w:val="0"/>
                <w:lang w:eastAsia="sv-SE"/>
              </w:rPr>
              <w:t>Stockholm</w:t>
            </w:r>
          </w:p>
        </w:tc>
        <w:tc>
          <w:tcPr>
            <w:tcW w:w="2610" w:type="dxa"/>
            <w:tcBorders>
              <w:top w:val="single" w:sz="6" w:space="0" w:color="auto"/>
              <w:left w:val="single" w:sz="6" w:space="0" w:color="auto"/>
              <w:bottom w:val="single" w:sz="6" w:space="0" w:color="auto"/>
              <w:right w:val="single" w:sz="6" w:space="0" w:color="auto"/>
            </w:tcBorders>
          </w:tcPr>
          <w:p w14:paraId="5A02AEED" w14:textId="77777777" w:rsidR="00241093" w:rsidRPr="000925A8" w:rsidRDefault="00241093">
            <w:pPr>
              <w:spacing w:after="60"/>
              <w:rPr>
                <w:snapToGrid w:val="0"/>
                <w:lang w:eastAsia="sv-SE"/>
              </w:rPr>
            </w:pPr>
            <w:r w:rsidRPr="000925A8">
              <w:rPr>
                <w:snapToGrid w:val="0"/>
                <w:lang w:eastAsia="sv-SE"/>
              </w:rPr>
              <w:t>Förortskommun</w:t>
            </w:r>
          </w:p>
        </w:tc>
      </w:tr>
      <w:tr w:rsidR="00000000" w:rsidRPr="000925A8" w14:paraId="405B1908" w14:textId="77777777">
        <w:tblPrEx>
          <w:tblCellMar>
            <w:top w:w="0" w:type="dxa"/>
            <w:bottom w:w="0" w:type="dxa"/>
          </w:tblCellMar>
        </w:tblPrEx>
        <w:trPr>
          <w:trHeight w:val="247"/>
        </w:trPr>
        <w:tc>
          <w:tcPr>
            <w:tcW w:w="1970" w:type="dxa"/>
            <w:tcBorders>
              <w:top w:val="single" w:sz="6" w:space="0" w:color="auto"/>
              <w:left w:val="single" w:sz="6" w:space="0" w:color="auto"/>
              <w:bottom w:val="single" w:sz="4" w:space="0" w:color="auto"/>
              <w:right w:val="single" w:sz="6" w:space="0" w:color="auto"/>
            </w:tcBorders>
          </w:tcPr>
          <w:p w14:paraId="26C45A73" w14:textId="77777777" w:rsidR="00241093" w:rsidRPr="000925A8" w:rsidRDefault="00241093">
            <w:pPr>
              <w:spacing w:after="60"/>
              <w:rPr>
                <w:snapToGrid w:val="0"/>
                <w:lang w:eastAsia="sv-SE"/>
              </w:rPr>
            </w:pPr>
            <w:r w:rsidRPr="000925A8">
              <w:rPr>
                <w:snapToGrid w:val="0"/>
                <w:lang w:eastAsia="sv-SE"/>
              </w:rPr>
              <w:t>Stockholm</w:t>
            </w:r>
          </w:p>
        </w:tc>
        <w:tc>
          <w:tcPr>
            <w:tcW w:w="1840" w:type="dxa"/>
            <w:tcBorders>
              <w:top w:val="single" w:sz="6" w:space="0" w:color="auto"/>
              <w:left w:val="single" w:sz="6" w:space="0" w:color="auto"/>
              <w:bottom w:val="single" w:sz="4" w:space="0" w:color="auto"/>
              <w:right w:val="single" w:sz="6" w:space="0" w:color="auto"/>
            </w:tcBorders>
          </w:tcPr>
          <w:p w14:paraId="55CEB927" w14:textId="77777777" w:rsidR="00241093" w:rsidRPr="000925A8" w:rsidRDefault="00241093">
            <w:pPr>
              <w:spacing w:after="60"/>
              <w:rPr>
                <w:snapToGrid w:val="0"/>
                <w:lang w:eastAsia="sv-SE"/>
              </w:rPr>
            </w:pPr>
            <w:r w:rsidRPr="000925A8">
              <w:rPr>
                <w:snapToGrid w:val="0"/>
                <w:lang w:eastAsia="sv-SE"/>
              </w:rPr>
              <w:t>Stockholm</w:t>
            </w:r>
          </w:p>
        </w:tc>
        <w:tc>
          <w:tcPr>
            <w:tcW w:w="2610" w:type="dxa"/>
            <w:tcBorders>
              <w:top w:val="single" w:sz="6" w:space="0" w:color="auto"/>
              <w:left w:val="single" w:sz="6" w:space="0" w:color="auto"/>
              <w:bottom w:val="single" w:sz="4" w:space="0" w:color="auto"/>
              <w:right w:val="single" w:sz="6" w:space="0" w:color="auto"/>
            </w:tcBorders>
          </w:tcPr>
          <w:p w14:paraId="76A20307" w14:textId="77777777" w:rsidR="00241093" w:rsidRPr="000925A8" w:rsidRDefault="00241093">
            <w:pPr>
              <w:spacing w:after="60"/>
              <w:rPr>
                <w:snapToGrid w:val="0"/>
                <w:lang w:eastAsia="sv-SE"/>
              </w:rPr>
            </w:pPr>
            <w:r w:rsidRPr="000925A8">
              <w:rPr>
                <w:snapToGrid w:val="0"/>
                <w:lang w:eastAsia="sv-SE"/>
              </w:rPr>
              <w:t>Storstad</w:t>
            </w:r>
          </w:p>
        </w:tc>
      </w:tr>
      <w:tr w:rsidR="00000000" w:rsidRPr="000925A8" w14:paraId="61A61FDE" w14:textId="77777777">
        <w:tblPrEx>
          <w:tblCellMar>
            <w:top w:w="0" w:type="dxa"/>
            <w:bottom w:w="0" w:type="dxa"/>
          </w:tblCellMar>
        </w:tblPrEx>
        <w:trPr>
          <w:trHeight w:val="247"/>
        </w:trPr>
        <w:tc>
          <w:tcPr>
            <w:tcW w:w="1970" w:type="dxa"/>
            <w:tcBorders>
              <w:top w:val="single" w:sz="4" w:space="0" w:color="auto"/>
              <w:left w:val="single" w:sz="4" w:space="0" w:color="auto"/>
              <w:bottom w:val="single" w:sz="4" w:space="0" w:color="auto"/>
              <w:right w:val="single" w:sz="4" w:space="0" w:color="auto"/>
            </w:tcBorders>
          </w:tcPr>
          <w:p w14:paraId="01DC1A8E" w14:textId="77777777" w:rsidR="00241093" w:rsidRPr="000925A8" w:rsidRDefault="00241093">
            <w:pPr>
              <w:spacing w:after="60"/>
              <w:rPr>
                <w:snapToGrid w:val="0"/>
                <w:lang w:eastAsia="sv-SE"/>
              </w:rPr>
            </w:pPr>
            <w:r w:rsidRPr="000925A8">
              <w:rPr>
                <w:snapToGrid w:val="0"/>
                <w:lang w:eastAsia="sv-SE"/>
              </w:rPr>
              <w:t>Värmdö</w:t>
            </w:r>
          </w:p>
        </w:tc>
        <w:tc>
          <w:tcPr>
            <w:tcW w:w="1840" w:type="dxa"/>
            <w:tcBorders>
              <w:top w:val="single" w:sz="4" w:space="0" w:color="auto"/>
              <w:left w:val="single" w:sz="4" w:space="0" w:color="auto"/>
              <w:bottom w:val="single" w:sz="4" w:space="0" w:color="auto"/>
              <w:right w:val="single" w:sz="4" w:space="0" w:color="auto"/>
            </w:tcBorders>
          </w:tcPr>
          <w:p w14:paraId="73F37A79" w14:textId="77777777" w:rsidR="00241093" w:rsidRPr="000925A8" w:rsidRDefault="00241093">
            <w:pPr>
              <w:spacing w:after="60"/>
              <w:rPr>
                <w:snapToGrid w:val="0"/>
                <w:lang w:eastAsia="sv-SE"/>
              </w:rPr>
            </w:pPr>
            <w:r w:rsidRPr="000925A8">
              <w:rPr>
                <w:snapToGrid w:val="0"/>
                <w:lang w:eastAsia="sv-SE"/>
              </w:rPr>
              <w:t>Stockholm</w:t>
            </w:r>
          </w:p>
        </w:tc>
        <w:tc>
          <w:tcPr>
            <w:tcW w:w="2610" w:type="dxa"/>
            <w:tcBorders>
              <w:top w:val="single" w:sz="4" w:space="0" w:color="auto"/>
              <w:left w:val="single" w:sz="4" w:space="0" w:color="auto"/>
              <w:bottom w:val="single" w:sz="4" w:space="0" w:color="auto"/>
              <w:right w:val="single" w:sz="4" w:space="0" w:color="auto"/>
            </w:tcBorders>
          </w:tcPr>
          <w:p w14:paraId="5EAE5956" w14:textId="77777777" w:rsidR="00241093" w:rsidRPr="000925A8" w:rsidRDefault="00241093">
            <w:pPr>
              <w:spacing w:after="60"/>
              <w:rPr>
                <w:snapToGrid w:val="0"/>
                <w:lang w:eastAsia="sv-SE"/>
              </w:rPr>
            </w:pPr>
            <w:r w:rsidRPr="000925A8">
              <w:rPr>
                <w:snapToGrid w:val="0"/>
                <w:lang w:eastAsia="sv-SE"/>
              </w:rPr>
              <w:t>Förortskommun</w:t>
            </w:r>
          </w:p>
        </w:tc>
      </w:tr>
      <w:tr w:rsidR="00000000" w:rsidRPr="000925A8" w14:paraId="32EA50BD" w14:textId="77777777">
        <w:tblPrEx>
          <w:tblCellMar>
            <w:top w:w="0" w:type="dxa"/>
            <w:bottom w:w="0" w:type="dxa"/>
          </w:tblCellMar>
        </w:tblPrEx>
        <w:trPr>
          <w:trHeight w:val="247"/>
        </w:trPr>
        <w:tc>
          <w:tcPr>
            <w:tcW w:w="1970" w:type="dxa"/>
            <w:tcBorders>
              <w:top w:val="single" w:sz="4" w:space="0" w:color="auto"/>
              <w:left w:val="single" w:sz="4" w:space="0" w:color="auto"/>
              <w:bottom w:val="single" w:sz="4" w:space="0" w:color="auto"/>
              <w:right w:val="single" w:sz="4" w:space="0" w:color="auto"/>
            </w:tcBorders>
          </w:tcPr>
          <w:p w14:paraId="3D216981" w14:textId="77777777" w:rsidR="00241093" w:rsidRPr="000925A8" w:rsidRDefault="00241093">
            <w:pPr>
              <w:spacing w:after="60"/>
              <w:rPr>
                <w:snapToGrid w:val="0"/>
                <w:lang w:eastAsia="sv-SE"/>
              </w:rPr>
            </w:pPr>
            <w:r w:rsidRPr="000925A8">
              <w:rPr>
                <w:snapToGrid w:val="0"/>
                <w:lang w:eastAsia="sv-SE"/>
              </w:rPr>
              <w:t>Eskilstuna</w:t>
            </w:r>
          </w:p>
        </w:tc>
        <w:tc>
          <w:tcPr>
            <w:tcW w:w="1840" w:type="dxa"/>
            <w:tcBorders>
              <w:top w:val="single" w:sz="4" w:space="0" w:color="auto"/>
              <w:left w:val="single" w:sz="4" w:space="0" w:color="auto"/>
              <w:bottom w:val="single" w:sz="4" w:space="0" w:color="auto"/>
              <w:right w:val="single" w:sz="4" w:space="0" w:color="auto"/>
            </w:tcBorders>
          </w:tcPr>
          <w:p w14:paraId="45D95C3E" w14:textId="77777777" w:rsidR="00241093" w:rsidRPr="000925A8" w:rsidRDefault="00241093">
            <w:pPr>
              <w:spacing w:after="60"/>
              <w:rPr>
                <w:snapToGrid w:val="0"/>
                <w:lang w:eastAsia="sv-SE"/>
              </w:rPr>
            </w:pPr>
            <w:r w:rsidRPr="000925A8">
              <w:rPr>
                <w:snapToGrid w:val="0"/>
                <w:lang w:eastAsia="sv-SE"/>
              </w:rPr>
              <w:t>Södermanland</w:t>
            </w:r>
          </w:p>
        </w:tc>
        <w:tc>
          <w:tcPr>
            <w:tcW w:w="2610" w:type="dxa"/>
            <w:tcBorders>
              <w:top w:val="single" w:sz="4" w:space="0" w:color="auto"/>
              <w:left w:val="single" w:sz="4" w:space="0" w:color="auto"/>
              <w:bottom w:val="single" w:sz="4" w:space="0" w:color="auto"/>
              <w:right w:val="single" w:sz="4" w:space="0" w:color="auto"/>
            </w:tcBorders>
          </w:tcPr>
          <w:p w14:paraId="3EB4A352" w14:textId="77777777" w:rsidR="00241093" w:rsidRPr="000925A8" w:rsidRDefault="00241093">
            <w:pPr>
              <w:spacing w:after="60"/>
              <w:rPr>
                <w:snapToGrid w:val="0"/>
                <w:lang w:eastAsia="sv-SE"/>
              </w:rPr>
            </w:pPr>
            <w:r w:rsidRPr="000925A8">
              <w:rPr>
                <w:snapToGrid w:val="0"/>
                <w:lang w:eastAsia="sv-SE"/>
              </w:rPr>
              <w:t>Större stad</w:t>
            </w:r>
          </w:p>
        </w:tc>
      </w:tr>
      <w:tr w:rsidR="00000000" w:rsidRPr="000925A8" w14:paraId="4DD0066E" w14:textId="77777777">
        <w:tblPrEx>
          <w:tblCellMar>
            <w:top w:w="0" w:type="dxa"/>
            <w:bottom w:w="0" w:type="dxa"/>
          </w:tblCellMar>
        </w:tblPrEx>
        <w:trPr>
          <w:trHeight w:val="247"/>
        </w:trPr>
        <w:tc>
          <w:tcPr>
            <w:tcW w:w="1970" w:type="dxa"/>
            <w:tcBorders>
              <w:top w:val="single" w:sz="4" w:space="0" w:color="auto"/>
              <w:left w:val="single" w:sz="6" w:space="0" w:color="auto"/>
              <w:bottom w:val="single" w:sz="6" w:space="0" w:color="auto"/>
              <w:right w:val="single" w:sz="6" w:space="0" w:color="auto"/>
            </w:tcBorders>
          </w:tcPr>
          <w:p w14:paraId="6228353B" w14:textId="77777777" w:rsidR="00241093" w:rsidRPr="000925A8" w:rsidRDefault="00241093">
            <w:pPr>
              <w:spacing w:after="60"/>
              <w:rPr>
                <w:snapToGrid w:val="0"/>
                <w:lang w:eastAsia="sv-SE"/>
              </w:rPr>
            </w:pPr>
            <w:r w:rsidRPr="000925A8">
              <w:rPr>
                <w:snapToGrid w:val="0"/>
                <w:lang w:eastAsia="sv-SE"/>
              </w:rPr>
              <w:t>Strängnäs</w:t>
            </w:r>
          </w:p>
        </w:tc>
        <w:tc>
          <w:tcPr>
            <w:tcW w:w="1840" w:type="dxa"/>
            <w:tcBorders>
              <w:top w:val="single" w:sz="4" w:space="0" w:color="auto"/>
              <w:left w:val="single" w:sz="6" w:space="0" w:color="auto"/>
              <w:bottom w:val="single" w:sz="6" w:space="0" w:color="auto"/>
              <w:right w:val="single" w:sz="6" w:space="0" w:color="auto"/>
            </w:tcBorders>
          </w:tcPr>
          <w:p w14:paraId="3B8EF8B8" w14:textId="77777777" w:rsidR="00241093" w:rsidRPr="000925A8" w:rsidRDefault="00241093">
            <w:pPr>
              <w:spacing w:after="60"/>
              <w:rPr>
                <w:snapToGrid w:val="0"/>
                <w:lang w:eastAsia="sv-SE"/>
              </w:rPr>
            </w:pPr>
            <w:r w:rsidRPr="000925A8">
              <w:rPr>
                <w:snapToGrid w:val="0"/>
                <w:lang w:eastAsia="sv-SE"/>
              </w:rPr>
              <w:t>Södermanland</w:t>
            </w:r>
          </w:p>
        </w:tc>
        <w:tc>
          <w:tcPr>
            <w:tcW w:w="2610" w:type="dxa"/>
            <w:tcBorders>
              <w:top w:val="single" w:sz="4" w:space="0" w:color="auto"/>
              <w:left w:val="single" w:sz="6" w:space="0" w:color="auto"/>
              <w:bottom w:val="single" w:sz="6" w:space="0" w:color="auto"/>
              <w:right w:val="single" w:sz="6" w:space="0" w:color="auto"/>
            </w:tcBorders>
          </w:tcPr>
          <w:p w14:paraId="76E86DFA" w14:textId="77777777" w:rsidR="00241093" w:rsidRPr="000925A8" w:rsidRDefault="00241093">
            <w:pPr>
              <w:spacing w:after="60"/>
              <w:rPr>
                <w:snapToGrid w:val="0"/>
                <w:lang w:eastAsia="sv-SE"/>
              </w:rPr>
            </w:pPr>
            <w:r w:rsidRPr="000925A8">
              <w:rPr>
                <w:snapToGrid w:val="0"/>
                <w:lang w:eastAsia="sv-SE"/>
              </w:rPr>
              <w:t>Medelstor stad</w:t>
            </w:r>
          </w:p>
        </w:tc>
      </w:tr>
      <w:tr w:rsidR="00000000" w:rsidRPr="000925A8" w14:paraId="24446EA5"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4093987B" w14:textId="77777777" w:rsidR="00241093" w:rsidRPr="000925A8" w:rsidRDefault="00241093">
            <w:pPr>
              <w:spacing w:after="60"/>
              <w:rPr>
                <w:snapToGrid w:val="0"/>
                <w:lang w:eastAsia="sv-SE"/>
              </w:rPr>
            </w:pPr>
            <w:r w:rsidRPr="000925A8">
              <w:rPr>
                <w:snapToGrid w:val="0"/>
                <w:lang w:eastAsia="sv-SE"/>
              </w:rPr>
              <w:t>Enköping</w:t>
            </w:r>
          </w:p>
        </w:tc>
        <w:tc>
          <w:tcPr>
            <w:tcW w:w="1840" w:type="dxa"/>
            <w:tcBorders>
              <w:top w:val="single" w:sz="6" w:space="0" w:color="auto"/>
              <w:left w:val="single" w:sz="6" w:space="0" w:color="auto"/>
              <w:bottom w:val="single" w:sz="6" w:space="0" w:color="auto"/>
              <w:right w:val="single" w:sz="6" w:space="0" w:color="auto"/>
            </w:tcBorders>
          </w:tcPr>
          <w:p w14:paraId="794D7D73" w14:textId="77777777" w:rsidR="00241093" w:rsidRPr="000925A8" w:rsidRDefault="00241093">
            <w:pPr>
              <w:spacing w:after="60"/>
              <w:rPr>
                <w:snapToGrid w:val="0"/>
                <w:lang w:eastAsia="sv-SE"/>
              </w:rPr>
            </w:pPr>
            <w:r w:rsidRPr="000925A8">
              <w:rPr>
                <w:snapToGrid w:val="0"/>
                <w:lang w:eastAsia="sv-SE"/>
              </w:rPr>
              <w:t>Uppsala</w:t>
            </w:r>
          </w:p>
        </w:tc>
        <w:tc>
          <w:tcPr>
            <w:tcW w:w="2610" w:type="dxa"/>
            <w:tcBorders>
              <w:top w:val="single" w:sz="6" w:space="0" w:color="auto"/>
              <w:left w:val="single" w:sz="6" w:space="0" w:color="auto"/>
              <w:bottom w:val="single" w:sz="6" w:space="0" w:color="auto"/>
              <w:right w:val="single" w:sz="6" w:space="0" w:color="auto"/>
            </w:tcBorders>
          </w:tcPr>
          <w:p w14:paraId="2CD28BA8" w14:textId="77777777" w:rsidR="00241093" w:rsidRPr="000925A8" w:rsidRDefault="00241093">
            <w:pPr>
              <w:spacing w:after="60"/>
              <w:rPr>
                <w:snapToGrid w:val="0"/>
                <w:lang w:eastAsia="sv-SE"/>
              </w:rPr>
            </w:pPr>
            <w:r w:rsidRPr="000925A8">
              <w:rPr>
                <w:snapToGrid w:val="0"/>
                <w:lang w:eastAsia="sv-SE"/>
              </w:rPr>
              <w:t>Övrig större ko</w:t>
            </w:r>
            <w:r w:rsidRPr="000925A8">
              <w:rPr>
                <w:snapToGrid w:val="0"/>
                <w:lang w:eastAsia="sv-SE"/>
              </w:rPr>
              <w:t>m</w:t>
            </w:r>
            <w:r w:rsidRPr="000925A8">
              <w:rPr>
                <w:snapToGrid w:val="0"/>
                <w:lang w:eastAsia="sv-SE"/>
              </w:rPr>
              <w:t>mun</w:t>
            </w:r>
          </w:p>
        </w:tc>
      </w:tr>
      <w:tr w:rsidR="00000000" w:rsidRPr="000925A8" w14:paraId="5AC0663D"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705575C6" w14:textId="77777777" w:rsidR="00241093" w:rsidRPr="000925A8" w:rsidRDefault="00241093">
            <w:pPr>
              <w:spacing w:after="60"/>
              <w:rPr>
                <w:snapToGrid w:val="0"/>
                <w:lang w:eastAsia="sv-SE"/>
              </w:rPr>
            </w:pPr>
            <w:r w:rsidRPr="000925A8">
              <w:rPr>
                <w:snapToGrid w:val="0"/>
                <w:lang w:eastAsia="sv-SE"/>
              </w:rPr>
              <w:t>Östhammar</w:t>
            </w:r>
          </w:p>
        </w:tc>
        <w:tc>
          <w:tcPr>
            <w:tcW w:w="1840" w:type="dxa"/>
            <w:tcBorders>
              <w:top w:val="single" w:sz="6" w:space="0" w:color="auto"/>
              <w:left w:val="single" w:sz="6" w:space="0" w:color="auto"/>
              <w:bottom w:val="single" w:sz="6" w:space="0" w:color="auto"/>
              <w:right w:val="single" w:sz="6" w:space="0" w:color="auto"/>
            </w:tcBorders>
          </w:tcPr>
          <w:p w14:paraId="199411DC" w14:textId="77777777" w:rsidR="00241093" w:rsidRPr="000925A8" w:rsidRDefault="00241093">
            <w:pPr>
              <w:spacing w:after="60"/>
              <w:rPr>
                <w:snapToGrid w:val="0"/>
                <w:lang w:eastAsia="sv-SE"/>
              </w:rPr>
            </w:pPr>
            <w:r w:rsidRPr="000925A8">
              <w:rPr>
                <w:snapToGrid w:val="0"/>
                <w:lang w:eastAsia="sv-SE"/>
              </w:rPr>
              <w:t>Uppsala</w:t>
            </w:r>
          </w:p>
        </w:tc>
        <w:tc>
          <w:tcPr>
            <w:tcW w:w="2610" w:type="dxa"/>
            <w:tcBorders>
              <w:top w:val="single" w:sz="6" w:space="0" w:color="auto"/>
              <w:left w:val="single" w:sz="6" w:space="0" w:color="auto"/>
              <w:bottom w:val="single" w:sz="6" w:space="0" w:color="auto"/>
              <w:right w:val="single" w:sz="6" w:space="0" w:color="auto"/>
            </w:tcBorders>
          </w:tcPr>
          <w:p w14:paraId="607DF22C" w14:textId="77777777" w:rsidR="00241093" w:rsidRPr="000925A8" w:rsidRDefault="00241093">
            <w:pPr>
              <w:spacing w:after="60"/>
              <w:rPr>
                <w:snapToGrid w:val="0"/>
                <w:lang w:eastAsia="sv-SE"/>
              </w:rPr>
            </w:pPr>
            <w:r w:rsidRPr="000925A8">
              <w:rPr>
                <w:snapToGrid w:val="0"/>
                <w:lang w:eastAsia="sv-SE"/>
              </w:rPr>
              <w:t>Övrig större ko</w:t>
            </w:r>
            <w:r w:rsidRPr="000925A8">
              <w:rPr>
                <w:snapToGrid w:val="0"/>
                <w:lang w:eastAsia="sv-SE"/>
              </w:rPr>
              <w:t>m</w:t>
            </w:r>
            <w:r w:rsidRPr="000925A8">
              <w:rPr>
                <w:snapToGrid w:val="0"/>
                <w:lang w:eastAsia="sv-SE"/>
              </w:rPr>
              <w:t>mun</w:t>
            </w:r>
          </w:p>
        </w:tc>
      </w:tr>
      <w:tr w:rsidR="00000000" w:rsidRPr="000925A8" w14:paraId="61861B40"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221F0D5A" w14:textId="77777777" w:rsidR="00241093" w:rsidRPr="000925A8" w:rsidRDefault="00241093">
            <w:pPr>
              <w:spacing w:after="60"/>
              <w:rPr>
                <w:snapToGrid w:val="0"/>
                <w:lang w:eastAsia="sv-SE"/>
              </w:rPr>
            </w:pPr>
            <w:r w:rsidRPr="000925A8">
              <w:rPr>
                <w:snapToGrid w:val="0"/>
                <w:lang w:eastAsia="sv-SE"/>
              </w:rPr>
              <w:t>Göteborg</w:t>
            </w:r>
          </w:p>
        </w:tc>
        <w:tc>
          <w:tcPr>
            <w:tcW w:w="1840" w:type="dxa"/>
            <w:tcBorders>
              <w:top w:val="single" w:sz="6" w:space="0" w:color="auto"/>
              <w:left w:val="single" w:sz="6" w:space="0" w:color="auto"/>
              <w:bottom w:val="single" w:sz="6" w:space="0" w:color="auto"/>
              <w:right w:val="single" w:sz="6" w:space="0" w:color="auto"/>
            </w:tcBorders>
          </w:tcPr>
          <w:p w14:paraId="1C4FEB59" w14:textId="77777777" w:rsidR="00241093" w:rsidRPr="000925A8" w:rsidRDefault="00241093">
            <w:pPr>
              <w:spacing w:after="60"/>
              <w:rPr>
                <w:snapToGrid w:val="0"/>
                <w:lang w:eastAsia="sv-SE"/>
              </w:rPr>
            </w:pPr>
            <w:r w:rsidRPr="000925A8">
              <w:rPr>
                <w:snapToGrid w:val="0"/>
                <w:lang w:eastAsia="sv-SE"/>
              </w:rPr>
              <w:t>V Götaland</w:t>
            </w:r>
          </w:p>
        </w:tc>
        <w:tc>
          <w:tcPr>
            <w:tcW w:w="2610" w:type="dxa"/>
            <w:tcBorders>
              <w:top w:val="single" w:sz="6" w:space="0" w:color="auto"/>
              <w:left w:val="single" w:sz="6" w:space="0" w:color="auto"/>
              <w:bottom w:val="single" w:sz="6" w:space="0" w:color="auto"/>
              <w:right w:val="single" w:sz="6" w:space="0" w:color="auto"/>
            </w:tcBorders>
          </w:tcPr>
          <w:p w14:paraId="41046AE8" w14:textId="77777777" w:rsidR="00241093" w:rsidRPr="000925A8" w:rsidRDefault="00241093">
            <w:pPr>
              <w:spacing w:after="60"/>
              <w:rPr>
                <w:snapToGrid w:val="0"/>
                <w:lang w:eastAsia="sv-SE"/>
              </w:rPr>
            </w:pPr>
            <w:r w:rsidRPr="000925A8">
              <w:rPr>
                <w:snapToGrid w:val="0"/>
                <w:lang w:eastAsia="sv-SE"/>
              </w:rPr>
              <w:t>Storstad</w:t>
            </w:r>
          </w:p>
        </w:tc>
      </w:tr>
      <w:tr w:rsidR="00000000" w:rsidRPr="000925A8" w14:paraId="024A5207"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70D03F56" w14:textId="77777777" w:rsidR="00241093" w:rsidRPr="000925A8" w:rsidRDefault="00241093">
            <w:pPr>
              <w:spacing w:after="60"/>
              <w:rPr>
                <w:snapToGrid w:val="0"/>
                <w:lang w:eastAsia="sv-SE"/>
              </w:rPr>
            </w:pPr>
            <w:r w:rsidRPr="000925A8">
              <w:rPr>
                <w:snapToGrid w:val="0"/>
                <w:lang w:eastAsia="sv-SE"/>
              </w:rPr>
              <w:t>Härryda</w:t>
            </w:r>
          </w:p>
        </w:tc>
        <w:tc>
          <w:tcPr>
            <w:tcW w:w="1840" w:type="dxa"/>
            <w:tcBorders>
              <w:top w:val="single" w:sz="6" w:space="0" w:color="auto"/>
              <w:left w:val="single" w:sz="6" w:space="0" w:color="auto"/>
              <w:bottom w:val="single" w:sz="6" w:space="0" w:color="auto"/>
              <w:right w:val="single" w:sz="6" w:space="0" w:color="auto"/>
            </w:tcBorders>
          </w:tcPr>
          <w:p w14:paraId="001AC553" w14:textId="77777777" w:rsidR="00241093" w:rsidRPr="000925A8" w:rsidRDefault="00241093">
            <w:pPr>
              <w:spacing w:after="60"/>
              <w:rPr>
                <w:snapToGrid w:val="0"/>
                <w:lang w:eastAsia="sv-SE"/>
              </w:rPr>
            </w:pPr>
            <w:r w:rsidRPr="000925A8">
              <w:rPr>
                <w:snapToGrid w:val="0"/>
                <w:lang w:eastAsia="sv-SE"/>
              </w:rPr>
              <w:t>V Götaland</w:t>
            </w:r>
          </w:p>
        </w:tc>
        <w:tc>
          <w:tcPr>
            <w:tcW w:w="2610" w:type="dxa"/>
            <w:tcBorders>
              <w:top w:val="single" w:sz="6" w:space="0" w:color="auto"/>
              <w:left w:val="single" w:sz="6" w:space="0" w:color="auto"/>
              <w:bottom w:val="single" w:sz="6" w:space="0" w:color="auto"/>
              <w:right w:val="single" w:sz="6" w:space="0" w:color="auto"/>
            </w:tcBorders>
          </w:tcPr>
          <w:p w14:paraId="1E10B707" w14:textId="77777777" w:rsidR="00241093" w:rsidRPr="000925A8" w:rsidRDefault="00241093">
            <w:pPr>
              <w:spacing w:after="60"/>
              <w:rPr>
                <w:snapToGrid w:val="0"/>
                <w:lang w:eastAsia="sv-SE"/>
              </w:rPr>
            </w:pPr>
            <w:r w:rsidRPr="000925A8">
              <w:rPr>
                <w:snapToGrid w:val="0"/>
                <w:lang w:eastAsia="sv-SE"/>
              </w:rPr>
              <w:t>Förortskommun</w:t>
            </w:r>
          </w:p>
        </w:tc>
      </w:tr>
      <w:tr w:rsidR="00000000" w:rsidRPr="000925A8" w14:paraId="2761462A"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7839872B" w14:textId="77777777" w:rsidR="00241093" w:rsidRPr="000925A8" w:rsidRDefault="00241093">
            <w:pPr>
              <w:spacing w:after="60"/>
              <w:rPr>
                <w:snapToGrid w:val="0"/>
                <w:lang w:eastAsia="sv-SE"/>
              </w:rPr>
            </w:pPr>
            <w:r w:rsidRPr="000925A8">
              <w:rPr>
                <w:snapToGrid w:val="0"/>
                <w:lang w:eastAsia="sv-SE"/>
              </w:rPr>
              <w:t>Mellerud</w:t>
            </w:r>
          </w:p>
        </w:tc>
        <w:tc>
          <w:tcPr>
            <w:tcW w:w="1840" w:type="dxa"/>
            <w:tcBorders>
              <w:top w:val="single" w:sz="6" w:space="0" w:color="auto"/>
              <w:left w:val="single" w:sz="6" w:space="0" w:color="auto"/>
              <w:bottom w:val="single" w:sz="6" w:space="0" w:color="auto"/>
              <w:right w:val="single" w:sz="6" w:space="0" w:color="auto"/>
            </w:tcBorders>
          </w:tcPr>
          <w:p w14:paraId="52037867" w14:textId="77777777" w:rsidR="00241093" w:rsidRPr="000925A8" w:rsidRDefault="00241093">
            <w:pPr>
              <w:spacing w:after="60"/>
              <w:rPr>
                <w:snapToGrid w:val="0"/>
                <w:lang w:eastAsia="sv-SE"/>
              </w:rPr>
            </w:pPr>
            <w:r w:rsidRPr="000925A8">
              <w:rPr>
                <w:snapToGrid w:val="0"/>
                <w:lang w:eastAsia="sv-SE"/>
              </w:rPr>
              <w:t>V Götaland</w:t>
            </w:r>
          </w:p>
        </w:tc>
        <w:tc>
          <w:tcPr>
            <w:tcW w:w="2610" w:type="dxa"/>
            <w:tcBorders>
              <w:top w:val="single" w:sz="6" w:space="0" w:color="auto"/>
              <w:left w:val="single" w:sz="6" w:space="0" w:color="auto"/>
              <w:bottom w:val="single" w:sz="6" w:space="0" w:color="auto"/>
              <w:right w:val="single" w:sz="6" w:space="0" w:color="auto"/>
            </w:tcBorders>
          </w:tcPr>
          <w:p w14:paraId="6A2EFB08" w14:textId="77777777" w:rsidR="00241093" w:rsidRPr="000925A8" w:rsidRDefault="00241093">
            <w:pPr>
              <w:spacing w:after="60"/>
              <w:rPr>
                <w:snapToGrid w:val="0"/>
                <w:lang w:eastAsia="sv-SE"/>
              </w:rPr>
            </w:pPr>
            <w:r w:rsidRPr="000925A8">
              <w:rPr>
                <w:snapToGrid w:val="0"/>
                <w:lang w:eastAsia="sv-SE"/>
              </w:rPr>
              <w:t>Landsbygdskommun</w:t>
            </w:r>
          </w:p>
        </w:tc>
      </w:tr>
      <w:tr w:rsidR="00000000" w:rsidRPr="000925A8" w14:paraId="3E74DEEC"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59CD6E15" w14:textId="77777777" w:rsidR="00241093" w:rsidRPr="000925A8" w:rsidRDefault="00241093">
            <w:pPr>
              <w:spacing w:after="60"/>
              <w:rPr>
                <w:snapToGrid w:val="0"/>
                <w:lang w:eastAsia="sv-SE"/>
              </w:rPr>
            </w:pPr>
            <w:r w:rsidRPr="000925A8">
              <w:rPr>
                <w:snapToGrid w:val="0"/>
                <w:lang w:eastAsia="sv-SE"/>
              </w:rPr>
              <w:t>Partille</w:t>
            </w:r>
          </w:p>
        </w:tc>
        <w:tc>
          <w:tcPr>
            <w:tcW w:w="1840" w:type="dxa"/>
            <w:tcBorders>
              <w:top w:val="single" w:sz="6" w:space="0" w:color="auto"/>
              <w:left w:val="single" w:sz="6" w:space="0" w:color="auto"/>
              <w:bottom w:val="single" w:sz="6" w:space="0" w:color="auto"/>
              <w:right w:val="single" w:sz="6" w:space="0" w:color="auto"/>
            </w:tcBorders>
          </w:tcPr>
          <w:p w14:paraId="3904F7A4" w14:textId="77777777" w:rsidR="00241093" w:rsidRPr="000925A8" w:rsidRDefault="00241093">
            <w:pPr>
              <w:spacing w:after="60"/>
              <w:rPr>
                <w:snapToGrid w:val="0"/>
                <w:lang w:eastAsia="sv-SE"/>
              </w:rPr>
            </w:pPr>
            <w:r w:rsidRPr="000925A8">
              <w:rPr>
                <w:snapToGrid w:val="0"/>
                <w:lang w:eastAsia="sv-SE"/>
              </w:rPr>
              <w:t>V Götaland</w:t>
            </w:r>
          </w:p>
        </w:tc>
        <w:tc>
          <w:tcPr>
            <w:tcW w:w="2610" w:type="dxa"/>
            <w:tcBorders>
              <w:top w:val="single" w:sz="6" w:space="0" w:color="auto"/>
              <w:left w:val="single" w:sz="6" w:space="0" w:color="auto"/>
              <w:bottom w:val="single" w:sz="6" w:space="0" w:color="auto"/>
              <w:right w:val="single" w:sz="6" w:space="0" w:color="auto"/>
            </w:tcBorders>
          </w:tcPr>
          <w:p w14:paraId="0E9D2A85" w14:textId="77777777" w:rsidR="00241093" w:rsidRPr="000925A8" w:rsidRDefault="00241093">
            <w:pPr>
              <w:spacing w:after="60"/>
              <w:rPr>
                <w:snapToGrid w:val="0"/>
                <w:lang w:eastAsia="sv-SE"/>
              </w:rPr>
            </w:pPr>
            <w:r w:rsidRPr="000925A8">
              <w:rPr>
                <w:snapToGrid w:val="0"/>
                <w:lang w:eastAsia="sv-SE"/>
              </w:rPr>
              <w:t>Förortsko</w:t>
            </w:r>
            <w:r w:rsidRPr="000925A8">
              <w:rPr>
                <w:snapToGrid w:val="0"/>
                <w:lang w:eastAsia="sv-SE"/>
              </w:rPr>
              <w:t>m</w:t>
            </w:r>
            <w:r w:rsidRPr="000925A8">
              <w:rPr>
                <w:snapToGrid w:val="0"/>
                <w:lang w:eastAsia="sv-SE"/>
              </w:rPr>
              <w:t>mun</w:t>
            </w:r>
          </w:p>
        </w:tc>
      </w:tr>
      <w:tr w:rsidR="00000000" w:rsidRPr="000925A8" w14:paraId="5D724571"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2498DCD3" w14:textId="77777777" w:rsidR="00241093" w:rsidRPr="000925A8" w:rsidRDefault="00241093">
            <w:pPr>
              <w:spacing w:after="60"/>
              <w:rPr>
                <w:snapToGrid w:val="0"/>
                <w:lang w:eastAsia="sv-SE"/>
              </w:rPr>
            </w:pPr>
            <w:r w:rsidRPr="000925A8">
              <w:rPr>
                <w:snapToGrid w:val="0"/>
                <w:lang w:eastAsia="sv-SE"/>
              </w:rPr>
              <w:t>Arvika</w:t>
            </w:r>
          </w:p>
        </w:tc>
        <w:tc>
          <w:tcPr>
            <w:tcW w:w="1840" w:type="dxa"/>
            <w:tcBorders>
              <w:top w:val="single" w:sz="6" w:space="0" w:color="auto"/>
              <w:left w:val="single" w:sz="6" w:space="0" w:color="auto"/>
              <w:bottom w:val="single" w:sz="6" w:space="0" w:color="auto"/>
              <w:right w:val="single" w:sz="6" w:space="0" w:color="auto"/>
            </w:tcBorders>
          </w:tcPr>
          <w:p w14:paraId="175C635F" w14:textId="77777777" w:rsidR="00241093" w:rsidRPr="000925A8" w:rsidRDefault="00241093">
            <w:pPr>
              <w:spacing w:after="60"/>
              <w:rPr>
                <w:snapToGrid w:val="0"/>
                <w:lang w:eastAsia="sv-SE"/>
              </w:rPr>
            </w:pPr>
            <w:r w:rsidRPr="000925A8">
              <w:rPr>
                <w:snapToGrid w:val="0"/>
                <w:lang w:eastAsia="sv-SE"/>
              </w:rPr>
              <w:t>Värmland</w:t>
            </w:r>
          </w:p>
        </w:tc>
        <w:tc>
          <w:tcPr>
            <w:tcW w:w="2610" w:type="dxa"/>
            <w:tcBorders>
              <w:top w:val="single" w:sz="6" w:space="0" w:color="auto"/>
              <w:left w:val="single" w:sz="6" w:space="0" w:color="auto"/>
              <w:bottom w:val="single" w:sz="6" w:space="0" w:color="auto"/>
              <w:right w:val="single" w:sz="6" w:space="0" w:color="auto"/>
            </w:tcBorders>
          </w:tcPr>
          <w:p w14:paraId="4E5CE962" w14:textId="77777777" w:rsidR="00241093" w:rsidRPr="000925A8" w:rsidRDefault="00241093">
            <w:pPr>
              <w:spacing w:after="60"/>
              <w:rPr>
                <w:snapToGrid w:val="0"/>
                <w:lang w:eastAsia="sv-SE"/>
              </w:rPr>
            </w:pPr>
            <w:r w:rsidRPr="000925A8">
              <w:rPr>
                <w:snapToGrid w:val="0"/>
                <w:lang w:eastAsia="sv-SE"/>
              </w:rPr>
              <w:t>Övrig större ko</w:t>
            </w:r>
            <w:r w:rsidRPr="000925A8">
              <w:rPr>
                <w:snapToGrid w:val="0"/>
                <w:lang w:eastAsia="sv-SE"/>
              </w:rPr>
              <w:t>m</w:t>
            </w:r>
            <w:r w:rsidRPr="000925A8">
              <w:rPr>
                <w:snapToGrid w:val="0"/>
                <w:lang w:eastAsia="sv-SE"/>
              </w:rPr>
              <w:t>mun</w:t>
            </w:r>
          </w:p>
        </w:tc>
      </w:tr>
      <w:tr w:rsidR="00000000" w:rsidRPr="000925A8" w14:paraId="6CBDF63B"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03DEEF06" w14:textId="77777777" w:rsidR="00241093" w:rsidRPr="000925A8" w:rsidRDefault="00241093">
            <w:pPr>
              <w:spacing w:after="60"/>
              <w:rPr>
                <w:snapToGrid w:val="0"/>
                <w:lang w:eastAsia="sv-SE"/>
              </w:rPr>
            </w:pPr>
            <w:r w:rsidRPr="000925A8">
              <w:rPr>
                <w:snapToGrid w:val="0"/>
                <w:lang w:eastAsia="sv-SE"/>
              </w:rPr>
              <w:t>Sunne</w:t>
            </w:r>
          </w:p>
        </w:tc>
        <w:tc>
          <w:tcPr>
            <w:tcW w:w="1840" w:type="dxa"/>
            <w:tcBorders>
              <w:top w:val="single" w:sz="6" w:space="0" w:color="auto"/>
              <w:left w:val="single" w:sz="6" w:space="0" w:color="auto"/>
              <w:bottom w:val="single" w:sz="6" w:space="0" w:color="auto"/>
              <w:right w:val="single" w:sz="6" w:space="0" w:color="auto"/>
            </w:tcBorders>
          </w:tcPr>
          <w:p w14:paraId="1A846D08" w14:textId="77777777" w:rsidR="00241093" w:rsidRPr="000925A8" w:rsidRDefault="00241093">
            <w:pPr>
              <w:spacing w:after="60"/>
              <w:rPr>
                <w:snapToGrid w:val="0"/>
                <w:lang w:eastAsia="sv-SE"/>
              </w:rPr>
            </w:pPr>
            <w:r w:rsidRPr="000925A8">
              <w:rPr>
                <w:snapToGrid w:val="0"/>
                <w:lang w:eastAsia="sv-SE"/>
              </w:rPr>
              <w:t>Värmland</w:t>
            </w:r>
          </w:p>
        </w:tc>
        <w:tc>
          <w:tcPr>
            <w:tcW w:w="2610" w:type="dxa"/>
            <w:tcBorders>
              <w:top w:val="single" w:sz="6" w:space="0" w:color="auto"/>
              <w:left w:val="single" w:sz="6" w:space="0" w:color="auto"/>
              <w:bottom w:val="single" w:sz="6" w:space="0" w:color="auto"/>
              <w:right w:val="single" w:sz="6" w:space="0" w:color="auto"/>
            </w:tcBorders>
          </w:tcPr>
          <w:p w14:paraId="65579A0E" w14:textId="77777777" w:rsidR="00241093" w:rsidRPr="000925A8" w:rsidRDefault="00241093">
            <w:pPr>
              <w:spacing w:after="60"/>
              <w:rPr>
                <w:snapToGrid w:val="0"/>
                <w:lang w:eastAsia="sv-SE"/>
              </w:rPr>
            </w:pPr>
            <w:r w:rsidRPr="000925A8">
              <w:rPr>
                <w:snapToGrid w:val="0"/>
                <w:lang w:eastAsia="sv-SE"/>
              </w:rPr>
              <w:t>Övrig mindre ko</w:t>
            </w:r>
            <w:r w:rsidRPr="000925A8">
              <w:rPr>
                <w:snapToGrid w:val="0"/>
                <w:lang w:eastAsia="sv-SE"/>
              </w:rPr>
              <w:t>m</w:t>
            </w:r>
            <w:r w:rsidRPr="000925A8">
              <w:rPr>
                <w:snapToGrid w:val="0"/>
                <w:lang w:eastAsia="sv-SE"/>
              </w:rPr>
              <w:t>mun</w:t>
            </w:r>
          </w:p>
        </w:tc>
      </w:tr>
      <w:tr w:rsidR="00000000" w:rsidRPr="000925A8" w14:paraId="04004F52"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4E9C2BE5" w14:textId="77777777" w:rsidR="00241093" w:rsidRPr="000925A8" w:rsidRDefault="00241093">
            <w:pPr>
              <w:spacing w:after="60"/>
              <w:rPr>
                <w:snapToGrid w:val="0"/>
                <w:lang w:eastAsia="sv-SE"/>
              </w:rPr>
            </w:pPr>
            <w:r w:rsidRPr="000925A8">
              <w:rPr>
                <w:snapToGrid w:val="0"/>
                <w:lang w:eastAsia="sv-SE"/>
              </w:rPr>
              <w:t>Nordmaling</w:t>
            </w:r>
          </w:p>
        </w:tc>
        <w:tc>
          <w:tcPr>
            <w:tcW w:w="1840" w:type="dxa"/>
            <w:tcBorders>
              <w:top w:val="single" w:sz="6" w:space="0" w:color="auto"/>
              <w:left w:val="single" w:sz="6" w:space="0" w:color="auto"/>
              <w:bottom w:val="single" w:sz="6" w:space="0" w:color="auto"/>
              <w:right w:val="single" w:sz="6" w:space="0" w:color="auto"/>
            </w:tcBorders>
          </w:tcPr>
          <w:p w14:paraId="584CD0C6" w14:textId="77777777" w:rsidR="00241093" w:rsidRPr="000925A8" w:rsidRDefault="00241093">
            <w:pPr>
              <w:spacing w:after="60"/>
              <w:rPr>
                <w:snapToGrid w:val="0"/>
                <w:lang w:eastAsia="sv-SE"/>
              </w:rPr>
            </w:pPr>
            <w:r w:rsidRPr="000925A8">
              <w:rPr>
                <w:snapToGrid w:val="0"/>
                <w:lang w:eastAsia="sv-SE"/>
              </w:rPr>
              <w:t>Västerbotten</w:t>
            </w:r>
          </w:p>
        </w:tc>
        <w:tc>
          <w:tcPr>
            <w:tcW w:w="2610" w:type="dxa"/>
            <w:tcBorders>
              <w:top w:val="single" w:sz="6" w:space="0" w:color="auto"/>
              <w:left w:val="single" w:sz="6" w:space="0" w:color="auto"/>
              <w:bottom w:val="single" w:sz="6" w:space="0" w:color="auto"/>
              <w:right w:val="single" w:sz="6" w:space="0" w:color="auto"/>
            </w:tcBorders>
          </w:tcPr>
          <w:p w14:paraId="15F21AF1" w14:textId="77777777" w:rsidR="00241093" w:rsidRPr="000925A8" w:rsidRDefault="00241093">
            <w:pPr>
              <w:spacing w:after="60"/>
              <w:rPr>
                <w:snapToGrid w:val="0"/>
                <w:lang w:eastAsia="sv-SE"/>
              </w:rPr>
            </w:pPr>
            <w:r w:rsidRPr="000925A8">
              <w:rPr>
                <w:snapToGrid w:val="0"/>
                <w:lang w:eastAsia="sv-SE"/>
              </w:rPr>
              <w:t>Övrig mindre ko</w:t>
            </w:r>
            <w:r w:rsidRPr="000925A8">
              <w:rPr>
                <w:snapToGrid w:val="0"/>
                <w:lang w:eastAsia="sv-SE"/>
              </w:rPr>
              <w:t>m</w:t>
            </w:r>
            <w:r w:rsidRPr="000925A8">
              <w:rPr>
                <w:snapToGrid w:val="0"/>
                <w:lang w:eastAsia="sv-SE"/>
              </w:rPr>
              <w:t>mun</w:t>
            </w:r>
          </w:p>
        </w:tc>
      </w:tr>
      <w:tr w:rsidR="00000000" w:rsidRPr="000925A8" w14:paraId="4AECD0ED"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1AEFA002" w14:textId="77777777" w:rsidR="00241093" w:rsidRPr="000925A8" w:rsidRDefault="00241093">
            <w:pPr>
              <w:spacing w:after="60"/>
              <w:rPr>
                <w:snapToGrid w:val="0"/>
                <w:lang w:eastAsia="sv-SE"/>
              </w:rPr>
            </w:pPr>
            <w:r w:rsidRPr="000925A8">
              <w:rPr>
                <w:snapToGrid w:val="0"/>
                <w:lang w:eastAsia="sv-SE"/>
              </w:rPr>
              <w:t>Skellefteå</w:t>
            </w:r>
          </w:p>
        </w:tc>
        <w:tc>
          <w:tcPr>
            <w:tcW w:w="1840" w:type="dxa"/>
            <w:tcBorders>
              <w:top w:val="single" w:sz="6" w:space="0" w:color="auto"/>
              <w:left w:val="single" w:sz="6" w:space="0" w:color="auto"/>
              <w:bottom w:val="single" w:sz="6" w:space="0" w:color="auto"/>
              <w:right w:val="single" w:sz="6" w:space="0" w:color="auto"/>
            </w:tcBorders>
          </w:tcPr>
          <w:p w14:paraId="75DA2E70" w14:textId="77777777" w:rsidR="00241093" w:rsidRPr="000925A8" w:rsidRDefault="00241093">
            <w:pPr>
              <w:spacing w:after="60"/>
              <w:rPr>
                <w:snapToGrid w:val="0"/>
                <w:lang w:eastAsia="sv-SE"/>
              </w:rPr>
            </w:pPr>
            <w:r w:rsidRPr="000925A8">
              <w:rPr>
                <w:snapToGrid w:val="0"/>
                <w:lang w:eastAsia="sv-SE"/>
              </w:rPr>
              <w:t>Västerbotten</w:t>
            </w:r>
          </w:p>
        </w:tc>
        <w:tc>
          <w:tcPr>
            <w:tcW w:w="2610" w:type="dxa"/>
            <w:tcBorders>
              <w:top w:val="single" w:sz="6" w:space="0" w:color="auto"/>
              <w:left w:val="single" w:sz="6" w:space="0" w:color="auto"/>
              <w:bottom w:val="single" w:sz="6" w:space="0" w:color="auto"/>
              <w:right w:val="single" w:sz="6" w:space="0" w:color="auto"/>
            </w:tcBorders>
          </w:tcPr>
          <w:p w14:paraId="4E3463FD" w14:textId="77777777" w:rsidR="00241093" w:rsidRPr="000925A8" w:rsidRDefault="00241093">
            <w:pPr>
              <w:spacing w:after="60"/>
              <w:rPr>
                <w:snapToGrid w:val="0"/>
                <w:lang w:eastAsia="sv-SE"/>
              </w:rPr>
            </w:pPr>
            <w:r w:rsidRPr="000925A8">
              <w:rPr>
                <w:snapToGrid w:val="0"/>
                <w:lang w:eastAsia="sv-SE"/>
              </w:rPr>
              <w:t>Större stad</w:t>
            </w:r>
          </w:p>
        </w:tc>
      </w:tr>
      <w:tr w:rsidR="00000000" w:rsidRPr="000925A8" w14:paraId="6CB7EA8A"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7A180323" w14:textId="77777777" w:rsidR="00241093" w:rsidRPr="000925A8" w:rsidRDefault="00241093">
            <w:pPr>
              <w:spacing w:after="60"/>
              <w:rPr>
                <w:snapToGrid w:val="0"/>
                <w:lang w:eastAsia="sv-SE"/>
              </w:rPr>
            </w:pPr>
            <w:r w:rsidRPr="000925A8">
              <w:rPr>
                <w:snapToGrid w:val="0"/>
                <w:lang w:eastAsia="sv-SE"/>
              </w:rPr>
              <w:t>Sundsvall</w:t>
            </w:r>
          </w:p>
        </w:tc>
        <w:tc>
          <w:tcPr>
            <w:tcW w:w="1840" w:type="dxa"/>
            <w:tcBorders>
              <w:top w:val="single" w:sz="6" w:space="0" w:color="auto"/>
              <w:left w:val="single" w:sz="6" w:space="0" w:color="auto"/>
              <w:bottom w:val="single" w:sz="6" w:space="0" w:color="auto"/>
              <w:right w:val="single" w:sz="6" w:space="0" w:color="auto"/>
            </w:tcBorders>
          </w:tcPr>
          <w:p w14:paraId="063D5D44" w14:textId="77777777" w:rsidR="00241093" w:rsidRPr="000925A8" w:rsidRDefault="00241093">
            <w:pPr>
              <w:spacing w:after="60"/>
              <w:rPr>
                <w:snapToGrid w:val="0"/>
                <w:lang w:eastAsia="sv-SE"/>
              </w:rPr>
            </w:pPr>
            <w:r w:rsidRPr="000925A8">
              <w:rPr>
                <w:snapToGrid w:val="0"/>
                <w:lang w:eastAsia="sv-SE"/>
              </w:rPr>
              <w:t>Västernor</w:t>
            </w:r>
            <w:r w:rsidRPr="000925A8">
              <w:rPr>
                <w:snapToGrid w:val="0"/>
                <w:lang w:eastAsia="sv-SE"/>
              </w:rPr>
              <w:t>r</w:t>
            </w:r>
            <w:r w:rsidRPr="000925A8">
              <w:rPr>
                <w:snapToGrid w:val="0"/>
                <w:lang w:eastAsia="sv-SE"/>
              </w:rPr>
              <w:t>land</w:t>
            </w:r>
          </w:p>
        </w:tc>
        <w:tc>
          <w:tcPr>
            <w:tcW w:w="2610" w:type="dxa"/>
            <w:tcBorders>
              <w:top w:val="single" w:sz="6" w:space="0" w:color="auto"/>
              <w:left w:val="single" w:sz="6" w:space="0" w:color="auto"/>
              <w:bottom w:val="single" w:sz="6" w:space="0" w:color="auto"/>
              <w:right w:val="single" w:sz="6" w:space="0" w:color="auto"/>
            </w:tcBorders>
          </w:tcPr>
          <w:p w14:paraId="7B2F9D71" w14:textId="77777777" w:rsidR="00241093" w:rsidRPr="000925A8" w:rsidRDefault="00241093">
            <w:pPr>
              <w:spacing w:after="60"/>
              <w:rPr>
                <w:snapToGrid w:val="0"/>
                <w:lang w:eastAsia="sv-SE"/>
              </w:rPr>
            </w:pPr>
            <w:r w:rsidRPr="000925A8">
              <w:rPr>
                <w:snapToGrid w:val="0"/>
                <w:lang w:eastAsia="sv-SE"/>
              </w:rPr>
              <w:t>Större stad</w:t>
            </w:r>
          </w:p>
        </w:tc>
      </w:tr>
      <w:tr w:rsidR="00000000" w:rsidRPr="000925A8" w14:paraId="59549821"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66AD9EF3" w14:textId="77777777" w:rsidR="00241093" w:rsidRPr="000925A8" w:rsidRDefault="00241093">
            <w:pPr>
              <w:spacing w:after="60"/>
              <w:rPr>
                <w:snapToGrid w:val="0"/>
                <w:lang w:eastAsia="sv-SE"/>
              </w:rPr>
            </w:pPr>
            <w:r w:rsidRPr="000925A8">
              <w:rPr>
                <w:snapToGrid w:val="0"/>
                <w:lang w:eastAsia="sv-SE"/>
              </w:rPr>
              <w:t>Örnsköldsvik</w:t>
            </w:r>
          </w:p>
        </w:tc>
        <w:tc>
          <w:tcPr>
            <w:tcW w:w="1840" w:type="dxa"/>
            <w:tcBorders>
              <w:top w:val="single" w:sz="6" w:space="0" w:color="auto"/>
              <w:left w:val="single" w:sz="6" w:space="0" w:color="auto"/>
              <w:bottom w:val="single" w:sz="6" w:space="0" w:color="auto"/>
              <w:right w:val="single" w:sz="6" w:space="0" w:color="auto"/>
            </w:tcBorders>
          </w:tcPr>
          <w:p w14:paraId="2DB7C2FE" w14:textId="77777777" w:rsidR="00241093" w:rsidRPr="000925A8" w:rsidRDefault="00241093">
            <w:pPr>
              <w:spacing w:after="60"/>
              <w:rPr>
                <w:snapToGrid w:val="0"/>
                <w:lang w:eastAsia="sv-SE"/>
              </w:rPr>
            </w:pPr>
            <w:r w:rsidRPr="000925A8">
              <w:rPr>
                <w:snapToGrid w:val="0"/>
                <w:lang w:eastAsia="sv-SE"/>
              </w:rPr>
              <w:t>Västernor</w:t>
            </w:r>
            <w:r w:rsidRPr="000925A8">
              <w:rPr>
                <w:snapToGrid w:val="0"/>
                <w:lang w:eastAsia="sv-SE"/>
              </w:rPr>
              <w:t>r</w:t>
            </w:r>
            <w:r w:rsidRPr="000925A8">
              <w:rPr>
                <w:snapToGrid w:val="0"/>
                <w:lang w:eastAsia="sv-SE"/>
              </w:rPr>
              <w:t>land</w:t>
            </w:r>
          </w:p>
        </w:tc>
        <w:tc>
          <w:tcPr>
            <w:tcW w:w="2610" w:type="dxa"/>
            <w:tcBorders>
              <w:top w:val="single" w:sz="6" w:space="0" w:color="auto"/>
              <w:left w:val="single" w:sz="6" w:space="0" w:color="auto"/>
              <w:bottom w:val="single" w:sz="6" w:space="0" w:color="auto"/>
              <w:right w:val="single" w:sz="6" w:space="0" w:color="auto"/>
            </w:tcBorders>
          </w:tcPr>
          <w:p w14:paraId="7DC067A1" w14:textId="77777777" w:rsidR="00241093" w:rsidRPr="000925A8" w:rsidRDefault="00241093">
            <w:pPr>
              <w:spacing w:after="60"/>
              <w:rPr>
                <w:snapToGrid w:val="0"/>
                <w:lang w:eastAsia="sv-SE"/>
              </w:rPr>
            </w:pPr>
            <w:r w:rsidRPr="000925A8">
              <w:rPr>
                <w:snapToGrid w:val="0"/>
                <w:lang w:eastAsia="sv-SE"/>
              </w:rPr>
              <w:t>Större stad</w:t>
            </w:r>
          </w:p>
        </w:tc>
      </w:tr>
      <w:tr w:rsidR="00000000" w:rsidRPr="000925A8" w14:paraId="48C688A8"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1D5D0195" w14:textId="77777777" w:rsidR="00241093" w:rsidRPr="000925A8" w:rsidRDefault="00241093">
            <w:pPr>
              <w:spacing w:after="60"/>
              <w:rPr>
                <w:snapToGrid w:val="0"/>
                <w:lang w:eastAsia="sv-SE"/>
              </w:rPr>
            </w:pPr>
            <w:r w:rsidRPr="000925A8">
              <w:rPr>
                <w:snapToGrid w:val="0"/>
                <w:lang w:eastAsia="sv-SE"/>
              </w:rPr>
              <w:t>Hallstahammar</w:t>
            </w:r>
          </w:p>
        </w:tc>
        <w:tc>
          <w:tcPr>
            <w:tcW w:w="1840" w:type="dxa"/>
            <w:tcBorders>
              <w:top w:val="single" w:sz="6" w:space="0" w:color="auto"/>
              <w:left w:val="single" w:sz="6" w:space="0" w:color="auto"/>
              <w:bottom w:val="single" w:sz="6" w:space="0" w:color="auto"/>
              <w:right w:val="single" w:sz="6" w:space="0" w:color="auto"/>
            </w:tcBorders>
          </w:tcPr>
          <w:p w14:paraId="14127192" w14:textId="77777777" w:rsidR="00241093" w:rsidRPr="000925A8" w:rsidRDefault="00241093">
            <w:pPr>
              <w:spacing w:after="60"/>
              <w:rPr>
                <w:snapToGrid w:val="0"/>
                <w:lang w:eastAsia="sv-SE"/>
              </w:rPr>
            </w:pPr>
            <w:r w:rsidRPr="000925A8">
              <w:rPr>
                <w:snapToGrid w:val="0"/>
                <w:lang w:eastAsia="sv-SE"/>
              </w:rPr>
              <w:t>Västma</w:t>
            </w:r>
            <w:r w:rsidRPr="000925A8">
              <w:rPr>
                <w:snapToGrid w:val="0"/>
                <w:lang w:eastAsia="sv-SE"/>
              </w:rPr>
              <w:t>n</w:t>
            </w:r>
            <w:r w:rsidRPr="000925A8">
              <w:rPr>
                <w:snapToGrid w:val="0"/>
                <w:lang w:eastAsia="sv-SE"/>
              </w:rPr>
              <w:t>land</w:t>
            </w:r>
          </w:p>
        </w:tc>
        <w:tc>
          <w:tcPr>
            <w:tcW w:w="2610" w:type="dxa"/>
            <w:tcBorders>
              <w:top w:val="single" w:sz="6" w:space="0" w:color="auto"/>
              <w:left w:val="single" w:sz="6" w:space="0" w:color="auto"/>
              <w:bottom w:val="single" w:sz="6" w:space="0" w:color="auto"/>
              <w:right w:val="single" w:sz="6" w:space="0" w:color="auto"/>
            </w:tcBorders>
          </w:tcPr>
          <w:p w14:paraId="229BA99C" w14:textId="77777777" w:rsidR="00241093" w:rsidRPr="000925A8" w:rsidRDefault="00241093">
            <w:pPr>
              <w:spacing w:after="60"/>
              <w:rPr>
                <w:snapToGrid w:val="0"/>
                <w:lang w:eastAsia="sv-SE"/>
              </w:rPr>
            </w:pPr>
            <w:r w:rsidRPr="000925A8">
              <w:rPr>
                <w:snapToGrid w:val="0"/>
                <w:lang w:eastAsia="sv-SE"/>
              </w:rPr>
              <w:t>Övrig större ko</w:t>
            </w:r>
            <w:r w:rsidRPr="000925A8">
              <w:rPr>
                <w:snapToGrid w:val="0"/>
                <w:lang w:eastAsia="sv-SE"/>
              </w:rPr>
              <w:t>m</w:t>
            </w:r>
            <w:r w:rsidRPr="000925A8">
              <w:rPr>
                <w:snapToGrid w:val="0"/>
                <w:lang w:eastAsia="sv-SE"/>
              </w:rPr>
              <w:t>mun</w:t>
            </w:r>
          </w:p>
        </w:tc>
      </w:tr>
      <w:tr w:rsidR="00000000" w:rsidRPr="000925A8" w14:paraId="08E9A61B"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03757DB6" w14:textId="77777777" w:rsidR="00241093" w:rsidRPr="000925A8" w:rsidRDefault="00241093">
            <w:pPr>
              <w:spacing w:after="60"/>
              <w:rPr>
                <w:snapToGrid w:val="0"/>
                <w:lang w:eastAsia="sv-SE"/>
              </w:rPr>
            </w:pPr>
            <w:r w:rsidRPr="000925A8">
              <w:rPr>
                <w:snapToGrid w:val="0"/>
                <w:lang w:eastAsia="sv-SE"/>
              </w:rPr>
              <w:t>Västerås</w:t>
            </w:r>
          </w:p>
        </w:tc>
        <w:tc>
          <w:tcPr>
            <w:tcW w:w="1840" w:type="dxa"/>
            <w:tcBorders>
              <w:top w:val="single" w:sz="6" w:space="0" w:color="auto"/>
              <w:left w:val="single" w:sz="6" w:space="0" w:color="auto"/>
              <w:bottom w:val="single" w:sz="6" w:space="0" w:color="auto"/>
              <w:right w:val="single" w:sz="6" w:space="0" w:color="auto"/>
            </w:tcBorders>
          </w:tcPr>
          <w:p w14:paraId="4D645914" w14:textId="77777777" w:rsidR="00241093" w:rsidRPr="000925A8" w:rsidRDefault="00241093">
            <w:pPr>
              <w:spacing w:after="60"/>
              <w:rPr>
                <w:snapToGrid w:val="0"/>
                <w:lang w:eastAsia="sv-SE"/>
              </w:rPr>
            </w:pPr>
            <w:r w:rsidRPr="000925A8">
              <w:rPr>
                <w:snapToGrid w:val="0"/>
                <w:lang w:eastAsia="sv-SE"/>
              </w:rPr>
              <w:t>Västma</w:t>
            </w:r>
            <w:r w:rsidRPr="000925A8">
              <w:rPr>
                <w:snapToGrid w:val="0"/>
                <w:lang w:eastAsia="sv-SE"/>
              </w:rPr>
              <w:t>n</w:t>
            </w:r>
            <w:r w:rsidRPr="000925A8">
              <w:rPr>
                <w:snapToGrid w:val="0"/>
                <w:lang w:eastAsia="sv-SE"/>
              </w:rPr>
              <w:t>land</w:t>
            </w:r>
          </w:p>
        </w:tc>
        <w:tc>
          <w:tcPr>
            <w:tcW w:w="2610" w:type="dxa"/>
            <w:tcBorders>
              <w:top w:val="single" w:sz="6" w:space="0" w:color="auto"/>
              <w:left w:val="single" w:sz="6" w:space="0" w:color="auto"/>
              <w:bottom w:val="single" w:sz="6" w:space="0" w:color="auto"/>
              <w:right w:val="single" w:sz="6" w:space="0" w:color="auto"/>
            </w:tcBorders>
          </w:tcPr>
          <w:p w14:paraId="1DBA2351" w14:textId="77777777" w:rsidR="00241093" w:rsidRPr="000925A8" w:rsidRDefault="00241093">
            <w:pPr>
              <w:spacing w:after="60"/>
              <w:rPr>
                <w:snapToGrid w:val="0"/>
                <w:lang w:eastAsia="sv-SE"/>
              </w:rPr>
            </w:pPr>
            <w:r w:rsidRPr="000925A8">
              <w:rPr>
                <w:snapToGrid w:val="0"/>
                <w:lang w:eastAsia="sv-SE"/>
              </w:rPr>
              <w:t>Större stad</w:t>
            </w:r>
          </w:p>
        </w:tc>
      </w:tr>
      <w:tr w:rsidR="00000000" w:rsidRPr="000925A8" w14:paraId="1468D57A"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06961ED2" w14:textId="77777777" w:rsidR="00241093" w:rsidRPr="000925A8" w:rsidRDefault="00241093">
            <w:pPr>
              <w:spacing w:after="60"/>
              <w:rPr>
                <w:snapToGrid w:val="0"/>
                <w:lang w:eastAsia="sv-SE"/>
              </w:rPr>
            </w:pPr>
            <w:r w:rsidRPr="000925A8">
              <w:rPr>
                <w:snapToGrid w:val="0"/>
                <w:lang w:eastAsia="sv-SE"/>
              </w:rPr>
              <w:t>Kumla</w:t>
            </w:r>
          </w:p>
        </w:tc>
        <w:tc>
          <w:tcPr>
            <w:tcW w:w="1840" w:type="dxa"/>
            <w:tcBorders>
              <w:top w:val="single" w:sz="6" w:space="0" w:color="auto"/>
              <w:left w:val="single" w:sz="6" w:space="0" w:color="auto"/>
              <w:bottom w:val="single" w:sz="6" w:space="0" w:color="auto"/>
              <w:right w:val="single" w:sz="6" w:space="0" w:color="auto"/>
            </w:tcBorders>
          </w:tcPr>
          <w:p w14:paraId="48291CEE" w14:textId="77777777" w:rsidR="00241093" w:rsidRPr="000925A8" w:rsidRDefault="00241093">
            <w:pPr>
              <w:spacing w:after="60"/>
              <w:rPr>
                <w:snapToGrid w:val="0"/>
                <w:lang w:eastAsia="sv-SE"/>
              </w:rPr>
            </w:pPr>
            <w:r w:rsidRPr="000925A8">
              <w:rPr>
                <w:snapToGrid w:val="0"/>
                <w:lang w:eastAsia="sv-SE"/>
              </w:rPr>
              <w:t>Örebro</w:t>
            </w:r>
          </w:p>
        </w:tc>
        <w:tc>
          <w:tcPr>
            <w:tcW w:w="2610" w:type="dxa"/>
            <w:tcBorders>
              <w:top w:val="single" w:sz="6" w:space="0" w:color="auto"/>
              <w:left w:val="single" w:sz="6" w:space="0" w:color="auto"/>
              <w:bottom w:val="single" w:sz="6" w:space="0" w:color="auto"/>
              <w:right w:val="single" w:sz="6" w:space="0" w:color="auto"/>
            </w:tcBorders>
          </w:tcPr>
          <w:p w14:paraId="6C47AA9A" w14:textId="77777777" w:rsidR="00241093" w:rsidRPr="000925A8" w:rsidRDefault="00241093">
            <w:pPr>
              <w:spacing w:after="60"/>
              <w:rPr>
                <w:snapToGrid w:val="0"/>
                <w:lang w:eastAsia="sv-SE"/>
              </w:rPr>
            </w:pPr>
            <w:r w:rsidRPr="000925A8">
              <w:rPr>
                <w:snapToGrid w:val="0"/>
                <w:lang w:eastAsia="sv-SE"/>
              </w:rPr>
              <w:t>Industriko</w:t>
            </w:r>
            <w:r w:rsidRPr="000925A8">
              <w:rPr>
                <w:snapToGrid w:val="0"/>
                <w:lang w:eastAsia="sv-SE"/>
              </w:rPr>
              <w:t>m</w:t>
            </w:r>
            <w:r w:rsidRPr="000925A8">
              <w:rPr>
                <w:snapToGrid w:val="0"/>
                <w:lang w:eastAsia="sv-SE"/>
              </w:rPr>
              <w:t>mun</w:t>
            </w:r>
          </w:p>
        </w:tc>
      </w:tr>
      <w:tr w:rsidR="00000000" w:rsidRPr="000925A8" w14:paraId="2AC57BCF"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14D262CB" w14:textId="77777777" w:rsidR="00241093" w:rsidRPr="000925A8" w:rsidRDefault="00241093">
            <w:pPr>
              <w:spacing w:after="60"/>
              <w:rPr>
                <w:snapToGrid w:val="0"/>
                <w:lang w:eastAsia="sv-SE"/>
              </w:rPr>
            </w:pPr>
            <w:r w:rsidRPr="000925A8">
              <w:rPr>
                <w:snapToGrid w:val="0"/>
                <w:lang w:eastAsia="sv-SE"/>
              </w:rPr>
              <w:t>Örebro</w:t>
            </w:r>
          </w:p>
        </w:tc>
        <w:tc>
          <w:tcPr>
            <w:tcW w:w="1840" w:type="dxa"/>
            <w:tcBorders>
              <w:top w:val="single" w:sz="6" w:space="0" w:color="auto"/>
              <w:left w:val="single" w:sz="6" w:space="0" w:color="auto"/>
              <w:bottom w:val="single" w:sz="6" w:space="0" w:color="auto"/>
              <w:right w:val="single" w:sz="6" w:space="0" w:color="auto"/>
            </w:tcBorders>
          </w:tcPr>
          <w:p w14:paraId="6624C56F" w14:textId="77777777" w:rsidR="00241093" w:rsidRPr="000925A8" w:rsidRDefault="00241093">
            <w:pPr>
              <w:spacing w:after="60"/>
              <w:rPr>
                <w:snapToGrid w:val="0"/>
                <w:lang w:eastAsia="sv-SE"/>
              </w:rPr>
            </w:pPr>
            <w:r w:rsidRPr="000925A8">
              <w:rPr>
                <w:snapToGrid w:val="0"/>
                <w:lang w:eastAsia="sv-SE"/>
              </w:rPr>
              <w:t>Örebro</w:t>
            </w:r>
          </w:p>
        </w:tc>
        <w:tc>
          <w:tcPr>
            <w:tcW w:w="2610" w:type="dxa"/>
            <w:tcBorders>
              <w:top w:val="single" w:sz="6" w:space="0" w:color="auto"/>
              <w:left w:val="single" w:sz="6" w:space="0" w:color="auto"/>
              <w:bottom w:val="single" w:sz="6" w:space="0" w:color="auto"/>
              <w:right w:val="single" w:sz="6" w:space="0" w:color="auto"/>
            </w:tcBorders>
          </w:tcPr>
          <w:p w14:paraId="2BB71C4D" w14:textId="77777777" w:rsidR="00241093" w:rsidRPr="000925A8" w:rsidRDefault="00241093">
            <w:pPr>
              <w:spacing w:after="60"/>
              <w:rPr>
                <w:snapToGrid w:val="0"/>
                <w:lang w:eastAsia="sv-SE"/>
              </w:rPr>
            </w:pPr>
            <w:r w:rsidRPr="000925A8">
              <w:rPr>
                <w:snapToGrid w:val="0"/>
                <w:lang w:eastAsia="sv-SE"/>
              </w:rPr>
              <w:t>Större stad</w:t>
            </w:r>
          </w:p>
        </w:tc>
      </w:tr>
      <w:tr w:rsidR="00000000" w:rsidRPr="000925A8" w14:paraId="00C087BC"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752B72C3" w14:textId="77777777" w:rsidR="00241093" w:rsidRPr="000925A8" w:rsidRDefault="00241093">
            <w:pPr>
              <w:spacing w:after="60"/>
              <w:rPr>
                <w:snapToGrid w:val="0"/>
                <w:lang w:eastAsia="sv-SE"/>
              </w:rPr>
            </w:pPr>
            <w:r w:rsidRPr="000925A8">
              <w:rPr>
                <w:snapToGrid w:val="0"/>
                <w:lang w:eastAsia="sv-SE"/>
              </w:rPr>
              <w:t>Norrköping</w:t>
            </w:r>
          </w:p>
        </w:tc>
        <w:tc>
          <w:tcPr>
            <w:tcW w:w="1840" w:type="dxa"/>
            <w:tcBorders>
              <w:top w:val="single" w:sz="6" w:space="0" w:color="auto"/>
              <w:left w:val="single" w:sz="6" w:space="0" w:color="auto"/>
              <w:bottom w:val="single" w:sz="6" w:space="0" w:color="auto"/>
              <w:right w:val="single" w:sz="6" w:space="0" w:color="auto"/>
            </w:tcBorders>
          </w:tcPr>
          <w:p w14:paraId="1EDE9662" w14:textId="77777777" w:rsidR="00241093" w:rsidRPr="000925A8" w:rsidRDefault="00241093">
            <w:pPr>
              <w:spacing w:after="60"/>
              <w:rPr>
                <w:snapToGrid w:val="0"/>
                <w:lang w:eastAsia="sv-SE"/>
              </w:rPr>
            </w:pPr>
            <w:r w:rsidRPr="000925A8">
              <w:rPr>
                <w:snapToGrid w:val="0"/>
                <w:lang w:eastAsia="sv-SE"/>
              </w:rPr>
              <w:t>Östergötland</w:t>
            </w:r>
          </w:p>
        </w:tc>
        <w:tc>
          <w:tcPr>
            <w:tcW w:w="2610" w:type="dxa"/>
            <w:tcBorders>
              <w:top w:val="single" w:sz="6" w:space="0" w:color="auto"/>
              <w:left w:val="single" w:sz="6" w:space="0" w:color="auto"/>
              <w:bottom w:val="single" w:sz="6" w:space="0" w:color="auto"/>
              <w:right w:val="single" w:sz="6" w:space="0" w:color="auto"/>
            </w:tcBorders>
          </w:tcPr>
          <w:p w14:paraId="5C3BE4AC" w14:textId="77777777" w:rsidR="00241093" w:rsidRPr="000925A8" w:rsidRDefault="00241093">
            <w:pPr>
              <w:spacing w:after="60"/>
              <w:rPr>
                <w:snapToGrid w:val="0"/>
                <w:lang w:eastAsia="sv-SE"/>
              </w:rPr>
            </w:pPr>
            <w:r w:rsidRPr="000925A8">
              <w:rPr>
                <w:snapToGrid w:val="0"/>
                <w:lang w:eastAsia="sv-SE"/>
              </w:rPr>
              <w:t>Större stad</w:t>
            </w:r>
          </w:p>
        </w:tc>
      </w:tr>
      <w:tr w:rsidR="00000000" w:rsidRPr="000925A8" w14:paraId="5E953C30" w14:textId="77777777">
        <w:tblPrEx>
          <w:tblCellMar>
            <w:top w:w="0" w:type="dxa"/>
            <w:bottom w:w="0" w:type="dxa"/>
          </w:tblCellMar>
        </w:tblPrEx>
        <w:trPr>
          <w:trHeight w:val="247"/>
        </w:trPr>
        <w:tc>
          <w:tcPr>
            <w:tcW w:w="1970" w:type="dxa"/>
            <w:tcBorders>
              <w:top w:val="single" w:sz="6" w:space="0" w:color="auto"/>
              <w:left w:val="single" w:sz="6" w:space="0" w:color="auto"/>
              <w:bottom w:val="single" w:sz="6" w:space="0" w:color="auto"/>
              <w:right w:val="single" w:sz="6" w:space="0" w:color="auto"/>
            </w:tcBorders>
          </w:tcPr>
          <w:p w14:paraId="7523E453" w14:textId="77777777" w:rsidR="00241093" w:rsidRPr="000925A8" w:rsidRDefault="00241093">
            <w:pPr>
              <w:spacing w:after="60"/>
              <w:rPr>
                <w:snapToGrid w:val="0"/>
                <w:lang w:eastAsia="sv-SE"/>
              </w:rPr>
            </w:pPr>
            <w:r w:rsidRPr="000925A8">
              <w:rPr>
                <w:snapToGrid w:val="0"/>
                <w:lang w:eastAsia="sv-SE"/>
              </w:rPr>
              <w:t>Valdemarsvik</w:t>
            </w:r>
          </w:p>
        </w:tc>
        <w:tc>
          <w:tcPr>
            <w:tcW w:w="1840" w:type="dxa"/>
            <w:tcBorders>
              <w:top w:val="single" w:sz="6" w:space="0" w:color="auto"/>
              <w:left w:val="single" w:sz="6" w:space="0" w:color="auto"/>
              <w:bottom w:val="single" w:sz="6" w:space="0" w:color="auto"/>
              <w:right w:val="single" w:sz="6" w:space="0" w:color="auto"/>
            </w:tcBorders>
          </w:tcPr>
          <w:p w14:paraId="7CFB4AB9" w14:textId="77777777" w:rsidR="00241093" w:rsidRPr="000925A8" w:rsidRDefault="00241093">
            <w:pPr>
              <w:spacing w:after="60"/>
              <w:rPr>
                <w:snapToGrid w:val="0"/>
                <w:lang w:eastAsia="sv-SE"/>
              </w:rPr>
            </w:pPr>
            <w:r w:rsidRPr="000925A8">
              <w:rPr>
                <w:snapToGrid w:val="0"/>
                <w:lang w:eastAsia="sv-SE"/>
              </w:rPr>
              <w:t>Östergötland</w:t>
            </w:r>
          </w:p>
        </w:tc>
        <w:tc>
          <w:tcPr>
            <w:tcW w:w="2610" w:type="dxa"/>
            <w:tcBorders>
              <w:top w:val="single" w:sz="6" w:space="0" w:color="auto"/>
              <w:left w:val="single" w:sz="6" w:space="0" w:color="auto"/>
              <w:bottom w:val="single" w:sz="6" w:space="0" w:color="auto"/>
              <w:right w:val="single" w:sz="6" w:space="0" w:color="auto"/>
            </w:tcBorders>
          </w:tcPr>
          <w:p w14:paraId="4F6E8947" w14:textId="77777777" w:rsidR="00241093" w:rsidRPr="000925A8" w:rsidRDefault="00241093">
            <w:pPr>
              <w:spacing w:after="60"/>
              <w:rPr>
                <w:snapToGrid w:val="0"/>
                <w:lang w:eastAsia="sv-SE"/>
              </w:rPr>
            </w:pPr>
            <w:r w:rsidRPr="000925A8">
              <w:rPr>
                <w:snapToGrid w:val="0"/>
                <w:lang w:eastAsia="sv-SE"/>
              </w:rPr>
              <w:t>Landsbygd</w:t>
            </w:r>
            <w:r w:rsidRPr="000925A8">
              <w:rPr>
                <w:snapToGrid w:val="0"/>
                <w:lang w:eastAsia="sv-SE"/>
              </w:rPr>
              <w:t>s</w:t>
            </w:r>
            <w:r w:rsidRPr="000925A8">
              <w:rPr>
                <w:snapToGrid w:val="0"/>
                <w:lang w:eastAsia="sv-SE"/>
              </w:rPr>
              <w:t>kommun</w:t>
            </w:r>
          </w:p>
        </w:tc>
      </w:tr>
    </w:tbl>
    <w:p w14:paraId="1E32DDA6" w14:textId="77777777" w:rsidR="00241093" w:rsidRPr="000925A8" w:rsidRDefault="00241093">
      <w:pPr>
        <w:pStyle w:val="R2"/>
        <w:spacing w:before="0"/>
      </w:pPr>
    </w:p>
    <w:p w14:paraId="206DE579" w14:textId="77777777" w:rsidR="00241093" w:rsidRPr="000925A8" w:rsidRDefault="00241093">
      <w:pPr>
        <w:pStyle w:val="R3"/>
        <w:spacing w:before="0"/>
      </w:pPr>
      <w:r w:rsidRPr="000925A8">
        <w:br w:type="page"/>
        <w:t>Kommunförbundets definitioner av olika kommuntyper</w:t>
      </w:r>
    </w:p>
    <w:tbl>
      <w:tblPr>
        <w:tblW w:w="0" w:type="auto"/>
        <w:tblInd w:w="-5"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560"/>
        <w:gridCol w:w="3685"/>
        <w:gridCol w:w="1134"/>
      </w:tblGrid>
      <w:tr w:rsidR="00000000" w:rsidRPr="000925A8" w14:paraId="0BBB9CCA" w14:textId="77777777">
        <w:tblPrEx>
          <w:tblCellMar>
            <w:top w:w="0" w:type="dxa"/>
            <w:bottom w:w="0" w:type="dxa"/>
          </w:tblCellMar>
        </w:tblPrEx>
        <w:tc>
          <w:tcPr>
            <w:tcW w:w="1560" w:type="dxa"/>
            <w:tcBorders>
              <w:top w:val="single" w:sz="6" w:space="0" w:color="000000"/>
              <w:left w:val="single" w:sz="6" w:space="0" w:color="000000"/>
              <w:bottom w:val="single" w:sz="6" w:space="0" w:color="000000"/>
              <w:right w:val="single" w:sz="6" w:space="0" w:color="000000"/>
            </w:tcBorders>
          </w:tcPr>
          <w:p w14:paraId="33092754" w14:textId="77777777" w:rsidR="00241093" w:rsidRPr="000925A8" w:rsidRDefault="00241093">
            <w:pPr>
              <w:spacing w:before="60" w:after="60"/>
              <w:jc w:val="left"/>
              <w:rPr>
                <w:b/>
                <w:sz w:val="20"/>
              </w:rPr>
            </w:pPr>
            <w:r w:rsidRPr="000925A8">
              <w:rPr>
                <w:b/>
                <w:sz w:val="20"/>
              </w:rPr>
              <w:t>Kommuntyp</w:t>
            </w:r>
          </w:p>
        </w:tc>
        <w:tc>
          <w:tcPr>
            <w:tcW w:w="3685" w:type="dxa"/>
            <w:tcBorders>
              <w:top w:val="single" w:sz="6" w:space="0" w:color="000000"/>
              <w:left w:val="single" w:sz="6" w:space="0" w:color="000000"/>
              <w:bottom w:val="single" w:sz="6" w:space="0" w:color="000000"/>
              <w:right w:val="single" w:sz="6" w:space="0" w:color="000000"/>
            </w:tcBorders>
          </w:tcPr>
          <w:p w14:paraId="0136893A" w14:textId="77777777" w:rsidR="00241093" w:rsidRPr="000925A8" w:rsidRDefault="00241093">
            <w:pPr>
              <w:spacing w:before="60" w:after="60"/>
              <w:rPr>
                <w:b/>
                <w:sz w:val="20"/>
              </w:rPr>
            </w:pPr>
            <w:r w:rsidRPr="000925A8">
              <w:rPr>
                <w:b/>
                <w:sz w:val="20"/>
              </w:rPr>
              <w:t>Definition</w:t>
            </w:r>
          </w:p>
        </w:tc>
        <w:tc>
          <w:tcPr>
            <w:tcW w:w="1134" w:type="dxa"/>
            <w:tcBorders>
              <w:top w:val="single" w:sz="6" w:space="0" w:color="000000"/>
              <w:left w:val="single" w:sz="6" w:space="0" w:color="000000"/>
              <w:bottom w:val="single" w:sz="6" w:space="0" w:color="000000"/>
              <w:right w:val="single" w:sz="6" w:space="0" w:color="000000"/>
            </w:tcBorders>
          </w:tcPr>
          <w:p w14:paraId="243B2308" w14:textId="77777777" w:rsidR="00241093" w:rsidRPr="000925A8" w:rsidRDefault="00241093">
            <w:pPr>
              <w:spacing w:before="60" w:after="60"/>
              <w:jc w:val="left"/>
              <w:rPr>
                <w:b/>
                <w:sz w:val="20"/>
              </w:rPr>
            </w:pPr>
            <w:r w:rsidRPr="000925A8">
              <w:rPr>
                <w:b/>
                <w:sz w:val="20"/>
              </w:rPr>
              <w:t>Fö</w:t>
            </w:r>
            <w:r w:rsidRPr="000925A8">
              <w:rPr>
                <w:b/>
                <w:sz w:val="20"/>
              </w:rPr>
              <w:t>r</w:t>
            </w:r>
            <w:r w:rsidRPr="000925A8">
              <w:rPr>
                <w:b/>
                <w:sz w:val="20"/>
              </w:rPr>
              <w:t>kort-ning</w:t>
            </w:r>
          </w:p>
        </w:tc>
      </w:tr>
      <w:tr w:rsidR="00000000" w:rsidRPr="000925A8" w14:paraId="434F05F7" w14:textId="77777777">
        <w:tblPrEx>
          <w:tblCellMar>
            <w:top w:w="0" w:type="dxa"/>
            <w:bottom w:w="0" w:type="dxa"/>
          </w:tblCellMar>
        </w:tblPrEx>
        <w:tc>
          <w:tcPr>
            <w:tcW w:w="1560" w:type="dxa"/>
            <w:tcBorders>
              <w:top w:val="single" w:sz="6" w:space="0" w:color="000000"/>
              <w:left w:val="single" w:sz="6" w:space="0" w:color="000000"/>
              <w:bottom w:val="single" w:sz="6" w:space="0" w:color="000000"/>
              <w:right w:val="single" w:sz="6" w:space="0" w:color="000000"/>
            </w:tcBorders>
          </w:tcPr>
          <w:p w14:paraId="377A96CF" w14:textId="77777777" w:rsidR="00241093" w:rsidRPr="000925A8" w:rsidRDefault="0024109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60" w:after="60"/>
              <w:rPr>
                <w:rFonts w:ascii="Times New Roman" w:hAnsi="Times New Roman"/>
                <w:snapToGrid/>
              </w:rPr>
            </w:pPr>
            <w:r w:rsidRPr="000925A8">
              <w:rPr>
                <w:rFonts w:ascii="Times New Roman" w:hAnsi="Times New Roman"/>
                <w:snapToGrid/>
              </w:rPr>
              <w:t>Storstad</w:t>
            </w:r>
          </w:p>
        </w:tc>
        <w:tc>
          <w:tcPr>
            <w:tcW w:w="3685" w:type="dxa"/>
            <w:tcBorders>
              <w:top w:val="single" w:sz="6" w:space="0" w:color="000000"/>
              <w:left w:val="single" w:sz="6" w:space="0" w:color="000000"/>
              <w:bottom w:val="single" w:sz="6" w:space="0" w:color="000000"/>
              <w:right w:val="single" w:sz="6" w:space="0" w:color="000000"/>
            </w:tcBorders>
          </w:tcPr>
          <w:p w14:paraId="74F865D7" w14:textId="77777777" w:rsidR="00241093" w:rsidRPr="000925A8" w:rsidRDefault="0024109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60" w:after="60"/>
              <w:jc w:val="both"/>
              <w:rPr>
                <w:rFonts w:ascii="Times New Roman" w:hAnsi="Times New Roman"/>
                <w:snapToGrid/>
              </w:rPr>
            </w:pPr>
            <w:r w:rsidRPr="000925A8">
              <w:rPr>
                <w:rFonts w:ascii="Times New Roman" w:hAnsi="Times New Roman"/>
                <w:snapToGrid/>
              </w:rPr>
              <w:t>Kommun med en folkmängd som överstiger 200 000 invånare.</w:t>
            </w:r>
          </w:p>
        </w:tc>
        <w:tc>
          <w:tcPr>
            <w:tcW w:w="1134" w:type="dxa"/>
            <w:tcBorders>
              <w:top w:val="single" w:sz="6" w:space="0" w:color="000000"/>
              <w:left w:val="single" w:sz="6" w:space="0" w:color="000000"/>
              <w:bottom w:val="single" w:sz="6" w:space="0" w:color="000000"/>
              <w:right w:val="single" w:sz="6" w:space="0" w:color="000000"/>
            </w:tcBorders>
          </w:tcPr>
          <w:p w14:paraId="7867DB25" w14:textId="77777777" w:rsidR="00241093" w:rsidRPr="000925A8" w:rsidRDefault="0024109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60" w:after="60"/>
              <w:rPr>
                <w:rFonts w:ascii="Times New Roman" w:hAnsi="Times New Roman"/>
                <w:snapToGrid/>
              </w:rPr>
            </w:pPr>
            <w:r w:rsidRPr="000925A8">
              <w:rPr>
                <w:rFonts w:ascii="Times New Roman" w:hAnsi="Times New Roman"/>
                <w:snapToGrid/>
              </w:rPr>
              <w:t>S</w:t>
            </w:r>
          </w:p>
        </w:tc>
      </w:tr>
      <w:tr w:rsidR="00000000" w:rsidRPr="000925A8" w14:paraId="64A590C3" w14:textId="77777777">
        <w:tblPrEx>
          <w:tblCellMar>
            <w:top w:w="0" w:type="dxa"/>
            <w:bottom w:w="0" w:type="dxa"/>
          </w:tblCellMar>
        </w:tblPrEx>
        <w:tc>
          <w:tcPr>
            <w:tcW w:w="1560" w:type="dxa"/>
            <w:tcBorders>
              <w:top w:val="single" w:sz="6" w:space="0" w:color="000000"/>
              <w:left w:val="single" w:sz="6" w:space="0" w:color="000000"/>
              <w:bottom w:val="single" w:sz="6" w:space="0" w:color="000000"/>
              <w:right w:val="single" w:sz="6" w:space="0" w:color="000000"/>
            </w:tcBorders>
          </w:tcPr>
          <w:p w14:paraId="49A4A162" w14:textId="77777777" w:rsidR="00241093" w:rsidRPr="000925A8" w:rsidRDefault="00241093">
            <w:pPr>
              <w:spacing w:before="60" w:after="60"/>
              <w:jc w:val="left"/>
              <w:rPr>
                <w:sz w:val="20"/>
              </w:rPr>
            </w:pPr>
            <w:r w:rsidRPr="000925A8">
              <w:rPr>
                <w:sz w:val="20"/>
              </w:rPr>
              <w:t>Förortskommun</w:t>
            </w:r>
          </w:p>
        </w:tc>
        <w:tc>
          <w:tcPr>
            <w:tcW w:w="3685" w:type="dxa"/>
            <w:tcBorders>
              <w:top w:val="single" w:sz="6" w:space="0" w:color="000000"/>
              <w:left w:val="single" w:sz="6" w:space="0" w:color="000000"/>
              <w:bottom w:val="single" w:sz="6" w:space="0" w:color="000000"/>
              <w:right w:val="single" w:sz="6" w:space="0" w:color="000000"/>
            </w:tcBorders>
          </w:tcPr>
          <w:p w14:paraId="4BCFFF79" w14:textId="77777777" w:rsidR="00241093" w:rsidRPr="000925A8" w:rsidRDefault="00241093">
            <w:pPr>
              <w:spacing w:before="60" w:after="60"/>
              <w:rPr>
                <w:sz w:val="20"/>
              </w:rPr>
            </w:pPr>
            <w:r w:rsidRPr="000925A8">
              <w:rPr>
                <w:sz w:val="20"/>
              </w:rPr>
              <w:t>Mer än 50 % av nattbefolkningen pendlar till arbetet i någon annan kommun. Det vanligaste utpendlingsmålet ska vara en storstad.</w:t>
            </w:r>
          </w:p>
        </w:tc>
        <w:tc>
          <w:tcPr>
            <w:tcW w:w="1134" w:type="dxa"/>
            <w:tcBorders>
              <w:top w:val="single" w:sz="6" w:space="0" w:color="000000"/>
              <w:left w:val="single" w:sz="6" w:space="0" w:color="000000"/>
              <w:bottom w:val="single" w:sz="6" w:space="0" w:color="000000"/>
              <w:right w:val="single" w:sz="6" w:space="0" w:color="000000"/>
            </w:tcBorders>
          </w:tcPr>
          <w:p w14:paraId="05889AC1" w14:textId="77777777" w:rsidR="00241093" w:rsidRPr="000925A8" w:rsidRDefault="00241093">
            <w:pPr>
              <w:spacing w:before="60" w:after="60"/>
              <w:jc w:val="left"/>
              <w:rPr>
                <w:sz w:val="20"/>
              </w:rPr>
            </w:pPr>
            <w:r w:rsidRPr="000925A8">
              <w:rPr>
                <w:sz w:val="20"/>
              </w:rPr>
              <w:t>FK</w:t>
            </w:r>
          </w:p>
        </w:tc>
      </w:tr>
      <w:tr w:rsidR="00000000" w:rsidRPr="000925A8" w14:paraId="468AAAFE" w14:textId="77777777">
        <w:tblPrEx>
          <w:tblCellMar>
            <w:top w:w="0" w:type="dxa"/>
            <w:bottom w:w="0" w:type="dxa"/>
          </w:tblCellMar>
        </w:tblPrEx>
        <w:tc>
          <w:tcPr>
            <w:tcW w:w="1560" w:type="dxa"/>
            <w:tcBorders>
              <w:top w:val="single" w:sz="6" w:space="0" w:color="000000"/>
              <w:left w:val="single" w:sz="6" w:space="0" w:color="000000"/>
              <w:bottom w:val="single" w:sz="6" w:space="0" w:color="000000"/>
              <w:right w:val="single" w:sz="6" w:space="0" w:color="000000"/>
            </w:tcBorders>
          </w:tcPr>
          <w:p w14:paraId="3EAF80F3" w14:textId="77777777" w:rsidR="00241093" w:rsidRPr="000925A8" w:rsidRDefault="00241093">
            <w:pPr>
              <w:spacing w:before="60" w:after="60"/>
              <w:jc w:val="left"/>
              <w:rPr>
                <w:sz w:val="20"/>
              </w:rPr>
            </w:pPr>
            <w:r w:rsidRPr="000925A8">
              <w:rPr>
                <w:sz w:val="20"/>
              </w:rPr>
              <w:t>Större stad</w:t>
            </w:r>
          </w:p>
        </w:tc>
        <w:tc>
          <w:tcPr>
            <w:tcW w:w="3685" w:type="dxa"/>
            <w:tcBorders>
              <w:top w:val="single" w:sz="6" w:space="0" w:color="000000"/>
              <w:left w:val="single" w:sz="6" w:space="0" w:color="000000"/>
              <w:bottom w:val="single" w:sz="6" w:space="0" w:color="000000"/>
              <w:right w:val="single" w:sz="6" w:space="0" w:color="000000"/>
            </w:tcBorders>
          </w:tcPr>
          <w:p w14:paraId="6DF2CAA2" w14:textId="77777777" w:rsidR="00241093" w:rsidRPr="000925A8" w:rsidRDefault="00241093">
            <w:pPr>
              <w:spacing w:before="60" w:after="60"/>
              <w:rPr>
                <w:sz w:val="20"/>
              </w:rPr>
            </w:pPr>
            <w:r w:rsidRPr="000925A8">
              <w:rPr>
                <w:sz w:val="20"/>
              </w:rPr>
              <w:t>Kommuner med 50 000-200 000 invånare samt med mindre än 40 % av nattbefol</w:t>
            </w:r>
            <w:r w:rsidRPr="000925A8">
              <w:rPr>
                <w:sz w:val="20"/>
              </w:rPr>
              <w:t>k</w:t>
            </w:r>
            <w:r w:rsidRPr="000925A8">
              <w:rPr>
                <w:sz w:val="20"/>
              </w:rPr>
              <w:t>ningen sysselsatta inom industr</w:t>
            </w:r>
            <w:r w:rsidRPr="000925A8">
              <w:rPr>
                <w:sz w:val="20"/>
              </w:rPr>
              <w:t>i</w:t>
            </w:r>
            <w:r w:rsidRPr="000925A8">
              <w:rPr>
                <w:sz w:val="20"/>
              </w:rPr>
              <w:t xml:space="preserve">sektorn. </w:t>
            </w:r>
          </w:p>
        </w:tc>
        <w:tc>
          <w:tcPr>
            <w:tcW w:w="1134" w:type="dxa"/>
            <w:tcBorders>
              <w:top w:val="single" w:sz="6" w:space="0" w:color="000000"/>
              <w:left w:val="single" w:sz="6" w:space="0" w:color="000000"/>
              <w:bottom w:val="single" w:sz="6" w:space="0" w:color="000000"/>
              <w:right w:val="single" w:sz="6" w:space="0" w:color="000000"/>
            </w:tcBorders>
          </w:tcPr>
          <w:p w14:paraId="16549952" w14:textId="77777777" w:rsidR="00241093" w:rsidRPr="000925A8" w:rsidRDefault="00241093">
            <w:pPr>
              <w:spacing w:before="60" w:after="60"/>
              <w:jc w:val="left"/>
              <w:rPr>
                <w:sz w:val="20"/>
              </w:rPr>
            </w:pPr>
            <w:r w:rsidRPr="000925A8">
              <w:rPr>
                <w:sz w:val="20"/>
              </w:rPr>
              <w:t>SS</w:t>
            </w:r>
          </w:p>
        </w:tc>
      </w:tr>
      <w:tr w:rsidR="00000000" w:rsidRPr="000925A8" w14:paraId="4E24B3FB" w14:textId="77777777">
        <w:tblPrEx>
          <w:tblCellMar>
            <w:top w:w="0" w:type="dxa"/>
            <w:bottom w:w="0" w:type="dxa"/>
          </w:tblCellMar>
        </w:tblPrEx>
        <w:tc>
          <w:tcPr>
            <w:tcW w:w="1560" w:type="dxa"/>
            <w:tcBorders>
              <w:top w:val="single" w:sz="6" w:space="0" w:color="000000"/>
              <w:left w:val="single" w:sz="6" w:space="0" w:color="000000"/>
              <w:bottom w:val="single" w:sz="6" w:space="0" w:color="000000"/>
              <w:right w:val="single" w:sz="6" w:space="0" w:color="000000"/>
            </w:tcBorders>
          </w:tcPr>
          <w:p w14:paraId="50CEA1B2" w14:textId="77777777" w:rsidR="00241093" w:rsidRPr="000925A8" w:rsidRDefault="00241093">
            <w:pPr>
              <w:spacing w:before="60" w:after="60"/>
              <w:jc w:val="left"/>
              <w:rPr>
                <w:sz w:val="20"/>
              </w:rPr>
            </w:pPr>
            <w:r w:rsidRPr="000925A8">
              <w:rPr>
                <w:sz w:val="20"/>
              </w:rPr>
              <w:t xml:space="preserve">Medelstor stad </w:t>
            </w:r>
          </w:p>
        </w:tc>
        <w:tc>
          <w:tcPr>
            <w:tcW w:w="3685" w:type="dxa"/>
            <w:tcBorders>
              <w:top w:val="single" w:sz="6" w:space="0" w:color="000000"/>
              <w:left w:val="single" w:sz="6" w:space="0" w:color="000000"/>
              <w:bottom w:val="single" w:sz="6" w:space="0" w:color="000000"/>
              <w:right w:val="single" w:sz="6" w:space="0" w:color="000000"/>
            </w:tcBorders>
          </w:tcPr>
          <w:p w14:paraId="221E182F" w14:textId="77777777" w:rsidR="00241093" w:rsidRPr="000925A8" w:rsidRDefault="0024109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60" w:after="60"/>
              <w:jc w:val="both"/>
              <w:rPr>
                <w:rFonts w:ascii="Times New Roman" w:hAnsi="Times New Roman"/>
                <w:snapToGrid/>
              </w:rPr>
            </w:pPr>
            <w:r w:rsidRPr="000925A8">
              <w:rPr>
                <w:rFonts w:ascii="Times New Roman" w:hAnsi="Times New Roman"/>
                <w:snapToGrid/>
              </w:rPr>
              <w:t>Kommun med 20 000–50 000 invånare, med tätortsgrad över 70 % samt med min</w:t>
            </w:r>
            <w:r w:rsidRPr="000925A8">
              <w:rPr>
                <w:rFonts w:ascii="Times New Roman" w:hAnsi="Times New Roman"/>
                <w:snapToGrid/>
              </w:rPr>
              <w:t>d</w:t>
            </w:r>
            <w:r w:rsidRPr="000925A8">
              <w:rPr>
                <w:rFonts w:ascii="Times New Roman" w:hAnsi="Times New Roman"/>
                <w:snapToGrid/>
              </w:rPr>
              <w:t>re än 40 % av nattbefolkningen sysselsatt inom ind</w:t>
            </w:r>
            <w:r w:rsidRPr="000925A8">
              <w:rPr>
                <w:rFonts w:ascii="Times New Roman" w:hAnsi="Times New Roman"/>
                <w:snapToGrid/>
              </w:rPr>
              <w:t>u</w:t>
            </w:r>
            <w:r w:rsidRPr="000925A8">
              <w:rPr>
                <w:rFonts w:ascii="Times New Roman" w:hAnsi="Times New Roman"/>
                <w:snapToGrid/>
              </w:rPr>
              <w:t>strisektorn.</w:t>
            </w:r>
          </w:p>
        </w:tc>
        <w:tc>
          <w:tcPr>
            <w:tcW w:w="1134" w:type="dxa"/>
            <w:tcBorders>
              <w:top w:val="single" w:sz="6" w:space="0" w:color="000000"/>
              <w:left w:val="single" w:sz="6" w:space="0" w:color="000000"/>
              <w:bottom w:val="single" w:sz="6" w:space="0" w:color="000000"/>
              <w:right w:val="single" w:sz="6" w:space="0" w:color="000000"/>
            </w:tcBorders>
          </w:tcPr>
          <w:p w14:paraId="779299D7" w14:textId="77777777" w:rsidR="00241093" w:rsidRPr="000925A8" w:rsidRDefault="00241093">
            <w:pPr>
              <w:spacing w:before="60" w:after="60"/>
              <w:jc w:val="left"/>
              <w:rPr>
                <w:sz w:val="20"/>
              </w:rPr>
            </w:pPr>
            <w:r w:rsidRPr="000925A8">
              <w:rPr>
                <w:sz w:val="20"/>
              </w:rPr>
              <w:t>MS</w:t>
            </w:r>
          </w:p>
        </w:tc>
      </w:tr>
      <w:tr w:rsidR="00000000" w:rsidRPr="000925A8" w14:paraId="374AAAC0" w14:textId="77777777">
        <w:tblPrEx>
          <w:tblCellMar>
            <w:top w:w="0" w:type="dxa"/>
            <w:bottom w:w="0" w:type="dxa"/>
          </w:tblCellMar>
        </w:tblPrEx>
        <w:tc>
          <w:tcPr>
            <w:tcW w:w="1560" w:type="dxa"/>
            <w:tcBorders>
              <w:top w:val="single" w:sz="6" w:space="0" w:color="000000"/>
              <w:left w:val="single" w:sz="6" w:space="0" w:color="000000"/>
              <w:bottom w:val="single" w:sz="6" w:space="0" w:color="000000"/>
              <w:right w:val="single" w:sz="6" w:space="0" w:color="000000"/>
            </w:tcBorders>
          </w:tcPr>
          <w:p w14:paraId="71198D28" w14:textId="77777777" w:rsidR="00241093" w:rsidRPr="000925A8" w:rsidRDefault="00241093">
            <w:pPr>
              <w:spacing w:before="60" w:after="60"/>
              <w:jc w:val="left"/>
              <w:rPr>
                <w:sz w:val="20"/>
              </w:rPr>
            </w:pPr>
            <w:r w:rsidRPr="000925A8">
              <w:rPr>
                <w:sz w:val="20"/>
              </w:rPr>
              <w:t>Glesbygdsko</w:t>
            </w:r>
            <w:r w:rsidRPr="000925A8">
              <w:rPr>
                <w:sz w:val="20"/>
              </w:rPr>
              <w:t>m</w:t>
            </w:r>
            <w:r w:rsidRPr="000925A8">
              <w:rPr>
                <w:sz w:val="20"/>
              </w:rPr>
              <w:t>mun</w:t>
            </w:r>
          </w:p>
        </w:tc>
        <w:tc>
          <w:tcPr>
            <w:tcW w:w="3685" w:type="dxa"/>
            <w:tcBorders>
              <w:top w:val="single" w:sz="6" w:space="0" w:color="000000"/>
              <w:left w:val="single" w:sz="6" w:space="0" w:color="000000"/>
              <w:bottom w:val="single" w:sz="6" w:space="0" w:color="000000"/>
              <w:right w:val="single" w:sz="6" w:space="0" w:color="000000"/>
            </w:tcBorders>
          </w:tcPr>
          <w:p w14:paraId="7C4923B9" w14:textId="77777777" w:rsidR="00241093" w:rsidRPr="000925A8" w:rsidRDefault="00241093">
            <w:pPr>
              <w:spacing w:before="60" w:after="60"/>
              <w:rPr>
                <w:sz w:val="20"/>
              </w:rPr>
            </w:pPr>
            <w:r w:rsidRPr="000925A8">
              <w:rPr>
                <w:sz w:val="20"/>
              </w:rPr>
              <w:t>Kommun med mindre än 5 inv/km</w:t>
            </w:r>
            <w:r w:rsidRPr="000925A8">
              <w:rPr>
                <w:sz w:val="20"/>
                <w:vertAlign w:val="superscript"/>
              </w:rPr>
              <w:t>2</w:t>
            </w:r>
            <w:r w:rsidRPr="000925A8">
              <w:rPr>
                <w:sz w:val="20"/>
              </w:rPr>
              <w:t xml:space="preserve"> och min</w:t>
            </w:r>
            <w:r w:rsidRPr="000925A8">
              <w:rPr>
                <w:sz w:val="20"/>
              </w:rPr>
              <w:t>d</w:t>
            </w:r>
            <w:r w:rsidRPr="000925A8">
              <w:rPr>
                <w:sz w:val="20"/>
              </w:rPr>
              <w:t>re än 20 000 invånare.</w:t>
            </w:r>
          </w:p>
        </w:tc>
        <w:tc>
          <w:tcPr>
            <w:tcW w:w="1134" w:type="dxa"/>
            <w:tcBorders>
              <w:top w:val="single" w:sz="6" w:space="0" w:color="000000"/>
              <w:left w:val="single" w:sz="6" w:space="0" w:color="000000"/>
              <w:bottom w:val="single" w:sz="6" w:space="0" w:color="000000"/>
              <w:right w:val="single" w:sz="6" w:space="0" w:color="000000"/>
            </w:tcBorders>
          </w:tcPr>
          <w:p w14:paraId="1CEC7B80" w14:textId="77777777" w:rsidR="00241093" w:rsidRPr="000925A8" w:rsidRDefault="00241093">
            <w:pPr>
              <w:spacing w:before="60" w:after="60"/>
              <w:jc w:val="left"/>
              <w:rPr>
                <w:sz w:val="20"/>
              </w:rPr>
            </w:pPr>
            <w:r w:rsidRPr="000925A8">
              <w:rPr>
                <w:sz w:val="20"/>
              </w:rPr>
              <w:t>GBK</w:t>
            </w:r>
          </w:p>
        </w:tc>
      </w:tr>
      <w:tr w:rsidR="00000000" w:rsidRPr="000925A8" w14:paraId="38EAA7BC" w14:textId="77777777">
        <w:tblPrEx>
          <w:tblCellMar>
            <w:top w:w="0" w:type="dxa"/>
            <w:bottom w:w="0" w:type="dxa"/>
          </w:tblCellMar>
        </w:tblPrEx>
        <w:tc>
          <w:tcPr>
            <w:tcW w:w="1560" w:type="dxa"/>
            <w:tcBorders>
              <w:top w:val="single" w:sz="6" w:space="0" w:color="000000"/>
              <w:left w:val="single" w:sz="6" w:space="0" w:color="000000"/>
              <w:bottom w:val="single" w:sz="6" w:space="0" w:color="000000"/>
              <w:right w:val="single" w:sz="6" w:space="0" w:color="000000"/>
            </w:tcBorders>
          </w:tcPr>
          <w:p w14:paraId="46856C01" w14:textId="77777777" w:rsidR="00241093" w:rsidRPr="000925A8" w:rsidRDefault="00241093">
            <w:pPr>
              <w:spacing w:before="60" w:after="60"/>
              <w:jc w:val="left"/>
              <w:rPr>
                <w:sz w:val="20"/>
              </w:rPr>
            </w:pPr>
            <w:r w:rsidRPr="000925A8">
              <w:rPr>
                <w:sz w:val="20"/>
              </w:rPr>
              <w:t xml:space="preserve">Industrikommun </w:t>
            </w:r>
          </w:p>
        </w:tc>
        <w:tc>
          <w:tcPr>
            <w:tcW w:w="3685" w:type="dxa"/>
            <w:tcBorders>
              <w:top w:val="single" w:sz="6" w:space="0" w:color="000000"/>
              <w:left w:val="single" w:sz="6" w:space="0" w:color="000000"/>
              <w:bottom w:val="single" w:sz="6" w:space="0" w:color="000000"/>
              <w:right w:val="single" w:sz="6" w:space="0" w:color="000000"/>
            </w:tcBorders>
          </w:tcPr>
          <w:p w14:paraId="078D3D8E" w14:textId="77777777" w:rsidR="00241093" w:rsidRPr="000925A8" w:rsidRDefault="00241093">
            <w:pPr>
              <w:spacing w:before="60" w:after="60"/>
              <w:rPr>
                <w:sz w:val="20"/>
              </w:rPr>
            </w:pPr>
            <w:r w:rsidRPr="000925A8">
              <w:rPr>
                <w:sz w:val="20"/>
              </w:rPr>
              <w:t>Kommun med mer än 40 % av nattbefol</w:t>
            </w:r>
            <w:r w:rsidRPr="000925A8">
              <w:rPr>
                <w:sz w:val="20"/>
              </w:rPr>
              <w:t>k</w:t>
            </w:r>
            <w:r w:rsidRPr="000925A8">
              <w:rPr>
                <w:sz w:val="20"/>
              </w:rPr>
              <w:t>ningen sysselsatta inom industrisektorn och som inte är glesbygdsko</w:t>
            </w:r>
            <w:r w:rsidRPr="000925A8">
              <w:rPr>
                <w:sz w:val="20"/>
              </w:rPr>
              <w:t>m</w:t>
            </w:r>
            <w:r w:rsidRPr="000925A8">
              <w:rPr>
                <w:sz w:val="20"/>
              </w:rPr>
              <w:t xml:space="preserve">mun. </w:t>
            </w:r>
          </w:p>
        </w:tc>
        <w:tc>
          <w:tcPr>
            <w:tcW w:w="1134" w:type="dxa"/>
            <w:tcBorders>
              <w:top w:val="single" w:sz="6" w:space="0" w:color="000000"/>
              <w:left w:val="single" w:sz="6" w:space="0" w:color="000000"/>
              <w:bottom w:val="single" w:sz="6" w:space="0" w:color="000000"/>
              <w:right w:val="single" w:sz="6" w:space="0" w:color="000000"/>
            </w:tcBorders>
          </w:tcPr>
          <w:p w14:paraId="507F263C" w14:textId="77777777" w:rsidR="00241093" w:rsidRPr="000925A8" w:rsidRDefault="00241093">
            <w:pPr>
              <w:spacing w:before="60" w:after="60"/>
              <w:jc w:val="left"/>
              <w:rPr>
                <w:sz w:val="20"/>
              </w:rPr>
            </w:pPr>
            <w:r w:rsidRPr="000925A8">
              <w:rPr>
                <w:sz w:val="20"/>
              </w:rPr>
              <w:t>IK</w:t>
            </w:r>
          </w:p>
        </w:tc>
      </w:tr>
      <w:tr w:rsidR="00000000" w:rsidRPr="000925A8" w14:paraId="0801AC1C" w14:textId="77777777">
        <w:tblPrEx>
          <w:tblCellMar>
            <w:top w:w="0" w:type="dxa"/>
            <w:bottom w:w="0" w:type="dxa"/>
          </w:tblCellMar>
        </w:tblPrEx>
        <w:tc>
          <w:tcPr>
            <w:tcW w:w="1560" w:type="dxa"/>
            <w:tcBorders>
              <w:top w:val="single" w:sz="6" w:space="0" w:color="000000"/>
              <w:left w:val="single" w:sz="6" w:space="0" w:color="000000"/>
              <w:bottom w:val="single" w:sz="6" w:space="0" w:color="000000"/>
              <w:right w:val="single" w:sz="6" w:space="0" w:color="000000"/>
            </w:tcBorders>
          </w:tcPr>
          <w:p w14:paraId="1D31AC45" w14:textId="77777777" w:rsidR="00241093" w:rsidRPr="000925A8" w:rsidRDefault="00241093">
            <w:pPr>
              <w:spacing w:before="60" w:after="60"/>
              <w:jc w:val="left"/>
              <w:rPr>
                <w:sz w:val="20"/>
              </w:rPr>
            </w:pPr>
            <w:r w:rsidRPr="000925A8">
              <w:rPr>
                <w:sz w:val="20"/>
              </w:rPr>
              <w:t>Landsbygd</w:t>
            </w:r>
            <w:r w:rsidRPr="000925A8">
              <w:rPr>
                <w:sz w:val="20"/>
              </w:rPr>
              <w:t>s</w:t>
            </w:r>
            <w:r w:rsidRPr="000925A8">
              <w:rPr>
                <w:sz w:val="20"/>
              </w:rPr>
              <w:t>kommun</w:t>
            </w:r>
          </w:p>
        </w:tc>
        <w:tc>
          <w:tcPr>
            <w:tcW w:w="3685" w:type="dxa"/>
            <w:tcBorders>
              <w:top w:val="single" w:sz="6" w:space="0" w:color="000000"/>
              <w:left w:val="single" w:sz="6" w:space="0" w:color="000000"/>
              <w:bottom w:val="single" w:sz="6" w:space="0" w:color="000000"/>
              <w:right w:val="single" w:sz="6" w:space="0" w:color="000000"/>
            </w:tcBorders>
          </w:tcPr>
          <w:p w14:paraId="15AA85CC" w14:textId="77777777" w:rsidR="00241093" w:rsidRPr="000925A8" w:rsidRDefault="00241093">
            <w:pPr>
              <w:spacing w:before="60" w:after="60"/>
              <w:rPr>
                <w:sz w:val="20"/>
              </w:rPr>
            </w:pPr>
            <w:r w:rsidRPr="000925A8">
              <w:rPr>
                <w:sz w:val="20"/>
              </w:rPr>
              <w:t>Kommun med mer än 6,4 % av nattbefol</w:t>
            </w:r>
            <w:r w:rsidRPr="000925A8">
              <w:rPr>
                <w:sz w:val="20"/>
              </w:rPr>
              <w:t>k</w:t>
            </w:r>
            <w:r w:rsidRPr="000925A8">
              <w:rPr>
                <w:sz w:val="20"/>
              </w:rPr>
              <w:t>ningen sysselsatt inom jord- och skogsse</w:t>
            </w:r>
            <w:r w:rsidRPr="000925A8">
              <w:rPr>
                <w:sz w:val="20"/>
              </w:rPr>
              <w:t>k</w:t>
            </w:r>
            <w:r w:rsidRPr="000925A8">
              <w:rPr>
                <w:sz w:val="20"/>
              </w:rPr>
              <w:t>torn, en tätortsgrad under 70 % och som inte är glesbygd</w:t>
            </w:r>
            <w:r w:rsidRPr="000925A8">
              <w:rPr>
                <w:sz w:val="20"/>
              </w:rPr>
              <w:t>s</w:t>
            </w:r>
            <w:r w:rsidRPr="000925A8">
              <w:rPr>
                <w:sz w:val="20"/>
              </w:rPr>
              <w:t>kommun.</w:t>
            </w:r>
          </w:p>
        </w:tc>
        <w:tc>
          <w:tcPr>
            <w:tcW w:w="1134" w:type="dxa"/>
            <w:tcBorders>
              <w:top w:val="single" w:sz="6" w:space="0" w:color="000000"/>
              <w:left w:val="single" w:sz="6" w:space="0" w:color="000000"/>
              <w:bottom w:val="single" w:sz="6" w:space="0" w:color="000000"/>
              <w:right w:val="single" w:sz="6" w:space="0" w:color="000000"/>
            </w:tcBorders>
          </w:tcPr>
          <w:p w14:paraId="49DB9576" w14:textId="77777777" w:rsidR="00241093" w:rsidRPr="000925A8" w:rsidRDefault="00241093">
            <w:pPr>
              <w:spacing w:before="60" w:after="60"/>
              <w:jc w:val="left"/>
              <w:rPr>
                <w:sz w:val="20"/>
              </w:rPr>
            </w:pPr>
            <w:r w:rsidRPr="000925A8">
              <w:rPr>
                <w:sz w:val="20"/>
              </w:rPr>
              <w:t>LBK</w:t>
            </w:r>
          </w:p>
        </w:tc>
      </w:tr>
      <w:tr w:rsidR="00000000" w:rsidRPr="000925A8" w14:paraId="32329A47" w14:textId="77777777">
        <w:tblPrEx>
          <w:tblCellMar>
            <w:top w:w="0" w:type="dxa"/>
            <w:bottom w:w="0" w:type="dxa"/>
          </w:tblCellMar>
        </w:tblPrEx>
        <w:tc>
          <w:tcPr>
            <w:tcW w:w="1560" w:type="dxa"/>
            <w:tcBorders>
              <w:top w:val="single" w:sz="6" w:space="0" w:color="000000"/>
              <w:left w:val="single" w:sz="6" w:space="0" w:color="000000"/>
              <w:bottom w:val="single" w:sz="6" w:space="0" w:color="000000"/>
              <w:right w:val="single" w:sz="6" w:space="0" w:color="000000"/>
            </w:tcBorders>
          </w:tcPr>
          <w:p w14:paraId="4334524A" w14:textId="77777777" w:rsidR="00241093" w:rsidRPr="000925A8" w:rsidRDefault="00241093">
            <w:pPr>
              <w:spacing w:before="60" w:after="60"/>
              <w:jc w:val="left"/>
              <w:rPr>
                <w:sz w:val="20"/>
              </w:rPr>
            </w:pPr>
            <w:r w:rsidRPr="000925A8">
              <w:rPr>
                <w:sz w:val="20"/>
              </w:rPr>
              <w:t>Övrig större kommun</w:t>
            </w:r>
          </w:p>
        </w:tc>
        <w:tc>
          <w:tcPr>
            <w:tcW w:w="3685" w:type="dxa"/>
            <w:tcBorders>
              <w:top w:val="single" w:sz="6" w:space="0" w:color="000000"/>
              <w:left w:val="single" w:sz="6" w:space="0" w:color="000000"/>
              <w:bottom w:val="single" w:sz="6" w:space="0" w:color="000000"/>
              <w:right w:val="single" w:sz="6" w:space="0" w:color="000000"/>
            </w:tcBorders>
          </w:tcPr>
          <w:p w14:paraId="4945A97D" w14:textId="77777777" w:rsidR="00241093" w:rsidRPr="000925A8" w:rsidRDefault="00241093">
            <w:pPr>
              <w:spacing w:before="60" w:after="60"/>
              <w:rPr>
                <w:sz w:val="20"/>
              </w:rPr>
            </w:pPr>
            <w:r w:rsidRPr="000925A8">
              <w:rPr>
                <w:sz w:val="20"/>
              </w:rPr>
              <w:t>Övriga kommuner med 15 000–50 000 invån</w:t>
            </w:r>
            <w:r w:rsidRPr="000925A8">
              <w:rPr>
                <w:sz w:val="20"/>
              </w:rPr>
              <w:t>a</w:t>
            </w:r>
            <w:r w:rsidRPr="000925A8">
              <w:rPr>
                <w:sz w:val="20"/>
              </w:rPr>
              <w:t xml:space="preserve">re. </w:t>
            </w:r>
          </w:p>
        </w:tc>
        <w:tc>
          <w:tcPr>
            <w:tcW w:w="1134" w:type="dxa"/>
            <w:tcBorders>
              <w:top w:val="single" w:sz="6" w:space="0" w:color="000000"/>
              <w:left w:val="single" w:sz="6" w:space="0" w:color="000000"/>
              <w:bottom w:val="single" w:sz="6" w:space="0" w:color="000000"/>
              <w:right w:val="single" w:sz="6" w:space="0" w:color="000000"/>
            </w:tcBorders>
          </w:tcPr>
          <w:p w14:paraId="1083FAA1" w14:textId="77777777" w:rsidR="00241093" w:rsidRPr="000925A8" w:rsidRDefault="00241093">
            <w:pPr>
              <w:spacing w:before="60" w:after="60"/>
              <w:jc w:val="left"/>
              <w:rPr>
                <w:sz w:val="20"/>
              </w:rPr>
            </w:pPr>
            <w:r w:rsidRPr="000925A8">
              <w:rPr>
                <w:sz w:val="20"/>
              </w:rPr>
              <w:t>ÖSK</w:t>
            </w:r>
          </w:p>
        </w:tc>
      </w:tr>
      <w:tr w:rsidR="00000000" w:rsidRPr="000925A8" w14:paraId="54D0F0C9" w14:textId="77777777">
        <w:tblPrEx>
          <w:tblCellMar>
            <w:top w:w="0" w:type="dxa"/>
            <w:bottom w:w="0" w:type="dxa"/>
          </w:tblCellMar>
        </w:tblPrEx>
        <w:tc>
          <w:tcPr>
            <w:tcW w:w="1560" w:type="dxa"/>
            <w:tcBorders>
              <w:top w:val="single" w:sz="6" w:space="0" w:color="000000"/>
              <w:left w:val="single" w:sz="6" w:space="0" w:color="000000"/>
              <w:bottom w:val="single" w:sz="6" w:space="0" w:color="000000"/>
              <w:right w:val="single" w:sz="6" w:space="0" w:color="000000"/>
            </w:tcBorders>
          </w:tcPr>
          <w:p w14:paraId="5A555A93" w14:textId="77777777" w:rsidR="00241093" w:rsidRPr="000925A8" w:rsidRDefault="00241093">
            <w:pPr>
              <w:spacing w:before="60" w:after="60"/>
              <w:jc w:val="left"/>
              <w:rPr>
                <w:sz w:val="20"/>
              </w:rPr>
            </w:pPr>
            <w:r w:rsidRPr="000925A8">
              <w:rPr>
                <w:sz w:val="20"/>
              </w:rPr>
              <w:t>Övrig mindre kommun</w:t>
            </w:r>
          </w:p>
        </w:tc>
        <w:tc>
          <w:tcPr>
            <w:tcW w:w="3685" w:type="dxa"/>
            <w:tcBorders>
              <w:top w:val="single" w:sz="6" w:space="0" w:color="000000"/>
              <w:left w:val="single" w:sz="6" w:space="0" w:color="000000"/>
              <w:bottom w:val="single" w:sz="6" w:space="0" w:color="000000"/>
              <w:right w:val="single" w:sz="6" w:space="0" w:color="000000"/>
            </w:tcBorders>
          </w:tcPr>
          <w:p w14:paraId="1780AFDE" w14:textId="77777777" w:rsidR="00241093" w:rsidRPr="000925A8" w:rsidRDefault="00241093">
            <w:pPr>
              <w:spacing w:before="60" w:after="60"/>
              <w:rPr>
                <w:sz w:val="20"/>
              </w:rPr>
            </w:pPr>
            <w:r w:rsidRPr="000925A8">
              <w:rPr>
                <w:sz w:val="20"/>
              </w:rPr>
              <w:t xml:space="preserve">Övriga kommuner med mindre än 15 000 invånare. </w:t>
            </w:r>
          </w:p>
        </w:tc>
        <w:tc>
          <w:tcPr>
            <w:tcW w:w="1134" w:type="dxa"/>
            <w:tcBorders>
              <w:top w:val="single" w:sz="6" w:space="0" w:color="000000"/>
              <w:left w:val="single" w:sz="6" w:space="0" w:color="000000"/>
              <w:bottom w:val="single" w:sz="6" w:space="0" w:color="000000"/>
              <w:right w:val="single" w:sz="6" w:space="0" w:color="000000"/>
            </w:tcBorders>
          </w:tcPr>
          <w:p w14:paraId="3EE791CB" w14:textId="77777777" w:rsidR="00241093" w:rsidRPr="000925A8" w:rsidRDefault="00241093">
            <w:pPr>
              <w:spacing w:before="60" w:after="60"/>
              <w:jc w:val="left"/>
              <w:rPr>
                <w:sz w:val="20"/>
              </w:rPr>
            </w:pPr>
            <w:r w:rsidRPr="000925A8">
              <w:rPr>
                <w:sz w:val="20"/>
              </w:rPr>
              <w:t>ÖMK</w:t>
            </w:r>
          </w:p>
        </w:tc>
      </w:tr>
    </w:tbl>
    <w:p w14:paraId="6EB23944" w14:textId="77777777" w:rsidR="00241093" w:rsidRPr="000925A8" w:rsidRDefault="00241093">
      <w:r w:rsidRPr="000925A8">
        <w:rPr>
          <w:rFonts w:ascii="Verdana" w:hAnsi="Verdana"/>
          <w:sz w:val="20"/>
        </w:rPr>
        <w:t xml:space="preserve"> </w:t>
      </w:r>
    </w:p>
    <w:p w14:paraId="464BD545" w14:textId="77777777" w:rsidR="00241093" w:rsidRPr="000925A8" w:rsidRDefault="00241093">
      <w:pPr>
        <w:pStyle w:val="R2"/>
      </w:pPr>
      <w:r w:rsidRPr="000925A8">
        <w:rPr>
          <w:sz w:val="19"/>
        </w:rPr>
        <w:br w:type="page"/>
      </w:r>
      <w:r w:rsidRPr="000925A8">
        <w:t>Länsbokstäver</w:t>
      </w:r>
    </w:p>
    <w:tbl>
      <w:tblPr>
        <w:tblW w:w="0" w:type="auto"/>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200"/>
        <w:gridCol w:w="1800"/>
      </w:tblGrid>
      <w:tr w:rsidR="00000000" w:rsidRPr="000925A8" w14:paraId="7196D601" w14:textId="77777777">
        <w:tblPrEx>
          <w:tblCellMar>
            <w:top w:w="0" w:type="dxa"/>
            <w:bottom w:w="0" w:type="dxa"/>
          </w:tblCellMar>
        </w:tblPrEx>
        <w:trPr>
          <w:trHeight w:val="247"/>
        </w:trPr>
        <w:tc>
          <w:tcPr>
            <w:tcW w:w="1200" w:type="dxa"/>
          </w:tcPr>
          <w:p w14:paraId="6641A3BD" w14:textId="77777777" w:rsidR="00241093" w:rsidRPr="000925A8" w:rsidRDefault="00241093">
            <w:pPr>
              <w:pStyle w:val="R3"/>
            </w:pPr>
            <w:r w:rsidRPr="000925A8">
              <w:t>Bokstav</w:t>
            </w:r>
          </w:p>
        </w:tc>
        <w:tc>
          <w:tcPr>
            <w:tcW w:w="1800" w:type="dxa"/>
          </w:tcPr>
          <w:p w14:paraId="7F33642C" w14:textId="77777777" w:rsidR="00241093" w:rsidRPr="000925A8" w:rsidRDefault="00241093">
            <w:pPr>
              <w:pStyle w:val="R3"/>
              <w:rPr>
                <w:snapToGrid w:val="0"/>
                <w:lang w:eastAsia="sv-SE"/>
              </w:rPr>
            </w:pPr>
            <w:r w:rsidRPr="000925A8">
              <w:rPr>
                <w:snapToGrid w:val="0"/>
                <w:lang w:eastAsia="sv-SE"/>
              </w:rPr>
              <w:t>Län</w:t>
            </w:r>
          </w:p>
        </w:tc>
      </w:tr>
      <w:tr w:rsidR="00000000" w:rsidRPr="000925A8" w14:paraId="0041E649" w14:textId="77777777">
        <w:tblPrEx>
          <w:tblCellMar>
            <w:top w:w="0" w:type="dxa"/>
            <w:bottom w:w="0" w:type="dxa"/>
          </w:tblCellMar>
        </w:tblPrEx>
        <w:trPr>
          <w:trHeight w:val="247"/>
        </w:trPr>
        <w:tc>
          <w:tcPr>
            <w:tcW w:w="1200" w:type="dxa"/>
          </w:tcPr>
          <w:p w14:paraId="429CE577" w14:textId="77777777" w:rsidR="00241093" w:rsidRPr="000925A8" w:rsidRDefault="00241093">
            <w:pPr>
              <w:spacing w:before="60" w:after="60"/>
              <w:jc w:val="left"/>
              <w:rPr>
                <w:snapToGrid w:val="0"/>
                <w:lang w:eastAsia="sv-SE"/>
              </w:rPr>
            </w:pPr>
            <w:r w:rsidRPr="000925A8">
              <w:rPr>
                <w:snapToGrid w:val="0"/>
                <w:lang w:eastAsia="sv-SE"/>
              </w:rPr>
              <w:t>AB</w:t>
            </w:r>
          </w:p>
        </w:tc>
        <w:tc>
          <w:tcPr>
            <w:tcW w:w="1800" w:type="dxa"/>
          </w:tcPr>
          <w:p w14:paraId="181BDEE0" w14:textId="77777777" w:rsidR="00241093" w:rsidRPr="000925A8" w:rsidRDefault="00241093">
            <w:pPr>
              <w:spacing w:before="60" w:after="60"/>
              <w:rPr>
                <w:snapToGrid w:val="0"/>
                <w:lang w:eastAsia="sv-SE"/>
              </w:rPr>
            </w:pPr>
            <w:r w:rsidRPr="000925A8">
              <w:rPr>
                <w:snapToGrid w:val="0"/>
                <w:lang w:eastAsia="sv-SE"/>
              </w:rPr>
              <w:t>Stockholm</w:t>
            </w:r>
          </w:p>
        </w:tc>
      </w:tr>
      <w:tr w:rsidR="00000000" w:rsidRPr="000925A8" w14:paraId="577013E0" w14:textId="77777777">
        <w:tblPrEx>
          <w:tblCellMar>
            <w:top w:w="0" w:type="dxa"/>
            <w:bottom w:w="0" w:type="dxa"/>
          </w:tblCellMar>
        </w:tblPrEx>
        <w:trPr>
          <w:trHeight w:val="247"/>
        </w:trPr>
        <w:tc>
          <w:tcPr>
            <w:tcW w:w="1200" w:type="dxa"/>
          </w:tcPr>
          <w:p w14:paraId="7B2C26C1" w14:textId="77777777" w:rsidR="00241093" w:rsidRPr="000925A8" w:rsidRDefault="00241093">
            <w:pPr>
              <w:spacing w:before="60" w:after="60"/>
              <w:jc w:val="left"/>
              <w:rPr>
                <w:snapToGrid w:val="0"/>
                <w:lang w:eastAsia="sv-SE"/>
              </w:rPr>
            </w:pPr>
            <w:r w:rsidRPr="000925A8">
              <w:rPr>
                <w:snapToGrid w:val="0"/>
                <w:lang w:eastAsia="sv-SE"/>
              </w:rPr>
              <w:t>AC</w:t>
            </w:r>
          </w:p>
        </w:tc>
        <w:tc>
          <w:tcPr>
            <w:tcW w:w="1800" w:type="dxa"/>
          </w:tcPr>
          <w:p w14:paraId="67D7A8B5" w14:textId="77777777" w:rsidR="00241093" w:rsidRPr="000925A8" w:rsidRDefault="00241093">
            <w:pPr>
              <w:spacing w:before="60" w:after="60"/>
              <w:rPr>
                <w:snapToGrid w:val="0"/>
                <w:lang w:eastAsia="sv-SE"/>
              </w:rPr>
            </w:pPr>
            <w:r w:rsidRPr="000925A8">
              <w:rPr>
                <w:snapToGrid w:val="0"/>
                <w:lang w:eastAsia="sv-SE"/>
              </w:rPr>
              <w:t>Västerbotten</w:t>
            </w:r>
          </w:p>
        </w:tc>
      </w:tr>
      <w:tr w:rsidR="00000000" w:rsidRPr="000925A8" w14:paraId="21A0750C" w14:textId="77777777">
        <w:tblPrEx>
          <w:tblCellMar>
            <w:top w:w="0" w:type="dxa"/>
            <w:bottom w:w="0" w:type="dxa"/>
          </w:tblCellMar>
        </w:tblPrEx>
        <w:trPr>
          <w:trHeight w:val="247"/>
        </w:trPr>
        <w:tc>
          <w:tcPr>
            <w:tcW w:w="1200" w:type="dxa"/>
          </w:tcPr>
          <w:p w14:paraId="01B75657" w14:textId="77777777" w:rsidR="00241093" w:rsidRPr="000925A8" w:rsidRDefault="00241093">
            <w:pPr>
              <w:spacing w:before="60" w:after="60"/>
              <w:jc w:val="left"/>
              <w:rPr>
                <w:snapToGrid w:val="0"/>
                <w:lang w:eastAsia="sv-SE"/>
              </w:rPr>
            </w:pPr>
            <w:r w:rsidRPr="000925A8">
              <w:rPr>
                <w:snapToGrid w:val="0"/>
                <w:lang w:eastAsia="sv-SE"/>
              </w:rPr>
              <w:t>BD</w:t>
            </w:r>
          </w:p>
        </w:tc>
        <w:tc>
          <w:tcPr>
            <w:tcW w:w="1800" w:type="dxa"/>
          </w:tcPr>
          <w:p w14:paraId="7177F289" w14:textId="77777777" w:rsidR="00241093" w:rsidRPr="000925A8" w:rsidRDefault="00241093">
            <w:pPr>
              <w:spacing w:before="60" w:after="60"/>
              <w:rPr>
                <w:snapToGrid w:val="0"/>
                <w:lang w:eastAsia="sv-SE"/>
              </w:rPr>
            </w:pPr>
            <w:r w:rsidRPr="000925A8">
              <w:rPr>
                <w:snapToGrid w:val="0"/>
                <w:lang w:eastAsia="sv-SE"/>
              </w:rPr>
              <w:t>Norrbotten</w:t>
            </w:r>
          </w:p>
        </w:tc>
      </w:tr>
      <w:tr w:rsidR="00000000" w:rsidRPr="000925A8" w14:paraId="27853C1A" w14:textId="77777777">
        <w:tblPrEx>
          <w:tblCellMar>
            <w:top w:w="0" w:type="dxa"/>
            <w:bottom w:w="0" w:type="dxa"/>
          </w:tblCellMar>
        </w:tblPrEx>
        <w:trPr>
          <w:trHeight w:val="247"/>
        </w:trPr>
        <w:tc>
          <w:tcPr>
            <w:tcW w:w="1200" w:type="dxa"/>
          </w:tcPr>
          <w:p w14:paraId="23B720E8" w14:textId="77777777" w:rsidR="00241093" w:rsidRPr="000925A8" w:rsidRDefault="00241093">
            <w:pPr>
              <w:spacing w:before="60" w:after="60"/>
              <w:jc w:val="left"/>
              <w:rPr>
                <w:snapToGrid w:val="0"/>
                <w:lang w:eastAsia="sv-SE"/>
              </w:rPr>
            </w:pPr>
            <w:r w:rsidRPr="000925A8">
              <w:rPr>
                <w:snapToGrid w:val="0"/>
                <w:lang w:eastAsia="sv-SE"/>
              </w:rPr>
              <w:t>C</w:t>
            </w:r>
          </w:p>
        </w:tc>
        <w:tc>
          <w:tcPr>
            <w:tcW w:w="1800" w:type="dxa"/>
          </w:tcPr>
          <w:p w14:paraId="43762C10" w14:textId="77777777" w:rsidR="00241093" w:rsidRPr="000925A8" w:rsidRDefault="00241093">
            <w:pPr>
              <w:spacing w:before="60" w:after="60"/>
              <w:rPr>
                <w:snapToGrid w:val="0"/>
                <w:lang w:eastAsia="sv-SE"/>
              </w:rPr>
            </w:pPr>
            <w:r w:rsidRPr="000925A8">
              <w:rPr>
                <w:snapToGrid w:val="0"/>
                <w:lang w:eastAsia="sv-SE"/>
              </w:rPr>
              <w:t>Uppsala</w:t>
            </w:r>
          </w:p>
        </w:tc>
      </w:tr>
      <w:tr w:rsidR="00000000" w:rsidRPr="000925A8" w14:paraId="44D0BF14" w14:textId="77777777">
        <w:tblPrEx>
          <w:tblCellMar>
            <w:top w:w="0" w:type="dxa"/>
            <w:bottom w:w="0" w:type="dxa"/>
          </w:tblCellMar>
        </w:tblPrEx>
        <w:trPr>
          <w:trHeight w:val="247"/>
        </w:trPr>
        <w:tc>
          <w:tcPr>
            <w:tcW w:w="1200" w:type="dxa"/>
          </w:tcPr>
          <w:p w14:paraId="3D5F8690" w14:textId="77777777" w:rsidR="00241093" w:rsidRPr="000925A8" w:rsidRDefault="00241093">
            <w:pPr>
              <w:spacing w:before="60" w:after="60"/>
              <w:jc w:val="left"/>
              <w:rPr>
                <w:snapToGrid w:val="0"/>
                <w:lang w:eastAsia="sv-SE"/>
              </w:rPr>
            </w:pPr>
            <w:r w:rsidRPr="000925A8">
              <w:rPr>
                <w:snapToGrid w:val="0"/>
                <w:lang w:eastAsia="sv-SE"/>
              </w:rPr>
              <w:t>D</w:t>
            </w:r>
          </w:p>
        </w:tc>
        <w:tc>
          <w:tcPr>
            <w:tcW w:w="1800" w:type="dxa"/>
          </w:tcPr>
          <w:p w14:paraId="14BA2958" w14:textId="77777777" w:rsidR="00241093" w:rsidRPr="000925A8" w:rsidRDefault="00241093">
            <w:pPr>
              <w:spacing w:before="60" w:after="60"/>
              <w:rPr>
                <w:snapToGrid w:val="0"/>
                <w:lang w:eastAsia="sv-SE"/>
              </w:rPr>
            </w:pPr>
            <w:r w:rsidRPr="000925A8">
              <w:rPr>
                <w:snapToGrid w:val="0"/>
                <w:lang w:eastAsia="sv-SE"/>
              </w:rPr>
              <w:t>Södermanland</w:t>
            </w:r>
          </w:p>
        </w:tc>
      </w:tr>
      <w:tr w:rsidR="00000000" w:rsidRPr="000925A8" w14:paraId="3C8D0C7B" w14:textId="77777777">
        <w:tblPrEx>
          <w:tblCellMar>
            <w:top w:w="0" w:type="dxa"/>
            <w:bottom w:w="0" w:type="dxa"/>
          </w:tblCellMar>
        </w:tblPrEx>
        <w:trPr>
          <w:trHeight w:val="247"/>
        </w:trPr>
        <w:tc>
          <w:tcPr>
            <w:tcW w:w="1200" w:type="dxa"/>
          </w:tcPr>
          <w:p w14:paraId="173F3F41" w14:textId="77777777" w:rsidR="00241093" w:rsidRPr="000925A8" w:rsidRDefault="00241093">
            <w:pPr>
              <w:spacing w:before="60" w:after="60"/>
              <w:jc w:val="left"/>
              <w:rPr>
                <w:snapToGrid w:val="0"/>
                <w:lang w:eastAsia="sv-SE"/>
              </w:rPr>
            </w:pPr>
            <w:r w:rsidRPr="000925A8">
              <w:rPr>
                <w:snapToGrid w:val="0"/>
                <w:lang w:eastAsia="sv-SE"/>
              </w:rPr>
              <w:t>E</w:t>
            </w:r>
          </w:p>
        </w:tc>
        <w:tc>
          <w:tcPr>
            <w:tcW w:w="1800" w:type="dxa"/>
          </w:tcPr>
          <w:p w14:paraId="706A640C" w14:textId="77777777" w:rsidR="00241093" w:rsidRPr="000925A8" w:rsidRDefault="00241093">
            <w:pPr>
              <w:spacing w:before="60" w:after="60"/>
              <w:rPr>
                <w:snapToGrid w:val="0"/>
                <w:lang w:eastAsia="sv-SE"/>
              </w:rPr>
            </w:pPr>
            <w:r w:rsidRPr="000925A8">
              <w:rPr>
                <w:snapToGrid w:val="0"/>
                <w:lang w:eastAsia="sv-SE"/>
              </w:rPr>
              <w:t>Östergötland</w:t>
            </w:r>
          </w:p>
        </w:tc>
      </w:tr>
      <w:tr w:rsidR="00000000" w:rsidRPr="000925A8" w14:paraId="5771D1F6" w14:textId="77777777">
        <w:tblPrEx>
          <w:tblCellMar>
            <w:top w:w="0" w:type="dxa"/>
            <w:bottom w:w="0" w:type="dxa"/>
          </w:tblCellMar>
        </w:tblPrEx>
        <w:trPr>
          <w:trHeight w:val="247"/>
        </w:trPr>
        <w:tc>
          <w:tcPr>
            <w:tcW w:w="1200" w:type="dxa"/>
          </w:tcPr>
          <w:p w14:paraId="0A24A8B9" w14:textId="77777777" w:rsidR="00241093" w:rsidRPr="000925A8" w:rsidRDefault="00241093">
            <w:pPr>
              <w:spacing w:before="60" w:after="60"/>
              <w:jc w:val="left"/>
              <w:rPr>
                <w:snapToGrid w:val="0"/>
                <w:lang w:eastAsia="sv-SE"/>
              </w:rPr>
            </w:pPr>
            <w:r w:rsidRPr="000925A8">
              <w:rPr>
                <w:snapToGrid w:val="0"/>
                <w:lang w:eastAsia="sv-SE"/>
              </w:rPr>
              <w:t>F</w:t>
            </w:r>
          </w:p>
        </w:tc>
        <w:tc>
          <w:tcPr>
            <w:tcW w:w="1800" w:type="dxa"/>
          </w:tcPr>
          <w:p w14:paraId="3B69731C" w14:textId="77777777" w:rsidR="00241093" w:rsidRPr="000925A8" w:rsidRDefault="00241093">
            <w:pPr>
              <w:spacing w:before="60" w:after="60"/>
              <w:rPr>
                <w:snapToGrid w:val="0"/>
                <w:lang w:eastAsia="sv-SE"/>
              </w:rPr>
            </w:pPr>
            <w:r w:rsidRPr="000925A8">
              <w:rPr>
                <w:snapToGrid w:val="0"/>
                <w:lang w:eastAsia="sv-SE"/>
              </w:rPr>
              <w:t>Jönköping</w:t>
            </w:r>
          </w:p>
        </w:tc>
      </w:tr>
      <w:tr w:rsidR="00000000" w:rsidRPr="000925A8" w14:paraId="598D4FD2" w14:textId="77777777">
        <w:tblPrEx>
          <w:tblCellMar>
            <w:top w:w="0" w:type="dxa"/>
            <w:bottom w:w="0" w:type="dxa"/>
          </w:tblCellMar>
        </w:tblPrEx>
        <w:trPr>
          <w:trHeight w:val="247"/>
        </w:trPr>
        <w:tc>
          <w:tcPr>
            <w:tcW w:w="1200" w:type="dxa"/>
          </w:tcPr>
          <w:p w14:paraId="4490AD93" w14:textId="77777777" w:rsidR="00241093" w:rsidRPr="000925A8" w:rsidRDefault="00241093">
            <w:pPr>
              <w:spacing w:before="60" w:after="60"/>
              <w:jc w:val="left"/>
              <w:rPr>
                <w:snapToGrid w:val="0"/>
                <w:lang w:eastAsia="sv-SE"/>
              </w:rPr>
            </w:pPr>
            <w:r w:rsidRPr="000925A8">
              <w:rPr>
                <w:snapToGrid w:val="0"/>
                <w:lang w:eastAsia="sv-SE"/>
              </w:rPr>
              <w:t>G</w:t>
            </w:r>
          </w:p>
        </w:tc>
        <w:tc>
          <w:tcPr>
            <w:tcW w:w="1800" w:type="dxa"/>
          </w:tcPr>
          <w:p w14:paraId="7D5FA6C2" w14:textId="77777777" w:rsidR="00241093" w:rsidRPr="000925A8" w:rsidRDefault="00241093">
            <w:pPr>
              <w:spacing w:before="60" w:after="60"/>
              <w:rPr>
                <w:snapToGrid w:val="0"/>
                <w:lang w:eastAsia="sv-SE"/>
              </w:rPr>
            </w:pPr>
            <w:r w:rsidRPr="000925A8">
              <w:rPr>
                <w:snapToGrid w:val="0"/>
                <w:lang w:eastAsia="sv-SE"/>
              </w:rPr>
              <w:t>Kronoberg</w:t>
            </w:r>
          </w:p>
        </w:tc>
      </w:tr>
      <w:tr w:rsidR="00000000" w:rsidRPr="000925A8" w14:paraId="575C6528" w14:textId="77777777">
        <w:tblPrEx>
          <w:tblCellMar>
            <w:top w:w="0" w:type="dxa"/>
            <w:bottom w:w="0" w:type="dxa"/>
          </w:tblCellMar>
        </w:tblPrEx>
        <w:trPr>
          <w:trHeight w:val="247"/>
        </w:trPr>
        <w:tc>
          <w:tcPr>
            <w:tcW w:w="1200" w:type="dxa"/>
          </w:tcPr>
          <w:p w14:paraId="1D3C0222" w14:textId="77777777" w:rsidR="00241093" w:rsidRPr="000925A8" w:rsidRDefault="00241093">
            <w:pPr>
              <w:spacing w:before="60" w:after="60"/>
              <w:jc w:val="left"/>
              <w:rPr>
                <w:snapToGrid w:val="0"/>
                <w:lang w:eastAsia="sv-SE"/>
              </w:rPr>
            </w:pPr>
            <w:r w:rsidRPr="000925A8">
              <w:rPr>
                <w:snapToGrid w:val="0"/>
                <w:lang w:eastAsia="sv-SE"/>
              </w:rPr>
              <w:t>H</w:t>
            </w:r>
          </w:p>
        </w:tc>
        <w:tc>
          <w:tcPr>
            <w:tcW w:w="1800" w:type="dxa"/>
          </w:tcPr>
          <w:p w14:paraId="222A99D6" w14:textId="77777777" w:rsidR="00241093" w:rsidRPr="000925A8" w:rsidRDefault="00241093">
            <w:pPr>
              <w:spacing w:before="60" w:after="60"/>
              <w:rPr>
                <w:snapToGrid w:val="0"/>
                <w:lang w:eastAsia="sv-SE"/>
              </w:rPr>
            </w:pPr>
            <w:r w:rsidRPr="000925A8">
              <w:rPr>
                <w:snapToGrid w:val="0"/>
                <w:lang w:eastAsia="sv-SE"/>
              </w:rPr>
              <w:t>Kalmar</w:t>
            </w:r>
          </w:p>
        </w:tc>
      </w:tr>
      <w:tr w:rsidR="00000000" w:rsidRPr="000925A8" w14:paraId="0F247C4D" w14:textId="77777777">
        <w:tblPrEx>
          <w:tblCellMar>
            <w:top w:w="0" w:type="dxa"/>
            <w:bottom w:w="0" w:type="dxa"/>
          </w:tblCellMar>
        </w:tblPrEx>
        <w:trPr>
          <w:trHeight w:val="247"/>
        </w:trPr>
        <w:tc>
          <w:tcPr>
            <w:tcW w:w="1200" w:type="dxa"/>
          </w:tcPr>
          <w:p w14:paraId="0EA19523" w14:textId="77777777" w:rsidR="00241093" w:rsidRPr="000925A8" w:rsidRDefault="00241093">
            <w:pPr>
              <w:spacing w:before="60" w:after="60"/>
              <w:jc w:val="left"/>
              <w:rPr>
                <w:snapToGrid w:val="0"/>
                <w:lang w:eastAsia="sv-SE"/>
              </w:rPr>
            </w:pPr>
            <w:r w:rsidRPr="000925A8">
              <w:rPr>
                <w:snapToGrid w:val="0"/>
                <w:lang w:eastAsia="sv-SE"/>
              </w:rPr>
              <w:t>I</w:t>
            </w:r>
          </w:p>
        </w:tc>
        <w:tc>
          <w:tcPr>
            <w:tcW w:w="1800" w:type="dxa"/>
          </w:tcPr>
          <w:p w14:paraId="67E31EE1" w14:textId="77777777" w:rsidR="00241093" w:rsidRPr="000925A8" w:rsidRDefault="00241093">
            <w:pPr>
              <w:spacing w:before="60" w:after="60"/>
              <w:rPr>
                <w:snapToGrid w:val="0"/>
                <w:lang w:eastAsia="sv-SE"/>
              </w:rPr>
            </w:pPr>
            <w:r w:rsidRPr="000925A8">
              <w:rPr>
                <w:snapToGrid w:val="0"/>
                <w:lang w:eastAsia="sv-SE"/>
              </w:rPr>
              <w:t>Gotland</w:t>
            </w:r>
          </w:p>
        </w:tc>
      </w:tr>
      <w:tr w:rsidR="00000000" w:rsidRPr="000925A8" w14:paraId="6E12EE43" w14:textId="77777777">
        <w:tblPrEx>
          <w:tblCellMar>
            <w:top w:w="0" w:type="dxa"/>
            <w:bottom w:w="0" w:type="dxa"/>
          </w:tblCellMar>
        </w:tblPrEx>
        <w:trPr>
          <w:trHeight w:val="247"/>
        </w:trPr>
        <w:tc>
          <w:tcPr>
            <w:tcW w:w="1200" w:type="dxa"/>
          </w:tcPr>
          <w:p w14:paraId="05C1524B" w14:textId="77777777" w:rsidR="00241093" w:rsidRPr="000925A8" w:rsidRDefault="00241093">
            <w:pPr>
              <w:spacing w:before="60" w:after="60"/>
              <w:jc w:val="left"/>
              <w:rPr>
                <w:snapToGrid w:val="0"/>
                <w:lang w:eastAsia="sv-SE"/>
              </w:rPr>
            </w:pPr>
            <w:r w:rsidRPr="000925A8">
              <w:rPr>
                <w:snapToGrid w:val="0"/>
                <w:lang w:eastAsia="sv-SE"/>
              </w:rPr>
              <w:t>K</w:t>
            </w:r>
          </w:p>
        </w:tc>
        <w:tc>
          <w:tcPr>
            <w:tcW w:w="1800" w:type="dxa"/>
          </w:tcPr>
          <w:p w14:paraId="647EC330" w14:textId="77777777" w:rsidR="00241093" w:rsidRPr="000925A8" w:rsidRDefault="00241093">
            <w:pPr>
              <w:spacing w:before="60" w:after="60"/>
              <w:rPr>
                <w:snapToGrid w:val="0"/>
                <w:lang w:eastAsia="sv-SE"/>
              </w:rPr>
            </w:pPr>
            <w:r w:rsidRPr="000925A8">
              <w:rPr>
                <w:snapToGrid w:val="0"/>
                <w:lang w:eastAsia="sv-SE"/>
              </w:rPr>
              <w:t>Blekinge</w:t>
            </w:r>
          </w:p>
        </w:tc>
      </w:tr>
      <w:tr w:rsidR="00000000" w:rsidRPr="000925A8" w14:paraId="218FFF2C" w14:textId="77777777">
        <w:tblPrEx>
          <w:tblCellMar>
            <w:top w:w="0" w:type="dxa"/>
            <w:bottom w:w="0" w:type="dxa"/>
          </w:tblCellMar>
        </w:tblPrEx>
        <w:trPr>
          <w:trHeight w:val="247"/>
        </w:trPr>
        <w:tc>
          <w:tcPr>
            <w:tcW w:w="1200" w:type="dxa"/>
          </w:tcPr>
          <w:p w14:paraId="674B7AC5" w14:textId="77777777" w:rsidR="00241093" w:rsidRPr="000925A8" w:rsidRDefault="00241093">
            <w:pPr>
              <w:spacing w:before="60" w:after="60"/>
              <w:jc w:val="left"/>
              <w:rPr>
                <w:snapToGrid w:val="0"/>
                <w:lang w:eastAsia="sv-SE"/>
              </w:rPr>
            </w:pPr>
            <w:r w:rsidRPr="000925A8">
              <w:rPr>
                <w:snapToGrid w:val="0"/>
                <w:lang w:eastAsia="sv-SE"/>
              </w:rPr>
              <w:t>M</w:t>
            </w:r>
          </w:p>
        </w:tc>
        <w:tc>
          <w:tcPr>
            <w:tcW w:w="1800" w:type="dxa"/>
          </w:tcPr>
          <w:p w14:paraId="55B1D046" w14:textId="77777777" w:rsidR="00241093" w:rsidRPr="000925A8" w:rsidRDefault="00241093">
            <w:pPr>
              <w:spacing w:before="60" w:after="60"/>
              <w:rPr>
                <w:snapToGrid w:val="0"/>
                <w:lang w:eastAsia="sv-SE"/>
              </w:rPr>
            </w:pPr>
            <w:r w:rsidRPr="000925A8">
              <w:rPr>
                <w:snapToGrid w:val="0"/>
                <w:lang w:eastAsia="sv-SE"/>
              </w:rPr>
              <w:t>Skåne</w:t>
            </w:r>
          </w:p>
        </w:tc>
      </w:tr>
      <w:tr w:rsidR="00000000" w:rsidRPr="000925A8" w14:paraId="60A198A1" w14:textId="77777777">
        <w:tblPrEx>
          <w:tblCellMar>
            <w:top w:w="0" w:type="dxa"/>
            <w:bottom w:w="0" w:type="dxa"/>
          </w:tblCellMar>
        </w:tblPrEx>
        <w:trPr>
          <w:trHeight w:val="247"/>
        </w:trPr>
        <w:tc>
          <w:tcPr>
            <w:tcW w:w="1200" w:type="dxa"/>
          </w:tcPr>
          <w:p w14:paraId="2C3D0A7C" w14:textId="77777777" w:rsidR="00241093" w:rsidRPr="000925A8" w:rsidRDefault="00241093">
            <w:pPr>
              <w:spacing w:before="60" w:after="60"/>
              <w:jc w:val="left"/>
              <w:rPr>
                <w:snapToGrid w:val="0"/>
                <w:lang w:eastAsia="sv-SE"/>
              </w:rPr>
            </w:pPr>
            <w:r w:rsidRPr="000925A8">
              <w:rPr>
                <w:snapToGrid w:val="0"/>
                <w:lang w:eastAsia="sv-SE"/>
              </w:rPr>
              <w:t>N</w:t>
            </w:r>
          </w:p>
        </w:tc>
        <w:tc>
          <w:tcPr>
            <w:tcW w:w="1800" w:type="dxa"/>
          </w:tcPr>
          <w:p w14:paraId="3CC8062C" w14:textId="77777777" w:rsidR="00241093" w:rsidRPr="000925A8" w:rsidRDefault="00241093">
            <w:pPr>
              <w:spacing w:before="60" w:after="60"/>
              <w:rPr>
                <w:snapToGrid w:val="0"/>
                <w:lang w:eastAsia="sv-SE"/>
              </w:rPr>
            </w:pPr>
            <w:r w:rsidRPr="000925A8">
              <w:rPr>
                <w:snapToGrid w:val="0"/>
                <w:lang w:eastAsia="sv-SE"/>
              </w:rPr>
              <w:t>Halland</w:t>
            </w:r>
          </w:p>
        </w:tc>
      </w:tr>
      <w:tr w:rsidR="00000000" w:rsidRPr="000925A8" w14:paraId="607D1F41" w14:textId="77777777">
        <w:tblPrEx>
          <w:tblCellMar>
            <w:top w:w="0" w:type="dxa"/>
            <w:bottom w:w="0" w:type="dxa"/>
          </w:tblCellMar>
        </w:tblPrEx>
        <w:trPr>
          <w:trHeight w:val="247"/>
        </w:trPr>
        <w:tc>
          <w:tcPr>
            <w:tcW w:w="1200" w:type="dxa"/>
          </w:tcPr>
          <w:p w14:paraId="32693FBE" w14:textId="77777777" w:rsidR="00241093" w:rsidRPr="000925A8" w:rsidRDefault="00241093">
            <w:pPr>
              <w:spacing w:before="60" w:after="60"/>
              <w:jc w:val="left"/>
              <w:rPr>
                <w:snapToGrid w:val="0"/>
                <w:lang w:eastAsia="sv-SE"/>
              </w:rPr>
            </w:pPr>
            <w:r w:rsidRPr="000925A8">
              <w:rPr>
                <w:snapToGrid w:val="0"/>
                <w:lang w:eastAsia="sv-SE"/>
              </w:rPr>
              <w:t>O</w:t>
            </w:r>
          </w:p>
        </w:tc>
        <w:tc>
          <w:tcPr>
            <w:tcW w:w="1800" w:type="dxa"/>
          </w:tcPr>
          <w:p w14:paraId="0ABF1B0B" w14:textId="77777777" w:rsidR="00241093" w:rsidRPr="000925A8" w:rsidRDefault="00241093">
            <w:pPr>
              <w:spacing w:before="60" w:after="60"/>
              <w:rPr>
                <w:snapToGrid w:val="0"/>
                <w:lang w:eastAsia="sv-SE"/>
              </w:rPr>
            </w:pPr>
            <w:r w:rsidRPr="000925A8">
              <w:rPr>
                <w:snapToGrid w:val="0"/>
                <w:lang w:eastAsia="sv-SE"/>
              </w:rPr>
              <w:t>Västra Götaland</w:t>
            </w:r>
          </w:p>
        </w:tc>
      </w:tr>
      <w:tr w:rsidR="00000000" w:rsidRPr="000925A8" w14:paraId="724E0505" w14:textId="77777777">
        <w:tblPrEx>
          <w:tblCellMar>
            <w:top w:w="0" w:type="dxa"/>
            <w:bottom w:w="0" w:type="dxa"/>
          </w:tblCellMar>
        </w:tblPrEx>
        <w:trPr>
          <w:trHeight w:val="247"/>
        </w:trPr>
        <w:tc>
          <w:tcPr>
            <w:tcW w:w="1200" w:type="dxa"/>
          </w:tcPr>
          <w:p w14:paraId="3B24EB89" w14:textId="77777777" w:rsidR="00241093" w:rsidRPr="000925A8" w:rsidRDefault="00241093">
            <w:pPr>
              <w:spacing w:before="60" w:after="60"/>
              <w:jc w:val="left"/>
              <w:rPr>
                <w:snapToGrid w:val="0"/>
                <w:lang w:eastAsia="sv-SE"/>
              </w:rPr>
            </w:pPr>
            <w:r w:rsidRPr="000925A8">
              <w:rPr>
                <w:snapToGrid w:val="0"/>
                <w:lang w:eastAsia="sv-SE"/>
              </w:rPr>
              <w:t>S</w:t>
            </w:r>
          </w:p>
        </w:tc>
        <w:tc>
          <w:tcPr>
            <w:tcW w:w="1800" w:type="dxa"/>
          </w:tcPr>
          <w:p w14:paraId="126CC854" w14:textId="77777777" w:rsidR="00241093" w:rsidRPr="000925A8" w:rsidRDefault="00241093">
            <w:pPr>
              <w:spacing w:before="60" w:after="60"/>
              <w:rPr>
                <w:snapToGrid w:val="0"/>
                <w:lang w:eastAsia="sv-SE"/>
              </w:rPr>
            </w:pPr>
            <w:r w:rsidRPr="000925A8">
              <w:rPr>
                <w:snapToGrid w:val="0"/>
                <w:lang w:eastAsia="sv-SE"/>
              </w:rPr>
              <w:t>Värmland</w:t>
            </w:r>
          </w:p>
        </w:tc>
      </w:tr>
      <w:tr w:rsidR="00000000" w:rsidRPr="000925A8" w14:paraId="18D2F911" w14:textId="77777777">
        <w:tblPrEx>
          <w:tblCellMar>
            <w:top w:w="0" w:type="dxa"/>
            <w:bottom w:w="0" w:type="dxa"/>
          </w:tblCellMar>
        </w:tblPrEx>
        <w:trPr>
          <w:trHeight w:val="247"/>
        </w:trPr>
        <w:tc>
          <w:tcPr>
            <w:tcW w:w="1200" w:type="dxa"/>
          </w:tcPr>
          <w:p w14:paraId="36238E19" w14:textId="77777777" w:rsidR="00241093" w:rsidRPr="000925A8" w:rsidRDefault="00241093">
            <w:pPr>
              <w:spacing w:before="60" w:after="60"/>
              <w:jc w:val="left"/>
              <w:rPr>
                <w:snapToGrid w:val="0"/>
                <w:lang w:eastAsia="sv-SE"/>
              </w:rPr>
            </w:pPr>
            <w:r w:rsidRPr="000925A8">
              <w:rPr>
                <w:snapToGrid w:val="0"/>
                <w:lang w:eastAsia="sv-SE"/>
              </w:rPr>
              <w:t>T</w:t>
            </w:r>
          </w:p>
        </w:tc>
        <w:tc>
          <w:tcPr>
            <w:tcW w:w="1800" w:type="dxa"/>
          </w:tcPr>
          <w:p w14:paraId="0D0F2389" w14:textId="77777777" w:rsidR="00241093" w:rsidRPr="000925A8" w:rsidRDefault="00241093">
            <w:pPr>
              <w:spacing w:before="60" w:after="60"/>
              <w:rPr>
                <w:snapToGrid w:val="0"/>
                <w:lang w:eastAsia="sv-SE"/>
              </w:rPr>
            </w:pPr>
            <w:r w:rsidRPr="000925A8">
              <w:rPr>
                <w:snapToGrid w:val="0"/>
                <w:lang w:eastAsia="sv-SE"/>
              </w:rPr>
              <w:t>Örebro</w:t>
            </w:r>
          </w:p>
        </w:tc>
      </w:tr>
      <w:tr w:rsidR="00000000" w:rsidRPr="000925A8" w14:paraId="699AB148" w14:textId="77777777">
        <w:tblPrEx>
          <w:tblCellMar>
            <w:top w:w="0" w:type="dxa"/>
            <w:bottom w:w="0" w:type="dxa"/>
          </w:tblCellMar>
        </w:tblPrEx>
        <w:trPr>
          <w:trHeight w:val="247"/>
        </w:trPr>
        <w:tc>
          <w:tcPr>
            <w:tcW w:w="1200" w:type="dxa"/>
          </w:tcPr>
          <w:p w14:paraId="70A9C0CA" w14:textId="77777777" w:rsidR="00241093" w:rsidRPr="000925A8" w:rsidRDefault="00241093">
            <w:pPr>
              <w:spacing w:before="60" w:after="60"/>
              <w:jc w:val="left"/>
              <w:rPr>
                <w:snapToGrid w:val="0"/>
                <w:lang w:eastAsia="sv-SE"/>
              </w:rPr>
            </w:pPr>
            <w:r w:rsidRPr="000925A8">
              <w:rPr>
                <w:snapToGrid w:val="0"/>
                <w:lang w:eastAsia="sv-SE"/>
              </w:rPr>
              <w:t>U</w:t>
            </w:r>
          </w:p>
        </w:tc>
        <w:tc>
          <w:tcPr>
            <w:tcW w:w="1800" w:type="dxa"/>
          </w:tcPr>
          <w:p w14:paraId="3B55E764" w14:textId="77777777" w:rsidR="00241093" w:rsidRPr="000925A8" w:rsidRDefault="00241093">
            <w:pPr>
              <w:spacing w:before="60" w:after="60"/>
              <w:rPr>
                <w:snapToGrid w:val="0"/>
                <w:lang w:eastAsia="sv-SE"/>
              </w:rPr>
            </w:pPr>
            <w:r w:rsidRPr="000925A8">
              <w:rPr>
                <w:snapToGrid w:val="0"/>
                <w:lang w:eastAsia="sv-SE"/>
              </w:rPr>
              <w:t>Västmanland</w:t>
            </w:r>
          </w:p>
        </w:tc>
      </w:tr>
      <w:tr w:rsidR="00000000" w:rsidRPr="000925A8" w14:paraId="4C5B2E87" w14:textId="77777777">
        <w:tblPrEx>
          <w:tblCellMar>
            <w:top w:w="0" w:type="dxa"/>
            <w:bottom w:w="0" w:type="dxa"/>
          </w:tblCellMar>
        </w:tblPrEx>
        <w:trPr>
          <w:trHeight w:val="247"/>
        </w:trPr>
        <w:tc>
          <w:tcPr>
            <w:tcW w:w="1200" w:type="dxa"/>
          </w:tcPr>
          <w:p w14:paraId="6E8FFBB5" w14:textId="77777777" w:rsidR="00241093" w:rsidRPr="000925A8" w:rsidRDefault="00241093">
            <w:pPr>
              <w:spacing w:before="60" w:after="60"/>
              <w:jc w:val="left"/>
              <w:rPr>
                <w:snapToGrid w:val="0"/>
                <w:lang w:eastAsia="sv-SE"/>
              </w:rPr>
            </w:pPr>
            <w:r w:rsidRPr="000925A8">
              <w:rPr>
                <w:snapToGrid w:val="0"/>
                <w:lang w:eastAsia="sv-SE"/>
              </w:rPr>
              <w:t>W</w:t>
            </w:r>
          </w:p>
        </w:tc>
        <w:tc>
          <w:tcPr>
            <w:tcW w:w="1800" w:type="dxa"/>
            <w:shd w:val="solid" w:color="FFFFFF" w:fill="auto"/>
          </w:tcPr>
          <w:p w14:paraId="24B845D1" w14:textId="77777777" w:rsidR="00241093" w:rsidRPr="000925A8" w:rsidRDefault="00241093">
            <w:pPr>
              <w:spacing w:before="60" w:after="60"/>
              <w:rPr>
                <w:snapToGrid w:val="0"/>
                <w:lang w:eastAsia="sv-SE"/>
              </w:rPr>
            </w:pPr>
            <w:r w:rsidRPr="000925A8">
              <w:rPr>
                <w:snapToGrid w:val="0"/>
                <w:lang w:eastAsia="sv-SE"/>
              </w:rPr>
              <w:t>Dalarna</w:t>
            </w:r>
          </w:p>
        </w:tc>
      </w:tr>
      <w:tr w:rsidR="00000000" w:rsidRPr="000925A8" w14:paraId="6E5704E6" w14:textId="77777777">
        <w:tblPrEx>
          <w:tblCellMar>
            <w:top w:w="0" w:type="dxa"/>
            <w:bottom w:w="0" w:type="dxa"/>
          </w:tblCellMar>
        </w:tblPrEx>
        <w:trPr>
          <w:trHeight w:val="247"/>
        </w:trPr>
        <w:tc>
          <w:tcPr>
            <w:tcW w:w="1200" w:type="dxa"/>
          </w:tcPr>
          <w:p w14:paraId="6114D572" w14:textId="77777777" w:rsidR="00241093" w:rsidRPr="000925A8" w:rsidRDefault="00241093">
            <w:pPr>
              <w:spacing w:before="60" w:after="60"/>
              <w:jc w:val="left"/>
              <w:rPr>
                <w:snapToGrid w:val="0"/>
                <w:lang w:eastAsia="sv-SE"/>
              </w:rPr>
            </w:pPr>
            <w:r w:rsidRPr="000925A8">
              <w:rPr>
                <w:snapToGrid w:val="0"/>
                <w:lang w:eastAsia="sv-SE"/>
              </w:rPr>
              <w:t>X</w:t>
            </w:r>
          </w:p>
        </w:tc>
        <w:tc>
          <w:tcPr>
            <w:tcW w:w="1800" w:type="dxa"/>
          </w:tcPr>
          <w:p w14:paraId="774D5F89" w14:textId="77777777" w:rsidR="00241093" w:rsidRPr="000925A8" w:rsidRDefault="00241093">
            <w:pPr>
              <w:spacing w:before="60" w:after="60"/>
              <w:rPr>
                <w:snapToGrid w:val="0"/>
                <w:lang w:eastAsia="sv-SE"/>
              </w:rPr>
            </w:pPr>
            <w:r w:rsidRPr="000925A8">
              <w:rPr>
                <w:snapToGrid w:val="0"/>
                <w:lang w:eastAsia="sv-SE"/>
              </w:rPr>
              <w:t>Gävleborg</w:t>
            </w:r>
          </w:p>
        </w:tc>
      </w:tr>
      <w:tr w:rsidR="00000000" w:rsidRPr="000925A8" w14:paraId="07184DB2" w14:textId="77777777">
        <w:tblPrEx>
          <w:tblCellMar>
            <w:top w:w="0" w:type="dxa"/>
            <w:bottom w:w="0" w:type="dxa"/>
          </w:tblCellMar>
        </w:tblPrEx>
        <w:trPr>
          <w:trHeight w:val="247"/>
        </w:trPr>
        <w:tc>
          <w:tcPr>
            <w:tcW w:w="1200" w:type="dxa"/>
            <w:shd w:val="solid" w:color="FFFFFF" w:fill="auto"/>
          </w:tcPr>
          <w:p w14:paraId="1B63EEC2" w14:textId="77777777" w:rsidR="00241093" w:rsidRPr="000925A8" w:rsidRDefault="00241093">
            <w:pPr>
              <w:spacing w:before="60" w:after="60"/>
              <w:jc w:val="left"/>
              <w:rPr>
                <w:snapToGrid w:val="0"/>
                <w:lang w:eastAsia="sv-SE"/>
              </w:rPr>
            </w:pPr>
            <w:r w:rsidRPr="000925A8">
              <w:rPr>
                <w:snapToGrid w:val="0"/>
                <w:lang w:eastAsia="sv-SE"/>
              </w:rPr>
              <w:t>Y</w:t>
            </w:r>
          </w:p>
        </w:tc>
        <w:tc>
          <w:tcPr>
            <w:tcW w:w="1800" w:type="dxa"/>
            <w:shd w:val="solid" w:color="FFFFFF" w:fill="auto"/>
          </w:tcPr>
          <w:p w14:paraId="63CB3E0C" w14:textId="77777777" w:rsidR="00241093" w:rsidRPr="000925A8" w:rsidRDefault="00241093">
            <w:pPr>
              <w:spacing w:before="60" w:after="60"/>
              <w:rPr>
                <w:snapToGrid w:val="0"/>
                <w:lang w:eastAsia="sv-SE"/>
              </w:rPr>
            </w:pPr>
            <w:r w:rsidRPr="000925A8">
              <w:rPr>
                <w:snapToGrid w:val="0"/>
                <w:lang w:eastAsia="sv-SE"/>
              </w:rPr>
              <w:t>Västernorrland</w:t>
            </w:r>
          </w:p>
        </w:tc>
      </w:tr>
      <w:tr w:rsidR="00000000" w:rsidRPr="000925A8" w14:paraId="7076FB3B" w14:textId="77777777">
        <w:tblPrEx>
          <w:tblCellMar>
            <w:top w:w="0" w:type="dxa"/>
            <w:bottom w:w="0" w:type="dxa"/>
          </w:tblCellMar>
        </w:tblPrEx>
        <w:trPr>
          <w:trHeight w:val="247"/>
        </w:trPr>
        <w:tc>
          <w:tcPr>
            <w:tcW w:w="1200" w:type="dxa"/>
          </w:tcPr>
          <w:p w14:paraId="4A695864" w14:textId="77777777" w:rsidR="00241093" w:rsidRPr="000925A8" w:rsidRDefault="00241093">
            <w:pPr>
              <w:spacing w:before="60" w:after="60"/>
              <w:jc w:val="left"/>
              <w:rPr>
                <w:snapToGrid w:val="0"/>
                <w:lang w:eastAsia="sv-SE"/>
              </w:rPr>
            </w:pPr>
            <w:r w:rsidRPr="000925A8">
              <w:rPr>
                <w:snapToGrid w:val="0"/>
                <w:lang w:eastAsia="sv-SE"/>
              </w:rPr>
              <w:t>Z</w:t>
            </w:r>
          </w:p>
        </w:tc>
        <w:tc>
          <w:tcPr>
            <w:tcW w:w="1800" w:type="dxa"/>
          </w:tcPr>
          <w:p w14:paraId="4670CD0B" w14:textId="77777777" w:rsidR="00241093" w:rsidRPr="000925A8" w:rsidRDefault="00241093">
            <w:pPr>
              <w:spacing w:before="60" w:after="60"/>
              <w:rPr>
                <w:snapToGrid w:val="0"/>
                <w:lang w:eastAsia="sv-SE"/>
              </w:rPr>
            </w:pPr>
            <w:r w:rsidRPr="000925A8">
              <w:rPr>
                <w:snapToGrid w:val="0"/>
                <w:lang w:eastAsia="sv-SE"/>
              </w:rPr>
              <w:t>Jämtland</w:t>
            </w:r>
          </w:p>
        </w:tc>
      </w:tr>
    </w:tbl>
    <w:p w14:paraId="1F90F747" w14:textId="77777777" w:rsidR="00241093" w:rsidRPr="000925A8" w:rsidRDefault="00241093"/>
    <w:p w14:paraId="176B278D" w14:textId="77777777" w:rsidR="00241093" w:rsidRPr="000925A8" w:rsidRDefault="00241093"/>
    <w:p w14:paraId="04D90E03" w14:textId="77777777" w:rsidR="00241093" w:rsidRPr="000925A8" w:rsidRDefault="00241093"/>
    <w:p w14:paraId="15FB4F00" w14:textId="77777777" w:rsidR="00241093" w:rsidRPr="000925A8" w:rsidRDefault="00241093">
      <w:pPr>
        <w:pStyle w:val="Tryckort"/>
        <w:framePr w:wrap="around"/>
      </w:pPr>
      <w:r w:rsidRPr="000925A8">
        <w:t>Elanders Gotab, Stockholm  2002</w:t>
      </w:r>
    </w:p>
    <w:p w14:paraId="65127888" w14:textId="77777777" w:rsidR="00241093" w:rsidRPr="000925A8" w:rsidRDefault="00241093">
      <w:pPr>
        <w:pStyle w:val="Normaltindrag"/>
      </w:pPr>
    </w:p>
    <w:sectPr w:rsidR="00241093" w:rsidRPr="000925A8">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9" w:author="Rrrb" w:initials="RB">
    <w:p w14:paraId="348F268E" w14:textId="77777777" w:rsidR="00241093" w:rsidRPr="000925A8" w:rsidRDefault="00241093">
      <w:pPr>
        <w:pStyle w:val="Kommentarer"/>
      </w:pPr>
      <w:r w:rsidRPr="000925A8">
        <w:fldChar w:fldCharType="begin" w:fldLock="1"/>
      </w:r>
      <w:r w:rsidRPr="000925A8">
        <w:instrText>PAGE \# "'Sidan: '#'</w:instrText>
      </w:r>
      <w:r w:rsidRPr="000925A8">
        <w:br/>
        <w:instrText>'"</w:instrText>
      </w:r>
      <w:r w:rsidRPr="000925A8">
        <w:rPr>
          <w:rStyle w:val="Kommentarsreferens"/>
        </w:rPr>
        <w:instrText xml:space="preserve">  </w:instrText>
      </w:r>
      <w:r w:rsidRPr="000925A8">
        <w:fldChar w:fldCharType="end"/>
      </w:r>
      <w:r w:rsidRPr="000925A8">
        <w:rPr>
          <w:rStyle w:val="Kommentarsreferens"/>
        </w:rPr>
        <w:annotationRef/>
      </w:r>
      <w:r w:rsidRPr="000925A8">
        <w:t xml:space="preserve"> </w:t>
      </w:r>
      <w:r w:rsidRPr="000925A8">
        <w:rPr>
          <w:rStyle w:val="Kommentarsreferens"/>
        </w:rPr>
        <w:annotationRef/>
      </w:r>
      <w:r w:rsidRPr="000925A8">
        <w:t xml:space="preserve"> Lsts roll enligt Förordningen (1982:877) om regionalt utvecklingsarbete nämns i PBL-proppen (s. 136). Vad gäller avseende detta idag? Kolla!</w:t>
      </w:r>
    </w:p>
  </w:comment>
  <w:comment w:id="90" w:author="Roger Berggren" w:initials="RB">
    <w:p w14:paraId="72C6DC04" w14:textId="77777777" w:rsidR="00241093" w:rsidRPr="000925A8" w:rsidRDefault="00241093">
      <w:pPr>
        <w:pStyle w:val="Kommentarer"/>
      </w:pPr>
      <w:r w:rsidRPr="000925A8">
        <w:fldChar w:fldCharType="begin" w:fldLock="1"/>
      </w:r>
      <w:r w:rsidRPr="000925A8">
        <w:instrText>PAGE \# "'Sidan: '#'</w:instrText>
      </w:r>
      <w:r w:rsidRPr="000925A8">
        <w:br/>
        <w:instrText>'"</w:instrText>
      </w:r>
      <w:r w:rsidRPr="000925A8">
        <w:rPr>
          <w:rStyle w:val="Kommentarsreferens"/>
        </w:rPr>
        <w:instrText xml:space="preserve">  </w:instrText>
      </w:r>
      <w:r w:rsidRPr="000925A8">
        <w:fldChar w:fldCharType="end"/>
      </w:r>
      <w:r w:rsidRPr="000925A8">
        <w:rPr>
          <w:rStyle w:val="Kommentarsreferens"/>
        </w:rPr>
        <w:annotationRef/>
      </w:r>
      <w:r w:rsidRPr="000925A8">
        <w:t xml:space="preserve"> Refererad i SOU 2000:85, s. 173.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8F268E" w15:done="0"/>
  <w15:commentEx w15:paraId="72C6DC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8F268E" w16cid:durableId="7EEC6B43"/>
  <w16cid:commentId w16cid:paraId="72C6DC04" w16cid:durableId="4A92DB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07F3" w14:textId="77777777" w:rsidR="00241093" w:rsidRPr="000925A8" w:rsidRDefault="00241093">
      <w:pPr>
        <w:spacing w:before="0" w:line="240" w:lineRule="auto"/>
      </w:pPr>
      <w:r w:rsidRPr="000925A8">
        <w:separator/>
      </w:r>
    </w:p>
  </w:endnote>
  <w:endnote w:type="continuationSeparator" w:id="0">
    <w:p w14:paraId="5AD65E66" w14:textId="77777777" w:rsidR="00241093" w:rsidRPr="000925A8" w:rsidRDefault="00241093">
      <w:pPr>
        <w:spacing w:before="0" w:line="240" w:lineRule="auto"/>
      </w:pPr>
      <w:r w:rsidRPr="000925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verket Utopia Normal">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B6DF" w14:textId="77777777" w:rsidR="00241093" w:rsidRPr="000925A8" w:rsidRDefault="00241093">
    <w:pPr>
      <w:pStyle w:val="SidfotV"/>
      <w:framePr w:w="8732" w:h="284" w:hRule="exact" w:hSpace="0" w:vSpace="0" w:wrap="around" w:xAlign="inside" w:y="13042" w:anchorLock="0"/>
    </w:pP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2</w:t>
    </w:r>
    <w:r w:rsidRPr="000925A8">
      <w:fldChar w:fldCharType="end"/>
    </w:r>
  </w:p>
  <w:p w14:paraId="4BFB5BF5" w14:textId="77777777" w:rsidR="00241093" w:rsidRPr="000925A8" w:rsidRDefault="0024109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DEB4" w14:textId="77777777" w:rsidR="00241093" w:rsidRPr="000925A8" w:rsidRDefault="00241093">
    <w:pPr>
      <w:pStyle w:val="SidfotV"/>
      <w:framePr w:w="8732" w:h="284" w:hRule="exact" w:hSpace="0" w:vSpace="0" w:wrap="around" w:xAlign="inside" w:y="13042" w:anchorLock="0"/>
    </w:pP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51</w:t>
    </w:r>
    <w:r w:rsidRPr="000925A8">
      <w:fldChar w:fldCharType="end"/>
    </w:r>
  </w:p>
  <w:p w14:paraId="12287C14" w14:textId="77777777" w:rsidR="00241093" w:rsidRPr="000925A8" w:rsidRDefault="0024109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030A" w14:textId="77777777" w:rsidR="00241093" w:rsidRPr="000925A8" w:rsidRDefault="00241093">
    <w:pPr>
      <w:pStyle w:val="SidfotH"/>
      <w:framePr w:w="8732" w:h="284" w:hRule="exact" w:hSpace="0" w:vSpace="0" w:wrap="around" w:xAlign="inside" w:y="13042" w:anchorLock="0"/>
    </w:pP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51</w:t>
    </w:r>
    <w:r w:rsidRPr="000925A8">
      <w:fldChar w:fldCharType="end"/>
    </w:r>
  </w:p>
  <w:p w14:paraId="7CA29974" w14:textId="77777777" w:rsidR="00241093" w:rsidRPr="000925A8" w:rsidRDefault="0024109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25AD" w14:textId="77777777" w:rsidR="00241093" w:rsidRPr="000925A8" w:rsidRDefault="00241093">
    <w:pPr>
      <w:pStyle w:val="SidfotV"/>
      <w:framePr w:w="8732" w:h="284" w:hRule="exact" w:hSpace="0" w:vSpace="0" w:wrap="around" w:xAlign="inside" w:y="13042" w:anchorLock="0"/>
    </w:pPr>
    <w:r w:rsidRPr="000925A8">
      <w:fldChar w:fldCharType="begin" w:fldLock="1"/>
    </w:r>
    <w:r w:rsidRPr="000925A8">
      <w:instrText xml:space="preserve"> if </w:instrText>
    </w:r>
    <w:r w:rsidRPr="000925A8">
      <w:fldChar w:fldCharType="begin" w:fldLock="1"/>
    </w:r>
    <w:r w:rsidRPr="000925A8">
      <w:instrText xml:space="preserve"> = </w:instrText>
    </w:r>
    <w:r w:rsidRPr="000925A8">
      <w:fldChar w:fldCharType="begin" w:fldLock="1"/>
    </w:r>
    <w:r w:rsidRPr="000925A8">
      <w:instrText xml:space="preserve"> = </w:instrText>
    </w:r>
    <w:r w:rsidRPr="000925A8">
      <w:fldChar w:fldCharType="begin" w:fldLock="1"/>
    </w:r>
    <w:r w:rsidRPr="000925A8">
      <w:instrText xml:space="preserve"> page</w:instrText>
    </w:r>
    <w:r w:rsidRPr="000925A8">
      <w:fldChar w:fldCharType="separate"/>
    </w:r>
    <w:r w:rsidRPr="000925A8">
      <w:instrText>7</w:instrText>
    </w:r>
    <w:r w:rsidRPr="000925A8">
      <w:fldChar w:fldCharType="end"/>
    </w:r>
    <w:r w:rsidRPr="000925A8">
      <w:instrText xml:space="preserve">/2 </w:instrText>
    </w:r>
    <w:r w:rsidRPr="000925A8">
      <w:fldChar w:fldCharType="separate"/>
    </w:r>
    <w:r w:rsidRPr="000925A8">
      <w:instrText>3,5</w:instrText>
    </w:r>
    <w:r w:rsidRPr="000925A8">
      <w:fldChar w:fldCharType="end"/>
    </w:r>
    <w:r w:rsidRPr="000925A8">
      <w:instrText xml:space="preserve"> - </w:instrText>
    </w:r>
    <w:r w:rsidRPr="000925A8">
      <w:fldChar w:fldCharType="begin" w:fldLock="1"/>
    </w:r>
    <w:r w:rsidRPr="000925A8">
      <w:instrText xml:space="preserve"> = int(</w:instrText>
    </w:r>
    <w:r w:rsidRPr="000925A8">
      <w:fldChar w:fldCharType="begin" w:fldLock="1"/>
    </w:r>
    <w:r w:rsidRPr="000925A8">
      <w:instrText xml:space="preserve"> page</w:instrText>
    </w:r>
    <w:r w:rsidRPr="000925A8">
      <w:fldChar w:fldCharType="separate"/>
    </w:r>
    <w:r w:rsidRPr="000925A8">
      <w:instrText>7</w:instrText>
    </w:r>
    <w:r w:rsidRPr="000925A8">
      <w:fldChar w:fldCharType="end"/>
    </w:r>
    <w:r w:rsidRPr="000925A8">
      <w:instrText xml:space="preserve">/2) </w:instrText>
    </w:r>
    <w:r w:rsidRPr="000925A8">
      <w:fldChar w:fldCharType="separate"/>
    </w:r>
    <w:r w:rsidRPr="000925A8">
      <w:instrText>3</w:instrText>
    </w:r>
    <w:r w:rsidRPr="000925A8">
      <w:fldChar w:fldCharType="end"/>
    </w:r>
    <w:r w:rsidRPr="000925A8">
      <w:fldChar w:fldCharType="separate"/>
    </w:r>
    <w:r w:rsidRPr="000925A8">
      <w:instrText>0,5</w:instrText>
    </w:r>
    <w:r w:rsidRPr="000925A8">
      <w:fldChar w:fldCharType="end"/>
    </w:r>
    <w:r w:rsidRPr="000925A8">
      <w:instrText xml:space="preserve"> = 0 "</w:instrText>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instrText>8</w:instrText>
    </w:r>
    <w:r w:rsidRPr="000925A8">
      <w:fldChar w:fldCharType="end"/>
    </w:r>
  </w:p>
  <w:p w14:paraId="60D04852" w14:textId="77777777" w:rsidR="00241093" w:rsidRPr="000925A8" w:rsidRDefault="00241093">
    <w:pPr>
      <w:pStyle w:val="SidfotH"/>
      <w:framePr w:w="8732" w:h="284" w:hRule="exact" w:hSpace="0" w:vSpace="0" w:wrap="around" w:xAlign="inside" w:y="13042" w:anchorLock="0"/>
    </w:pPr>
    <w:r w:rsidRPr="000925A8">
      <w:instrText>""</w:instrText>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instrText>7</w:instrText>
    </w:r>
    <w:r w:rsidRPr="000925A8">
      <w:fldChar w:fldCharType="end"/>
    </w:r>
    <w:r w:rsidRPr="000925A8">
      <w:instrText>"</w:instrText>
    </w:r>
    <w:r w:rsidRPr="000925A8">
      <w:fldChar w:fldCharType="separate"/>
    </w:r>
    <w:r w:rsidRPr="000925A8">
      <w:t>7</w:t>
    </w:r>
    <w:r w:rsidRPr="000925A8">
      <w:fldChar w:fldCharType="end"/>
    </w:r>
  </w:p>
  <w:p w14:paraId="31734FE6" w14:textId="77777777" w:rsidR="00241093" w:rsidRPr="000925A8" w:rsidRDefault="0024109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F439" w14:textId="77777777" w:rsidR="00241093" w:rsidRPr="000925A8" w:rsidRDefault="00241093">
    <w:pPr>
      <w:pStyle w:val="SidfotV"/>
      <w:framePr w:w="8732" w:h="284" w:hRule="exact" w:hSpace="0" w:vSpace="0" w:wrap="around" w:xAlign="inside" w:y="13042" w:anchorLock="0"/>
    </w:pP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28</w:t>
    </w:r>
    <w:r w:rsidRPr="000925A8">
      <w:fldChar w:fldCharType="end"/>
    </w:r>
  </w:p>
  <w:p w14:paraId="684EFFB4" w14:textId="77777777" w:rsidR="00241093" w:rsidRPr="000925A8" w:rsidRDefault="0024109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CFB2" w14:textId="77777777" w:rsidR="00241093" w:rsidRPr="000925A8" w:rsidRDefault="00241093">
    <w:pPr>
      <w:pStyle w:val="SidfotH"/>
      <w:framePr w:w="8732" w:h="284" w:hRule="exact" w:hSpace="0" w:vSpace="0" w:wrap="around" w:xAlign="inside" w:y="13042" w:anchorLock="0"/>
    </w:pP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27</w:t>
    </w:r>
    <w:r w:rsidRPr="000925A8">
      <w:fldChar w:fldCharType="end"/>
    </w:r>
  </w:p>
  <w:p w14:paraId="349CCE69" w14:textId="77777777" w:rsidR="00241093" w:rsidRPr="000925A8" w:rsidRDefault="0024109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F9BD" w14:textId="77777777" w:rsidR="00241093" w:rsidRPr="000925A8" w:rsidRDefault="00241093">
    <w:pPr>
      <w:pStyle w:val="SidfotV"/>
      <w:framePr w:w="8732" w:h="284" w:hRule="exact" w:hSpace="0" w:vSpace="0" w:wrap="around" w:xAlign="inside" w:y="13042" w:anchorLock="0"/>
    </w:pPr>
    <w:r w:rsidRPr="000925A8">
      <w:fldChar w:fldCharType="begin" w:fldLock="1"/>
    </w:r>
    <w:r w:rsidRPr="000925A8">
      <w:instrText xml:space="preserve"> if </w:instrText>
    </w:r>
    <w:r w:rsidRPr="000925A8">
      <w:fldChar w:fldCharType="begin" w:fldLock="1"/>
    </w:r>
    <w:r w:rsidRPr="000925A8">
      <w:instrText xml:space="preserve"> = </w:instrText>
    </w:r>
    <w:r w:rsidRPr="000925A8">
      <w:fldChar w:fldCharType="begin" w:fldLock="1"/>
    </w:r>
    <w:r w:rsidRPr="000925A8">
      <w:instrText xml:space="preserve"> = </w:instrText>
    </w:r>
    <w:r w:rsidRPr="000925A8">
      <w:fldChar w:fldCharType="begin" w:fldLock="1"/>
    </w:r>
    <w:r w:rsidRPr="000925A8">
      <w:instrText xml:space="preserve"> page</w:instrText>
    </w:r>
    <w:r w:rsidRPr="000925A8">
      <w:fldChar w:fldCharType="separate"/>
    </w:r>
    <w:r w:rsidRPr="000925A8">
      <w:instrText>8</w:instrText>
    </w:r>
    <w:r w:rsidRPr="000925A8">
      <w:fldChar w:fldCharType="end"/>
    </w:r>
    <w:r w:rsidRPr="000925A8">
      <w:instrText xml:space="preserve">/2 </w:instrText>
    </w:r>
    <w:r w:rsidRPr="000925A8">
      <w:fldChar w:fldCharType="separate"/>
    </w:r>
    <w:r w:rsidRPr="000925A8">
      <w:instrText>4</w:instrText>
    </w:r>
    <w:r w:rsidRPr="000925A8">
      <w:fldChar w:fldCharType="end"/>
    </w:r>
    <w:r w:rsidRPr="000925A8">
      <w:instrText xml:space="preserve"> - </w:instrText>
    </w:r>
    <w:r w:rsidRPr="000925A8">
      <w:fldChar w:fldCharType="begin" w:fldLock="1"/>
    </w:r>
    <w:r w:rsidRPr="000925A8">
      <w:instrText xml:space="preserve"> = int(</w:instrText>
    </w:r>
    <w:r w:rsidRPr="000925A8">
      <w:fldChar w:fldCharType="begin" w:fldLock="1"/>
    </w:r>
    <w:r w:rsidRPr="000925A8">
      <w:instrText xml:space="preserve"> page</w:instrText>
    </w:r>
    <w:r w:rsidRPr="000925A8">
      <w:fldChar w:fldCharType="separate"/>
    </w:r>
    <w:r w:rsidRPr="000925A8">
      <w:instrText>8</w:instrText>
    </w:r>
    <w:r w:rsidRPr="000925A8">
      <w:fldChar w:fldCharType="end"/>
    </w:r>
    <w:r w:rsidRPr="000925A8">
      <w:instrText xml:space="preserve">/2) </w:instrText>
    </w:r>
    <w:r w:rsidRPr="000925A8">
      <w:fldChar w:fldCharType="separate"/>
    </w:r>
    <w:r w:rsidRPr="000925A8">
      <w:instrText>4</w:instrText>
    </w:r>
    <w:r w:rsidRPr="000925A8">
      <w:fldChar w:fldCharType="end"/>
    </w:r>
    <w:r w:rsidRPr="000925A8">
      <w:fldChar w:fldCharType="separate"/>
    </w:r>
    <w:r w:rsidRPr="000925A8">
      <w:instrText>0</w:instrText>
    </w:r>
    <w:r w:rsidRPr="000925A8">
      <w:fldChar w:fldCharType="end"/>
    </w:r>
    <w:r w:rsidRPr="000925A8">
      <w:instrText xml:space="preserve"> = 0 "</w:instrText>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instrText>8</w:instrText>
    </w:r>
    <w:r w:rsidRPr="000925A8">
      <w:fldChar w:fldCharType="end"/>
    </w:r>
  </w:p>
  <w:p w14:paraId="71D88F84" w14:textId="77777777" w:rsidR="00241093" w:rsidRPr="000925A8" w:rsidRDefault="00241093">
    <w:pPr>
      <w:pStyle w:val="SidfotV"/>
      <w:framePr w:w="8732" w:h="284" w:hRule="exact" w:hSpace="0" w:vSpace="0" w:wrap="around" w:xAlign="inside" w:y="13042" w:anchorLock="0"/>
    </w:pPr>
    <w:r w:rsidRPr="000925A8">
      <w:instrText>""</w:instrText>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instrText>9</w:instrText>
    </w:r>
    <w:r w:rsidRPr="000925A8">
      <w:fldChar w:fldCharType="end"/>
    </w:r>
    <w:r w:rsidRPr="000925A8">
      <w:instrText>"</w:instrText>
    </w:r>
    <w:r w:rsidRPr="000925A8">
      <w:fldChar w:fldCharType="separate"/>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8</w:t>
    </w:r>
    <w:r w:rsidRPr="000925A8">
      <w:fldChar w:fldCharType="end"/>
    </w:r>
  </w:p>
  <w:p w14:paraId="1C069C36" w14:textId="77777777" w:rsidR="00241093" w:rsidRPr="000925A8" w:rsidRDefault="00241093">
    <w:pPr>
      <w:pStyle w:val="SidfotH"/>
      <w:framePr w:w="8732" w:h="284" w:hRule="exact" w:hSpace="0" w:vSpace="0" w:wrap="around" w:xAlign="inside" w:y="13042" w:anchorLock="0"/>
    </w:pPr>
    <w:r w:rsidRPr="000925A8">
      <w:fldChar w:fldCharType="end"/>
    </w:r>
  </w:p>
  <w:p w14:paraId="44A394C4" w14:textId="77777777" w:rsidR="00241093" w:rsidRPr="000925A8" w:rsidRDefault="0024109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EA51" w14:textId="77777777" w:rsidR="00241093" w:rsidRPr="000925A8" w:rsidRDefault="00241093">
    <w:pPr>
      <w:pStyle w:val="SidfotV"/>
      <w:framePr w:w="8732" w:h="284" w:hRule="exact" w:hSpace="0" w:vSpace="0" w:wrap="around" w:xAlign="inside" w:y="13042" w:anchorLock="0"/>
    </w:pP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46</w:t>
    </w:r>
    <w:r w:rsidRPr="000925A8">
      <w:fldChar w:fldCharType="end"/>
    </w:r>
  </w:p>
  <w:p w14:paraId="618DF2FA" w14:textId="77777777" w:rsidR="00241093" w:rsidRPr="000925A8" w:rsidRDefault="0024109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5732" w14:textId="77777777" w:rsidR="00241093" w:rsidRPr="000925A8" w:rsidRDefault="00241093">
    <w:pPr>
      <w:pStyle w:val="SidfotH"/>
      <w:framePr w:w="8732" w:h="284" w:hRule="exact" w:hSpace="0" w:vSpace="0" w:wrap="around" w:xAlign="inside" w:y="13042" w:anchorLock="0"/>
    </w:pP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47</w:t>
    </w:r>
    <w:r w:rsidRPr="000925A8">
      <w:fldChar w:fldCharType="end"/>
    </w:r>
  </w:p>
  <w:p w14:paraId="2588F6AD" w14:textId="77777777" w:rsidR="00241093" w:rsidRPr="000925A8" w:rsidRDefault="0024109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5AEA" w14:textId="77777777" w:rsidR="00241093" w:rsidRPr="000925A8" w:rsidRDefault="00241093">
    <w:pPr>
      <w:pStyle w:val="SidfotV"/>
      <w:framePr w:w="8732" w:h="284" w:hRule="exact" w:hSpace="0" w:vSpace="0" w:wrap="around" w:xAlign="inside" w:y="13042" w:anchorLock="0"/>
    </w:pPr>
    <w:r w:rsidRPr="000925A8">
      <w:fldChar w:fldCharType="begin" w:fldLock="1"/>
    </w:r>
    <w:r w:rsidRPr="000925A8">
      <w:instrText xml:space="preserve"> if </w:instrText>
    </w:r>
    <w:r w:rsidRPr="000925A8">
      <w:fldChar w:fldCharType="begin" w:fldLock="1"/>
    </w:r>
    <w:r w:rsidRPr="000925A8">
      <w:instrText xml:space="preserve"> = </w:instrText>
    </w:r>
    <w:r w:rsidRPr="000925A8">
      <w:fldChar w:fldCharType="begin" w:fldLock="1"/>
    </w:r>
    <w:r w:rsidRPr="000925A8">
      <w:instrText xml:space="preserve"> = </w:instrText>
    </w:r>
    <w:r w:rsidRPr="000925A8">
      <w:fldChar w:fldCharType="begin" w:fldLock="1"/>
    </w:r>
    <w:r w:rsidRPr="000925A8">
      <w:instrText xml:space="preserve"> page</w:instrText>
    </w:r>
    <w:r w:rsidRPr="000925A8">
      <w:fldChar w:fldCharType="separate"/>
    </w:r>
    <w:r w:rsidRPr="000925A8">
      <w:instrText>29</w:instrText>
    </w:r>
    <w:r w:rsidRPr="000925A8">
      <w:fldChar w:fldCharType="end"/>
    </w:r>
    <w:r w:rsidRPr="000925A8">
      <w:instrText xml:space="preserve">/2 </w:instrText>
    </w:r>
    <w:r w:rsidRPr="000925A8">
      <w:fldChar w:fldCharType="separate"/>
    </w:r>
    <w:r w:rsidRPr="000925A8">
      <w:instrText>14,5</w:instrText>
    </w:r>
    <w:r w:rsidRPr="000925A8">
      <w:fldChar w:fldCharType="end"/>
    </w:r>
    <w:r w:rsidRPr="000925A8">
      <w:instrText xml:space="preserve"> - </w:instrText>
    </w:r>
    <w:r w:rsidRPr="000925A8">
      <w:fldChar w:fldCharType="begin" w:fldLock="1"/>
    </w:r>
    <w:r w:rsidRPr="000925A8">
      <w:instrText xml:space="preserve"> = int(</w:instrText>
    </w:r>
    <w:r w:rsidRPr="000925A8">
      <w:fldChar w:fldCharType="begin" w:fldLock="1"/>
    </w:r>
    <w:r w:rsidRPr="000925A8">
      <w:instrText xml:space="preserve"> page</w:instrText>
    </w:r>
    <w:r w:rsidRPr="000925A8">
      <w:fldChar w:fldCharType="separate"/>
    </w:r>
    <w:r w:rsidRPr="000925A8">
      <w:instrText>29</w:instrText>
    </w:r>
    <w:r w:rsidRPr="000925A8">
      <w:fldChar w:fldCharType="end"/>
    </w:r>
    <w:r w:rsidRPr="000925A8">
      <w:instrText xml:space="preserve">/2) </w:instrText>
    </w:r>
    <w:r w:rsidRPr="000925A8">
      <w:fldChar w:fldCharType="separate"/>
    </w:r>
    <w:r w:rsidRPr="000925A8">
      <w:instrText>14</w:instrText>
    </w:r>
    <w:r w:rsidRPr="000925A8">
      <w:fldChar w:fldCharType="end"/>
    </w:r>
    <w:r w:rsidRPr="000925A8">
      <w:fldChar w:fldCharType="separate"/>
    </w:r>
    <w:r w:rsidRPr="000925A8">
      <w:instrText>0,5</w:instrText>
    </w:r>
    <w:r w:rsidRPr="000925A8">
      <w:fldChar w:fldCharType="end"/>
    </w:r>
    <w:r w:rsidRPr="000925A8">
      <w:instrText xml:space="preserve"> = 0 "</w:instrText>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instrText>30</w:instrText>
    </w:r>
    <w:r w:rsidRPr="000925A8">
      <w:fldChar w:fldCharType="end"/>
    </w:r>
  </w:p>
  <w:p w14:paraId="38A984DF" w14:textId="77777777" w:rsidR="00241093" w:rsidRPr="000925A8" w:rsidRDefault="00241093">
    <w:pPr>
      <w:pStyle w:val="SidfotH"/>
      <w:framePr w:w="8732" w:h="284" w:hRule="exact" w:hSpace="0" w:vSpace="0" w:wrap="around" w:xAlign="inside" w:y="13042" w:anchorLock="0"/>
    </w:pPr>
    <w:r w:rsidRPr="000925A8">
      <w:instrText>""</w:instrText>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instrText>29</w:instrText>
    </w:r>
    <w:r w:rsidRPr="000925A8">
      <w:fldChar w:fldCharType="end"/>
    </w:r>
    <w:r w:rsidRPr="000925A8">
      <w:instrText>"</w:instrText>
    </w:r>
    <w:r w:rsidRPr="000925A8">
      <w:fldChar w:fldCharType="separate"/>
    </w:r>
    <w:r w:rsidRPr="000925A8">
      <w:t>29</w:t>
    </w:r>
    <w:r w:rsidRPr="000925A8">
      <w:fldChar w:fldCharType="end"/>
    </w:r>
  </w:p>
  <w:p w14:paraId="5A5B2BE3" w14:textId="77777777" w:rsidR="00241093" w:rsidRPr="000925A8" w:rsidRDefault="0024109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6444" w14:textId="77777777" w:rsidR="00241093" w:rsidRPr="000925A8" w:rsidRDefault="00241093">
    <w:pPr>
      <w:pStyle w:val="SidfotV"/>
      <w:framePr w:w="8732" w:h="284" w:hRule="exact" w:hSpace="0" w:vSpace="0" w:wrap="around" w:xAlign="inside" w:y="13042" w:anchorLock="0"/>
    </w:pP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52</w:t>
    </w:r>
    <w:r w:rsidRPr="000925A8">
      <w:fldChar w:fldCharType="end"/>
    </w:r>
  </w:p>
  <w:p w14:paraId="423044D8" w14:textId="77777777" w:rsidR="00241093" w:rsidRPr="000925A8" w:rsidRDefault="002410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0E18" w14:textId="77777777" w:rsidR="00241093" w:rsidRPr="000925A8" w:rsidRDefault="00241093">
    <w:pPr>
      <w:pStyle w:val="SidfotH"/>
      <w:framePr w:w="8732" w:h="284" w:hRule="exact" w:hSpace="0" w:vSpace="0" w:wrap="around" w:xAlign="inside" w:y="13042" w:anchorLock="0"/>
    </w:pP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51</w:t>
    </w:r>
    <w:r w:rsidRPr="000925A8">
      <w:fldChar w:fldCharType="end"/>
    </w:r>
  </w:p>
  <w:p w14:paraId="3991A734" w14:textId="77777777" w:rsidR="00241093" w:rsidRPr="000925A8" w:rsidRDefault="0024109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8684" w14:textId="77777777" w:rsidR="00241093" w:rsidRPr="000925A8" w:rsidRDefault="00241093">
    <w:pPr>
      <w:pStyle w:val="SidfotH"/>
      <w:framePr w:w="8732" w:h="284" w:hRule="exact" w:hSpace="0" w:vSpace="0" w:wrap="around" w:xAlign="inside" w:y="13042" w:anchorLock="0"/>
    </w:pP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51</w:t>
    </w:r>
    <w:r w:rsidRPr="000925A8">
      <w:fldChar w:fldCharType="end"/>
    </w:r>
  </w:p>
  <w:p w14:paraId="704D36C3" w14:textId="77777777" w:rsidR="00241093" w:rsidRPr="000925A8" w:rsidRDefault="0024109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C1D1" w14:textId="77777777" w:rsidR="00241093" w:rsidRPr="000925A8" w:rsidRDefault="00241093">
    <w:pPr>
      <w:pStyle w:val="SidfotV"/>
      <w:framePr w:w="8732" w:h="284" w:hRule="exact" w:hSpace="0" w:vSpace="0" w:wrap="around" w:xAlign="inside" w:y="13042" w:anchorLock="0"/>
    </w:pPr>
    <w:r w:rsidRPr="000925A8">
      <w:fldChar w:fldCharType="begin" w:fldLock="1"/>
    </w:r>
    <w:r w:rsidRPr="000925A8">
      <w:instrText xml:space="preserve"> if </w:instrText>
    </w:r>
    <w:r w:rsidRPr="000925A8">
      <w:fldChar w:fldCharType="begin" w:fldLock="1"/>
    </w:r>
    <w:r w:rsidRPr="000925A8">
      <w:instrText xml:space="preserve"> = </w:instrText>
    </w:r>
    <w:r w:rsidRPr="000925A8">
      <w:fldChar w:fldCharType="begin" w:fldLock="1"/>
    </w:r>
    <w:r w:rsidRPr="000925A8">
      <w:instrText xml:space="preserve"> = </w:instrText>
    </w:r>
    <w:r w:rsidRPr="000925A8">
      <w:fldChar w:fldCharType="begin" w:fldLock="1"/>
    </w:r>
    <w:r w:rsidRPr="000925A8">
      <w:instrText xml:space="preserve"> page</w:instrText>
    </w:r>
    <w:r w:rsidRPr="000925A8">
      <w:fldChar w:fldCharType="separate"/>
    </w:r>
    <w:r w:rsidRPr="000925A8">
      <w:instrText>48</w:instrText>
    </w:r>
    <w:r w:rsidRPr="000925A8">
      <w:fldChar w:fldCharType="end"/>
    </w:r>
    <w:r w:rsidRPr="000925A8">
      <w:instrText xml:space="preserve">/2 </w:instrText>
    </w:r>
    <w:r w:rsidRPr="000925A8">
      <w:fldChar w:fldCharType="separate"/>
    </w:r>
    <w:r w:rsidRPr="000925A8">
      <w:instrText>24</w:instrText>
    </w:r>
    <w:r w:rsidRPr="000925A8">
      <w:fldChar w:fldCharType="end"/>
    </w:r>
    <w:r w:rsidRPr="000925A8">
      <w:instrText xml:space="preserve"> - </w:instrText>
    </w:r>
    <w:r w:rsidRPr="000925A8">
      <w:fldChar w:fldCharType="begin" w:fldLock="1"/>
    </w:r>
    <w:r w:rsidRPr="000925A8">
      <w:instrText xml:space="preserve"> = int(</w:instrText>
    </w:r>
    <w:r w:rsidRPr="000925A8">
      <w:fldChar w:fldCharType="begin" w:fldLock="1"/>
    </w:r>
    <w:r w:rsidRPr="000925A8">
      <w:instrText xml:space="preserve"> page</w:instrText>
    </w:r>
    <w:r w:rsidRPr="000925A8">
      <w:fldChar w:fldCharType="separate"/>
    </w:r>
    <w:r w:rsidRPr="000925A8">
      <w:instrText>48</w:instrText>
    </w:r>
    <w:r w:rsidRPr="000925A8">
      <w:fldChar w:fldCharType="end"/>
    </w:r>
    <w:r w:rsidRPr="000925A8">
      <w:instrText xml:space="preserve">/2) </w:instrText>
    </w:r>
    <w:r w:rsidRPr="000925A8">
      <w:fldChar w:fldCharType="separate"/>
    </w:r>
    <w:r w:rsidRPr="000925A8">
      <w:instrText>24</w:instrText>
    </w:r>
    <w:r w:rsidRPr="000925A8">
      <w:fldChar w:fldCharType="end"/>
    </w:r>
    <w:r w:rsidRPr="000925A8">
      <w:fldChar w:fldCharType="separate"/>
    </w:r>
    <w:r w:rsidRPr="000925A8">
      <w:instrText>0</w:instrText>
    </w:r>
    <w:r w:rsidRPr="000925A8">
      <w:fldChar w:fldCharType="end"/>
    </w:r>
    <w:r w:rsidRPr="000925A8">
      <w:instrText xml:space="preserve"> = 0 "</w:instrText>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instrText>48</w:instrText>
    </w:r>
    <w:r w:rsidRPr="000925A8">
      <w:fldChar w:fldCharType="end"/>
    </w:r>
  </w:p>
  <w:p w14:paraId="535F4A7D" w14:textId="77777777" w:rsidR="00241093" w:rsidRPr="000925A8" w:rsidRDefault="00241093">
    <w:pPr>
      <w:pStyle w:val="SidfotV"/>
      <w:framePr w:w="8732" w:h="284" w:hRule="exact" w:hSpace="0" w:vSpace="0" w:wrap="around" w:xAlign="inside" w:y="13042" w:anchorLock="0"/>
    </w:pPr>
    <w:r w:rsidRPr="000925A8">
      <w:instrText>""</w:instrText>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instrText>49</w:instrText>
    </w:r>
    <w:r w:rsidRPr="000925A8">
      <w:fldChar w:fldCharType="end"/>
    </w:r>
    <w:r w:rsidRPr="000925A8">
      <w:instrText>"</w:instrText>
    </w:r>
    <w:r w:rsidRPr="000925A8">
      <w:fldChar w:fldCharType="separate"/>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48</w:t>
    </w:r>
    <w:r w:rsidRPr="000925A8">
      <w:fldChar w:fldCharType="end"/>
    </w:r>
  </w:p>
  <w:p w14:paraId="09B975E7" w14:textId="77777777" w:rsidR="00241093" w:rsidRPr="000925A8" w:rsidRDefault="00241093">
    <w:pPr>
      <w:pStyle w:val="SidfotH"/>
      <w:framePr w:w="8732" w:h="284" w:hRule="exact" w:hSpace="0" w:vSpace="0" w:wrap="around" w:xAlign="inside" w:y="13042" w:anchorLock="0"/>
    </w:pPr>
    <w:r w:rsidRPr="000925A8">
      <w:fldChar w:fldCharType="end"/>
    </w:r>
  </w:p>
  <w:p w14:paraId="2AECE640" w14:textId="77777777" w:rsidR="00241093" w:rsidRPr="000925A8" w:rsidRDefault="0024109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580B" w14:textId="77777777" w:rsidR="00241093" w:rsidRPr="000925A8" w:rsidRDefault="00241093">
    <w:pPr>
      <w:pStyle w:val="SidfotV"/>
      <w:framePr w:w="8732" w:h="284" w:hRule="exact" w:hSpace="0" w:vSpace="0" w:wrap="around" w:xAlign="inside" w:y="13042" w:anchorLock="0"/>
    </w:pP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54</w:t>
    </w:r>
    <w:r w:rsidRPr="000925A8">
      <w:fldChar w:fldCharType="end"/>
    </w:r>
  </w:p>
  <w:p w14:paraId="6ED18505" w14:textId="77777777" w:rsidR="00241093" w:rsidRPr="000925A8" w:rsidRDefault="0024109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4E99" w14:textId="77777777" w:rsidR="00241093" w:rsidRPr="000925A8" w:rsidRDefault="00241093">
    <w:pPr>
      <w:pStyle w:val="SidfotH"/>
      <w:framePr w:w="8732" w:h="284" w:hRule="exact" w:hSpace="0" w:vSpace="0" w:wrap="around" w:xAlign="inside" w:y="13042" w:anchorLock="0"/>
    </w:pP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55</w:t>
    </w:r>
    <w:r w:rsidRPr="000925A8">
      <w:fldChar w:fldCharType="end"/>
    </w:r>
  </w:p>
  <w:p w14:paraId="2606304E" w14:textId="77777777" w:rsidR="00241093" w:rsidRPr="000925A8" w:rsidRDefault="0024109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CEB7" w14:textId="77777777" w:rsidR="00241093" w:rsidRPr="000925A8" w:rsidRDefault="00241093">
    <w:pPr>
      <w:pStyle w:val="SidfotV"/>
      <w:framePr w:w="8732" w:h="284" w:hRule="exact" w:hSpace="0" w:vSpace="0" w:wrap="around" w:xAlign="inside" w:y="13042" w:anchorLock="0"/>
    </w:pPr>
    <w:r w:rsidRPr="000925A8">
      <w:fldChar w:fldCharType="begin" w:fldLock="1"/>
    </w:r>
    <w:r w:rsidRPr="000925A8">
      <w:instrText xml:space="preserve"> if </w:instrText>
    </w:r>
    <w:r w:rsidRPr="000925A8">
      <w:fldChar w:fldCharType="begin" w:fldLock="1"/>
    </w:r>
    <w:r w:rsidRPr="000925A8">
      <w:instrText xml:space="preserve"> = </w:instrText>
    </w:r>
    <w:r w:rsidRPr="000925A8">
      <w:fldChar w:fldCharType="begin" w:fldLock="1"/>
    </w:r>
    <w:r w:rsidRPr="000925A8">
      <w:instrText xml:space="preserve"> = </w:instrText>
    </w:r>
    <w:r w:rsidRPr="000925A8">
      <w:fldChar w:fldCharType="begin" w:fldLock="1"/>
    </w:r>
    <w:r w:rsidRPr="000925A8">
      <w:instrText xml:space="preserve"> page</w:instrText>
    </w:r>
    <w:r w:rsidRPr="000925A8">
      <w:fldChar w:fldCharType="separate"/>
    </w:r>
    <w:r w:rsidRPr="000925A8">
      <w:instrText>53</w:instrText>
    </w:r>
    <w:r w:rsidRPr="000925A8">
      <w:fldChar w:fldCharType="end"/>
    </w:r>
    <w:r w:rsidRPr="000925A8">
      <w:instrText xml:space="preserve">/2 </w:instrText>
    </w:r>
    <w:r w:rsidRPr="000925A8">
      <w:fldChar w:fldCharType="separate"/>
    </w:r>
    <w:r w:rsidRPr="000925A8">
      <w:instrText>26,5</w:instrText>
    </w:r>
    <w:r w:rsidRPr="000925A8">
      <w:fldChar w:fldCharType="end"/>
    </w:r>
    <w:r w:rsidRPr="000925A8">
      <w:instrText xml:space="preserve"> - </w:instrText>
    </w:r>
    <w:r w:rsidRPr="000925A8">
      <w:fldChar w:fldCharType="begin" w:fldLock="1"/>
    </w:r>
    <w:r w:rsidRPr="000925A8">
      <w:instrText xml:space="preserve"> = int(</w:instrText>
    </w:r>
    <w:r w:rsidRPr="000925A8">
      <w:fldChar w:fldCharType="begin" w:fldLock="1"/>
    </w:r>
    <w:r w:rsidRPr="000925A8">
      <w:instrText xml:space="preserve"> page</w:instrText>
    </w:r>
    <w:r w:rsidRPr="000925A8">
      <w:fldChar w:fldCharType="separate"/>
    </w:r>
    <w:r w:rsidRPr="000925A8">
      <w:instrText>53</w:instrText>
    </w:r>
    <w:r w:rsidRPr="000925A8">
      <w:fldChar w:fldCharType="end"/>
    </w:r>
    <w:r w:rsidRPr="000925A8">
      <w:instrText xml:space="preserve">/2) </w:instrText>
    </w:r>
    <w:r w:rsidRPr="000925A8">
      <w:fldChar w:fldCharType="separate"/>
    </w:r>
    <w:r w:rsidRPr="000925A8">
      <w:instrText>26</w:instrText>
    </w:r>
    <w:r w:rsidRPr="000925A8">
      <w:fldChar w:fldCharType="end"/>
    </w:r>
    <w:r w:rsidRPr="000925A8">
      <w:fldChar w:fldCharType="separate"/>
    </w:r>
    <w:r w:rsidRPr="000925A8">
      <w:instrText>0,5</w:instrText>
    </w:r>
    <w:r w:rsidRPr="000925A8">
      <w:fldChar w:fldCharType="end"/>
    </w:r>
    <w:r w:rsidRPr="000925A8">
      <w:instrText xml:space="preserve"> = 0 "</w:instrText>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instrText>80</w:instrText>
    </w:r>
    <w:r w:rsidRPr="000925A8">
      <w:fldChar w:fldCharType="end"/>
    </w:r>
  </w:p>
  <w:p w14:paraId="40F323E3" w14:textId="77777777" w:rsidR="00241093" w:rsidRPr="000925A8" w:rsidRDefault="00241093">
    <w:pPr>
      <w:pStyle w:val="SidfotH"/>
      <w:framePr w:w="8732" w:h="284" w:hRule="exact" w:hSpace="0" w:vSpace="0" w:wrap="around" w:xAlign="inside" w:y="13042" w:anchorLock="0"/>
    </w:pPr>
    <w:r w:rsidRPr="000925A8">
      <w:instrText>""</w:instrText>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instrText>53</w:instrText>
    </w:r>
    <w:r w:rsidRPr="000925A8">
      <w:fldChar w:fldCharType="end"/>
    </w:r>
    <w:r w:rsidRPr="000925A8">
      <w:instrText>"</w:instrText>
    </w:r>
    <w:r w:rsidRPr="000925A8">
      <w:fldChar w:fldCharType="separate"/>
    </w:r>
    <w:r w:rsidRPr="000925A8">
      <w:t>53</w:t>
    </w:r>
    <w:r w:rsidRPr="000925A8">
      <w:fldChar w:fldCharType="end"/>
    </w:r>
  </w:p>
  <w:p w14:paraId="4AB49A66" w14:textId="77777777" w:rsidR="00241093" w:rsidRPr="000925A8" w:rsidRDefault="0024109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4A20" w14:textId="77777777" w:rsidR="00241093" w:rsidRPr="000925A8" w:rsidRDefault="00241093">
    <w:pPr>
      <w:pStyle w:val="SidfotV"/>
      <w:framePr w:w="8732" w:h="284" w:hRule="exact" w:hSpace="0" w:vSpace="0" w:wrap="around" w:xAlign="inside" w:y="13042" w:anchorLock="0"/>
    </w:pPr>
    <w:r w:rsidRPr="000925A8">
      <w:fldChar w:fldCharType="begin" w:fldLock="1"/>
    </w:r>
    <w:r w:rsidRPr="000925A8">
      <w:instrText xml:space="preserve"> if </w:instrText>
    </w:r>
    <w:r w:rsidRPr="000925A8">
      <w:fldChar w:fldCharType="begin" w:fldLock="1"/>
    </w:r>
    <w:r w:rsidRPr="000925A8">
      <w:instrText xml:space="preserve"> = </w:instrText>
    </w:r>
    <w:r w:rsidRPr="000925A8">
      <w:fldChar w:fldCharType="begin" w:fldLock="1"/>
    </w:r>
    <w:r w:rsidRPr="000925A8">
      <w:instrText xml:space="preserve"> = </w:instrText>
    </w:r>
    <w:r w:rsidRPr="000925A8">
      <w:fldChar w:fldCharType="begin" w:fldLock="1"/>
    </w:r>
    <w:r w:rsidRPr="000925A8">
      <w:instrText xml:space="preserve"> page</w:instrText>
    </w:r>
    <w:r w:rsidRPr="000925A8">
      <w:fldChar w:fldCharType="separate"/>
    </w:r>
    <w:r w:rsidR="000925A8">
      <w:rPr>
        <w:noProof/>
      </w:rPr>
      <w:instrText>1</w:instrText>
    </w:r>
    <w:r w:rsidRPr="000925A8">
      <w:fldChar w:fldCharType="end"/>
    </w:r>
    <w:r w:rsidRPr="000925A8">
      <w:instrText xml:space="preserve">/2 </w:instrText>
    </w:r>
    <w:r w:rsidRPr="000925A8">
      <w:fldChar w:fldCharType="separate"/>
    </w:r>
    <w:r w:rsidR="000925A8">
      <w:rPr>
        <w:noProof/>
      </w:rPr>
      <w:instrText>0,5</w:instrText>
    </w:r>
    <w:r w:rsidRPr="000925A8">
      <w:fldChar w:fldCharType="end"/>
    </w:r>
    <w:r w:rsidRPr="000925A8">
      <w:instrText xml:space="preserve"> - </w:instrText>
    </w:r>
    <w:r w:rsidRPr="000925A8">
      <w:fldChar w:fldCharType="begin" w:fldLock="1"/>
    </w:r>
    <w:r w:rsidRPr="000925A8">
      <w:instrText xml:space="preserve"> = int(</w:instrText>
    </w:r>
    <w:r w:rsidRPr="000925A8">
      <w:fldChar w:fldCharType="begin" w:fldLock="1"/>
    </w:r>
    <w:r w:rsidRPr="000925A8">
      <w:instrText xml:space="preserve"> page</w:instrText>
    </w:r>
    <w:r w:rsidRPr="000925A8">
      <w:fldChar w:fldCharType="separate"/>
    </w:r>
    <w:r w:rsidR="000925A8">
      <w:rPr>
        <w:noProof/>
      </w:rPr>
      <w:instrText>1</w:instrText>
    </w:r>
    <w:r w:rsidRPr="000925A8">
      <w:fldChar w:fldCharType="end"/>
    </w:r>
    <w:r w:rsidRPr="000925A8">
      <w:instrText xml:space="preserve">/2) </w:instrText>
    </w:r>
    <w:r w:rsidRPr="000925A8">
      <w:fldChar w:fldCharType="separate"/>
    </w:r>
    <w:r w:rsidR="000925A8">
      <w:rPr>
        <w:noProof/>
      </w:rPr>
      <w:instrText>0</w:instrText>
    </w:r>
    <w:r w:rsidRPr="000925A8">
      <w:fldChar w:fldCharType="end"/>
    </w:r>
    <w:r w:rsidRPr="000925A8">
      <w:fldChar w:fldCharType="separate"/>
    </w:r>
    <w:r w:rsidR="000925A8">
      <w:rPr>
        <w:noProof/>
      </w:rPr>
      <w:instrText>0,5</w:instrText>
    </w:r>
    <w:r w:rsidRPr="000925A8">
      <w:fldChar w:fldCharType="end"/>
    </w:r>
    <w:r w:rsidRPr="000925A8">
      <w:instrText xml:space="preserve"> = 0 "</w:instrText>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instrText>14</w:instrText>
    </w:r>
    <w:r w:rsidRPr="000925A8">
      <w:fldChar w:fldCharType="end"/>
    </w:r>
  </w:p>
  <w:p w14:paraId="146F8D63" w14:textId="77777777" w:rsidR="00241093" w:rsidRPr="000925A8" w:rsidRDefault="00241093">
    <w:pPr>
      <w:pStyle w:val="SidfotH"/>
      <w:framePr w:w="8732" w:h="284" w:hRule="exact" w:hSpace="0" w:vSpace="0" w:wrap="around" w:xAlign="inside" w:y="13042" w:anchorLock="0"/>
    </w:pPr>
    <w:r w:rsidRPr="000925A8">
      <w:instrText>""</w:instrText>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000925A8">
      <w:rPr>
        <w:noProof/>
      </w:rPr>
      <w:instrText>1</w:instrText>
    </w:r>
    <w:r w:rsidRPr="000925A8">
      <w:fldChar w:fldCharType="end"/>
    </w:r>
    <w:r w:rsidRPr="000925A8">
      <w:instrText>"</w:instrText>
    </w:r>
    <w:r w:rsidRPr="000925A8">
      <w:fldChar w:fldCharType="separate"/>
    </w:r>
    <w:r w:rsidR="000925A8">
      <w:rPr>
        <w:noProof/>
      </w:rPr>
      <w:t>1</w:t>
    </w:r>
    <w:r w:rsidRPr="000925A8">
      <w:fldChar w:fldCharType="end"/>
    </w:r>
  </w:p>
  <w:p w14:paraId="168FC7B0" w14:textId="77777777" w:rsidR="00241093" w:rsidRPr="000925A8" w:rsidRDefault="0024109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F4D2" w14:textId="77777777" w:rsidR="00241093" w:rsidRPr="000925A8" w:rsidRDefault="00241093">
    <w:pPr>
      <w:pStyle w:val="SidfotV"/>
      <w:framePr w:w="8732" w:h="284" w:hRule="exact" w:hSpace="0" w:vSpace="0" w:wrap="around" w:xAlign="inside" w:y="13042" w:anchorLock="0"/>
    </w:pP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4</w:t>
    </w:r>
    <w:r w:rsidRPr="000925A8">
      <w:fldChar w:fldCharType="end"/>
    </w:r>
  </w:p>
  <w:p w14:paraId="1551D443" w14:textId="77777777" w:rsidR="00241093" w:rsidRPr="000925A8" w:rsidRDefault="0024109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3335" w14:textId="77777777" w:rsidR="00241093" w:rsidRPr="000925A8" w:rsidRDefault="00241093">
    <w:pPr>
      <w:pStyle w:val="SidfotH"/>
      <w:framePr w:w="8732" w:h="284" w:hRule="exact" w:hSpace="0" w:vSpace="0" w:wrap="around" w:xAlign="inside" w:y="13042" w:anchorLock="0"/>
    </w:pP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3</w:t>
    </w:r>
    <w:r w:rsidRPr="000925A8">
      <w:fldChar w:fldCharType="end"/>
    </w:r>
  </w:p>
  <w:p w14:paraId="5F8636AB" w14:textId="77777777" w:rsidR="00241093" w:rsidRPr="000925A8" w:rsidRDefault="0024109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1785" w14:textId="77777777" w:rsidR="00241093" w:rsidRPr="000925A8" w:rsidRDefault="00241093">
    <w:pPr>
      <w:pStyle w:val="SidfotV"/>
      <w:framePr w:w="8732" w:h="284" w:hRule="exact" w:hSpace="0" w:vSpace="0" w:wrap="around" w:xAlign="inside" w:y="13042" w:anchorLock="0"/>
    </w:pPr>
    <w:r w:rsidRPr="000925A8">
      <w:fldChar w:fldCharType="begin" w:fldLock="1"/>
    </w:r>
    <w:r w:rsidRPr="000925A8">
      <w:instrText xml:space="preserve"> if </w:instrText>
    </w:r>
    <w:r w:rsidRPr="000925A8">
      <w:fldChar w:fldCharType="begin" w:fldLock="1"/>
    </w:r>
    <w:r w:rsidRPr="000925A8">
      <w:instrText xml:space="preserve"> = </w:instrText>
    </w:r>
    <w:r w:rsidRPr="000925A8">
      <w:fldChar w:fldCharType="begin" w:fldLock="1"/>
    </w:r>
    <w:r w:rsidRPr="000925A8">
      <w:instrText xml:space="preserve"> = </w:instrText>
    </w:r>
    <w:r w:rsidRPr="000925A8">
      <w:fldChar w:fldCharType="begin" w:fldLock="1"/>
    </w:r>
    <w:r w:rsidRPr="000925A8">
      <w:instrText xml:space="preserve"> page</w:instrText>
    </w:r>
    <w:r w:rsidRPr="000925A8">
      <w:fldChar w:fldCharType="separate"/>
    </w:r>
    <w:r w:rsidRPr="000925A8">
      <w:instrText>2</w:instrText>
    </w:r>
    <w:r w:rsidRPr="000925A8">
      <w:fldChar w:fldCharType="end"/>
    </w:r>
    <w:r w:rsidRPr="000925A8">
      <w:instrText xml:space="preserve">/2 </w:instrText>
    </w:r>
    <w:r w:rsidRPr="000925A8">
      <w:fldChar w:fldCharType="separate"/>
    </w:r>
    <w:r w:rsidRPr="000925A8">
      <w:instrText>1</w:instrText>
    </w:r>
    <w:r w:rsidRPr="000925A8">
      <w:fldChar w:fldCharType="end"/>
    </w:r>
    <w:r w:rsidRPr="000925A8">
      <w:instrText xml:space="preserve"> - </w:instrText>
    </w:r>
    <w:r w:rsidRPr="000925A8">
      <w:fldChar w:fldCharType="begin" w:fldLock="1"/>
    </w:r>
    <w:r w:rsidRPr="000925A8">
      <w:instrText xml:space="preserve"> = int(</w:instrText>
    </w:r>
    <w:r w:rsidRPr="000925A8">
      <w:fldChar w:fldCharType="begin" w:fldLock="1"/>
    </w:r>
    <w:r w:rsidRPr="000925A8">
      <w:instrText xml:space="preserve"> page</w:instrText>
    </w:r>
    <w:r w:rsidRPr="000925A8">
      <w:fldChar w:fldCharType="separate"/>
    </w:r>
    <w:r w:rsidRPr="000925A8">
      <w:instrText>2</w:instrText>
    </w:r>
    <w:r w:rsidRPr="000925A8">
      <w:fldChar w:fldCharType="end"/>
    </w:r>
    <w:r w:rsidRPr="000925A8">
      <w:instrText xml:space="preserve">/2) </w:instrText>
    </w:r>
    <w:r w:rsidRPr="000925A8">
      <w:fldChar w:fldCharType="separate"/>
    </w:r>
    <w:r w:rsidRPr="000925A8">
      <w:instrText>1</w:instrText>
    </w:r>
    <w:r w:rsidRPr="000925A8">
      <w:fldChar w:fldCharType="end"/>
    </w:r>
    <w:r w:rsidRPr="000925A8">
      <w:fldChar w:fldCharType="separate"/>
    </w:r>
    <w:r w:rsidRPr="000925A8">
      <w:instrText>0</w:instrText>
    </w:r>
    <w:r w:rsidRPr="000925A8">
      <w:fldChar w:fldCharType="end"/>
    </w:r>
    <w:r w:rsidRPr="000925A8">
      <w:instrText xml:space="preserve"> = 0 "</w:instrText>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instrText>2</w:instrText>
    </w:r>
    <w:r w:rsidRPr="000925A8">
      <w:fldChar w:fldCharType="end"/>
    </w:r>
  </w:p>
  <w:p w14:paraId="74501BA9" w14:textId="77777777" w:rsidR="00241093" w:rsidRPr="000925A8" w:rsidRDefault="00241093">
    <w:pPr>
      <w:pStyle w:val="SidfotV"/>
      <w:framePr w:w="8732" w:h="284" w:hRule="exact" w:hSpace="0" w:vSpace="0" w:wrap="around" w:xAlign="inside" w:y="13042" w:anchorLock="0"/>
    </w:pPr>
    <w:r w:rsidRPr="000925A8">
      <w:instrText>""</w:instrText>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instrText>3</w:instrText>
    </w:r>
    <w:r w:rsidRPr="000925A8">
      <w:fldChar w:fldCharType="end"/>
    </w:r>
    <w:r w:rsidRPr="000925A8">
      <w:instrText>"</w:instrText>
    </w:r>
    <w:r w:rsidRPr="000925A8">
      <w:fldChar w:fldCharType="separate"/>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2</w:t>
    </w:r>
    <w:r w:rsidRPr="000925A8">
      <w:fldChar w:fldCharType="end"/>
    </w:r>
  </w:p>
  <w:p w14:paraId="40421423" w14:textId="77777777" w:rsidR="00241093" w:rsidRPr="000925A8" w:rsidRDefault="00241093">
    <w:pPr>
      <w:pStyle w:val="SidfotH"/>
      <w:framePr w:w="8732" w:h="284" w:hRule="exact" w:hSpace="0" w:vSpace="0" w:wrap="around" w:xAlign="inside" w:y="13042" w:anchorLock="0"/>
    </w:pPr>
    <w:r w:rsidRPr="000925A8">
      <w:fldChar w:fldCharType="end"/>
    </w:r>
  </w:p>
  <w:p w14:paraId="420B525D" w14:textId="77777777" w:rsidR="00241093" w:rsidRPr="000925A8" w:rsidRDefault="0024109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A230" w14:textId="77777777" w:rsidR="00241093" w:rsidRPr="000925A8" w:rsidRDefault="00241093">
    <w:pPr>
      <w:pStyle w:val="SidfotV"/>
      <w:framePr w:w="8732" w:h="284" w:hRule="exact" w:hSpace="0" w:vSpace="0" w:wrap="around" w:xAlign="inside" w:y="13042" w:anchorLock="0"/>
    </w:pP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6</w:t>
    </w:r>
    <w:r w:rsidRPr="000925A8">
      <w:fldChar w:fldCharType="end"/>
    </w:r>
  </w:p>
  <w:p w14:paraId="3484F47D" w14:textId="77777777" w:rsidR="00241093" w:rsidRPr="000925A8" w:rsidRDefault="0024109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F46D" w14:textId="77777777" w:rsidR="00241093" w:rsidRPr="000925A8" w:rsidRDefault="00241093">
    <w:pPr>
      <w:pStyle w:val="SidfotH"/>
      <w:framePr w:w="8732" w:h="284" w:hRule="exact" w:hSpace="0" w:vSpace="0" w:wrap="around" w:xAlign="inside" w:y="13042" w:anchorLock="0"/>
    </w:pP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5</w:t>
    </w:r>
    <w:r w:rsidRPr="000925A8">
      <w:fldChar w:fldCharType="end"/>
    </w:r>
  </w:p>
  <w:p w14:paraId="1AEDC727" w14:textId="77777777" w:rsidR="00241093" w:rsidRPr="000925A8" w:rsidRDefault="0024109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4E35" w14:textId="77777777" w:rsidR="00241093" w:rsidRPr="000925A8" w:rsidRDefault="00241093">
    <w:pPr>
      <w:pStyle w:val="SidfotV"/>
      <w:framePr w:w="8732" w:h="284" w:hRule="exact" w:hSpace="0" w:vSpace="0" w:wrap="around" w:xAlign="inside" w:y="13042" w:anchorLock="0"/>
    </w:pPr>
    <w:r w:rsidRPr="000925A8">
      <w:fldChar w:fldCharType="begin" w:fldLock="1"/>
    </w:r>
    <w:r w:rsidRPr="000925A8">
      <w:instrText xml:space="preserve"> if </w:instrText>
    </w:r>
    <w:r w:rsidRPr="000925A8">
      <w:fldChar w:fldCharType="begin" w:fldLock="1"/>
    </w:r>
    <w:r w:rsidRPr="000925A8">
      <w:instrText xml:space="preserve"> = </w:instrText>
    </w:r>
    <w:r w:rsidRPr="000925A8">
      <w:fldChar w:fldCharType="begin" w:fldLock="1"/>
    </w:r>
    <w:r w:rsidRPr="000925A8">
      <w:instrText xml:space="preserve"> = </w:instrText>
    </w:r>
    <w:r w:rsidRPr="000925A8">
      <w:fldChar w:fldCharType="begin" w:fldLock="1"/>
    </w:r>
    <w:r w:rsidRPr="000925A8">
      <w:instrText xml:space="preserve"> page</w:instrText>
    </w:r>
    <w:r w:rsidRPr="000925A8">
      <w:fldChar w:fldCharType="separate"/>
    </w:r>
    <w:r w:rsidRPr="000925A8">
      <w:instrText>4</w:instrText>
    </w:r>
    <w:r w:rsidRPr="000925A8">
      <w:fldChar w:fldCharType="end"/>
    </w:r>
    <w:r w:rsidRPr="000925A8">
      <w:instrText xml:space="preserve">/2 </w:instrText>
    </w:r>
    <w:r w:rsidRPr="000925A8">
      <w:fldChar w:fldCharType="separate"/>
    </w:r>
    <w:r w:rsidRPr="000925A8">
      <w:instrText>2</w:instrText>
    </w:r>
    <w:r w:rsidRPr="000925A8">
      <w:fldChar w:fldCharType="end"/>
    </w:r>
    <w:r w:rsidRPr="000925A8">
      <w:instrText xml:space="preserve"> - </w:instrText>
    </w:r>
    <w:r w:rsidRPr="000925A8">
      <w:fldChar w:fldCharType="begin" w:fldLock="1"/>
    </w:r>
    <w:r w:rsidRPr="000925A8">
      <w:instrText xml:space="preserve"> = int(</w:instrText>
    </w:r>
    <w:r w:rsidRPr="000925A8">
      <w:fldChar w:fldCharType="begin" w:fldLock="1"/>
    </w:r>
    <w:r w:rsidRPr="000925A8">
      <w:instrText xml:space="preserve"> page</w:instrText>
    </w:r>
    <w:r w:rsidRPr="000925A8">
      <w:fldChar w:fldCharType="separate"/>
    </w:r>
    <w:r w:rsidRPr="000925A8">
      <w:instrText>4</w:instrText>
    </w:r>
    <w:r w:rsidRPr="000925A8">
      <w:fldChar w:fldCharType="end"/>
    </w:r>
    <w:r w:rsidRPr="000925A8">
      <w:instrText xml:space="preserve">/2) </w:instrText>
    </w:r>
    <w:r w:rsidRPr="000925A8">
      <w:fldChar w:fldCharType="separate"/>
    </w:r>
    <w:r w:rsidRPr="000925A8">
      <w:instrText>2</w:instrText>
    </w:r>
    <w:r w:rsidRPr="000925A8">
      <w:fldChar w:fldCharType="end"/>
    </w:r>
    <w:r w:rsidRPr="000925A8">
      <w:fldChar w:fldCharType="separate"/>
    </w:r>
    <w:r w:rsidRPr="000925A8">
      <w:instrText>0</w:instrText>
    </w:r>
    <w:r w:rsidRPr="000925A8">
      <w:fldChar w:fldCharType="end"/>
    </w:r>
    <w:r w:rsidRPr="000925A8">
      <w:instrText xml:space="preserve"> = 0 "</w:instrText>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instrText>4</w:instrText>
    </w:r>
    <w:r w:rsidRPr="000925A8">
      <w:fldChar w:fldCharType="end"/>
    </w:r>
  </w:p>
  <w:p w14:paraId="7E700704" w14:textId="77777777" w:rsidR="00241093" w:rsidRPr="000925A8" w:rsidRDefault="00241093">
    <w:pPr>
      <w:pStyle w:val="SidfotV"/>
      <w:framePr w:w="8732" w:h="284" w:hRule="exact" w:hSpace="0" w:vSpace="0" w:wrap="around" w:xAlign="inside" w:y="13042" w:anchorLock="0"/>
    </w:pPr>
    <w:r w:rsidRPr="000925A8">
      <w:instrText>""</w:instrText>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instrText>5</w:instrText>
    </w:r>
    <w:r w:rsidRPr="000925A8">
      <w:fldChar w:fldCharType="end"/>
    </w:r>
    <w:r w:rsidRPr="000925A8">
      <w:instrText>"</w:instrText>
    </w:r>
    <w:r w:rsidRPr="000925A8">
      <w:fldChar w:fldCharType="separate"/>
    </w:r>
    <w:r w:rsidRPr="000925A8">
      <w:fldChar w:fldCharType="begin" w:fldLock="1"/>
    </w:r>
    <w:r w:rsidRPr="000925A8">
      <w:instrText xml:space="preserve"> P</w:instrText>
    </w:r>
    <w:r w:rsidRPr="000925A8">
      <w:instrText>A</w:instrText>
    </w:r>
    <w:r w:rsidRPr="000925A8">
      <w:instrText xml:space="preserve">GE </w:instrText>
    </w:r>
    <w:r w:rsidRPr="000925A8">
      <w:fldChar w:fldCharType="separate"/>
    </w:r>
    <w:r w:rsidRPr="000925A8">
      <w:t>4</w:t>
    </w:r>
    <w:r w:rsidRPr="000925A8">
      <w:fldChar w:fldCharType="end"/>
    </w:r>
  </w:p>
  <w:p w14:paraId="2ACA1466" w14:textId="77777777" w:rsidR="00241093" w:rsidRPr="000925A8" w:rsidRDefault="00241093">
    <w:pPr>
      <w:pStyle w:val="SidfotH"/>
      <w:framePr w:w="8732" w:h="284" w:hRule="exact" w:hSpace="0" w:vSpace="0" w:wrap="around" w:xAlign="inside" w:y="13042" w:anchorLock="0"/>
    </w:pPr>
    <w:r w:rsidRPr="000925A8">
      <w:fldChar w:fldCharType="end"/>
    </w:r>
  </w:p>
  <w:p w14:paraId="257D4EEB" w14:textId="77777777" w:rsidR="00241093" w:rsidRPr="000925A8" w:rsidRDefault="002410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AB84C" w14:textId="77777777" w:rsidR="00241093" w:rsidRPr="000925A8" w:rsidRDefault="00241093">
      <w:pPr>
        <w:pStyle w:val="Sidfot"/>
      </w:pPr>
    </w:p>
  </w:footnote>
  <w:footnote w:type="continuationSeparator" w:id="0">
    <w:p w14:paraId="16A17B96" w14:textId="77777777" w:rsidR="00241093" w:rsidRPr="000925A8" w:rsidRDefault="00241093">
      <w:pPr>
        <w:spacing w:before="0" w:line="240" w:lineRule="auto"/>
      </w:pPr>
      <w:r w:rsidRPr="000925A8">
        <w:continuationSeparator/>
      </w:r>
    </w:p>
  </w:footnote>
  <w:footnote w:id="1">
    <w:p w14:paraId="77E863E9" w14:textId="77777777" w:rsidR="00241093" w:rsidRPr="000925A8" w:rsidRDefault="00241093">
      <w:pPr>
        <w:pStyle w:val="Fotnotstext"/>
      </w:pPr>
      <w:r w:rsidRPr="000925A8">
        <w:rPr>
          <w:rStyle w:val="Fotnotsreferens"/>
        </w:rPr>
        <w:footnoteRef/>
      </w:r>
      <w:r w:rsidRPr="000925A8">
        <w:t xml:space="preserve"> Exempel på sådana områden är Öresundsregionen, Strömstad–Halden-området och Haparanda–To</w:t>
      </w:r>
      <w:r w:rsidRPr="000925A8">
        <w:t>r</w:t>
      </w:r>
      <w:r w:rsidRPr="000925A8">
        <w:t>nio-området.</w:t>
      </w:r>
    </w:p>
  </w:footnote>
  <w:footnote w:id="2">
    <w:p w14:paraId="294DCA79" w14:textId="77777777" w:rsidR="00241093" w:rsidRPr="000925A8" w:rsidRDefault="00241093">
      <w:pPr>
        <w:pStyle w:val="Fotnotstext"/>
      </w:pPr>
      <w:r w:rsidRPr="000925A8">
        <w:rPr>
          <w:rStyle w:val="Fotnotsreferens"/>
        </w:rPr>
        <w:footnoteRef/>
      </w:r>
      <w:r w:rsidRPr="000925A8">
        <w:t xml:space="preserve"> 1 § Förordning (1997:1258) med länsstyrelseinstruktion</w:t>
      </w:r>
      <w:r w:rsidRPr="000925A8">
        <w:rPr>
          <w:rFonts w:eastAsia="MS Mincho"/>
        </w:rPr>
        <w:t>. Detta gäller i den mån inte någon annan myndighet har ansvaret för särskilda förval</w:t>
      </w:r>
      <w:r w:rsidRPr="000925A8">
        <w:rPr>
          <w:rFonts w:eastAsia="MS Mincho"/>
        </w:rPr>
        <w:t>t</w:t>
      </w:r>
      <w:r w:rsidRPr="000925A8">
        <w:rPr>
          <w:rFonts w:eastAsia="MS Mincho"/>
        </w:rPr>
        <w:t>ningsuppgifter.</w:t>
      </w:r>
    </w:p>
  </w:footnote>
  <w:footnote w:id="3">
    <w:p w14:paraId="285D3BEE" w14:textId="77777777" w:rsidR="00241093" w:rsidRPr="000925A8" w:rsidRDefault="00241093">
      <w:pPr>
        <w:pStyle w:val="Fotnotstext"/>
      </w:pPr>
      <w:r w:rsidRPr="000925A8">
        <w:rPr>
          <w:rStyle w:val="Fotnotsreferens"/>
        </w:rPr>
        <w:footnoteRef/>
      </w:r>
      <w:r w:rsidRPr="000925A8">
        <w:t xml:space="preserve"> 2 § Förordning (1997:1258) med länsstyrelseinstruktion.</w:t>
      </w:r>
    </w:p>
  </w:footnote>
  <w:footnote w:id="4">
    <w:p w14:paraId="1BD0E73D" w14:textId="77777777" w:rsidR="00241093" w:rsidRPr="000925A8" w:rsidRDefault="00241093">
      <w:pPr>
        <w:pStyle w:val="Fotnotstext"/>
      </w:pPr>
      <w:r w:rsidRPr="000925A8">
        <w:rPr>
          <w:rStyle w:val="Fotnotsreferens"/>
        </w:rPr>
        <w:footnoteRef/>
      </w:r>
      <w:r w:rsidRPr="000925A8">
        <w:t xml:space="preserve"> Prop. 2001/02:7.</w:t>
      </w:r>
    </w:p>
  </w:footnote>
  <w:footnote w:id="5">
    <w:p w14:paraId="3843D777" w14:textId="77777777" w:rsidR="00241093" w:rsidRPr="000925A8" w:rsidRDefault="00241093">
      <w:pPr>
        <w:pStyle w:val="Fotnotstext"/>
      </w:pPr>
      <w:r w:rsidRPr="000925A8">
        <w:rPr>
          <w:rStyle w:val="Fotnotsreferens"/>
        </w:rPr>
        <w:footnoteRef/>
      </w:r>
      <w:r w:rsidRPr="000925A8">
        <w:t xml:space="preserve"> SOU 2000:85, s. 188.</w:t>
      </w:r>
    </w:p>
  </w:footnote>
  <w:footnote w:id="6">
    <w:p w14:paraId="1DADD4F0" w14:textId="77777777" w:rsidR="00241093" w:rsidRPr="000925A8" w:rsidRDefault="00241093">
      <w:pPr>
        <w:pStyle w:val="Fotnotstext"/>
      </w:pPr>
      <w:r w:rsidRPr="000925A8">
        <w:rPr>
          <w:rStyle w:val="Fotnotsreferens"/>
        </w:rPr>
        <w:footnoteRef/>
      </w:r>
      <w:r w:rsidRPr="000925A8">
        <w:t xml:space="preserve"> Se bl.a. Region Skåne, planering och miljö, </w:t>
      </w:r>
      <w:r w:rsidRPr="000925A8">
        <w:rPr>
          <w:i/>
        </w:rPr>
        <w:t>Dialog med de skånska kommunerna kring regionala planerings- och miljöfrågor – sammanställning av kommunbesöken 1999</w:t>
      </w:r>
      <w:r w:rsidRPr="000925A8">
        <w:t>, 2000-05-09.</w:t>
      </w:r>
    </w:p>
  </w:footnote>
  <w:footnote w:id="7">
    <w:p w14:paraId="30CEB376" w14:textId="77777777" w:rsidR="00241093" w:rsidRPr="000925A8" w:rsidRDefault="00241093">
      <w:pPr>
        <w:pStyle w:val="Fotnotstext"/>
      </w:pPr>
      <w:r w:rsidRPr="000925A8">
        <w:rPr>
          <w:rStyle w:val="Fotnotsreferens"/>
        </w:rPr>
        <w:footnoteRef/>
      </w:r>
      <w:r w:rsidRPr="000925A8">
        <w:t xml:space="preserve"> SOU 2000:85, s. 309 f.</w:t>
      </w:r>
    </w:p>
  </w:footnote>
  <w:footnote w:id="8">
    <w:p w14:paraId="04C77928" w14:textId="77777777" w:rsidR="00241093" w:rsidRPr="000925A8" w:rsidRDefault="00241093">
      <w:pPr>
        <w:pStyle w:val="Fotnotstext"/>
      </w:pPr>
      <w:r w:rsidRPr="000925A8">
        <w:rPr>
          <w:rStyle w:val="Fotnotsreferens"/>
        </w:rPr>
        <w:footnoteRef/>
      </w:r>
      <w:r w:rsidRPr="000925A8">
        <w:t xml:space="preserve"> SOU 2000:85, s. 361.</w:t>
      </w:r>
    </w:p>
  </w:footnote>
  <w:footnote w:id="9">
    <w:p w14:paraId="737FAB5A" w14:textId="77777777" w:rsidR="00241093" w:rsidRPr="000925A8" w:rsidRDefault="00241093">
      <w:pPr>
        <w:pStyle w:val="Fotnotstext"/>
      </w:pPr>
      <w:r w:rsidRPr="000925A8">
        <w:rPr>
          <w:rStyle w:val="Fotnotsreferens"/>
        </w:rPr>
        <w:footnoteRef/>
      </w:r>
      <w:r w:rsidRPr="000925A8">
        <w:t xml:space="preserve"> Prop. 2001/02:7, bet. 2001/02:KU7.</w:t>
      </w:r>
    </w:p>
  </w:footnote>
  <w:footnote w:id="10">
    <w:p w14:paraId="03DD81E7" w14:textId="77777777" w:rsidR="00241093" w:rsidRPr="000925A8" w:rsidRDefault="00241093">
      <w:pPr>
        <w:pStyle w:val="Fotnotstext"/>
      </w:pPr>
      <w:r w:rsidRPr="000925A8">
        <w:rPr>
          <w:rStyle w:val="Fotnotsreferens"/>
        </w:rPr>
        <w:footnoteRef/>
      </w:r>
      <w:r w:rsidRPr="000925A8">
        <w:t xml:space="preserve"> Prop. 2001/02:7, s. 44. </w:t>
      </w:r>
      <w:r w:rsidRPr="000925A8">
        <w:rPr>
          <w:spacing w:val="-3"/>
          <w:kern w:val="1"/>
        </w:rPr>
        <w:t>Ett kommunalförbund får utgöra sådant samverkans</w:t>
      </w:r>
      <w:r w:rsidRPr="000925A8">
        <w:rPr>
          <w:spacing w:val="-3"/>
          <w:kern w:val="1"/>
        </w:rPr>
        <w:softHyphen/>
        <w:t>organ. Förutsättningen är att kommunalförbundet som med</w:t>
      </w:r>
      <w:r w:rsidRPr="000925A8">
        <w:rPr>
          <w:spacing w:val="-3"/>
          <w:kern w:val="1"/>
        </w:rPr>
        <w:softHyphen/>
        <w:t>lemmar har samtliga kommuner i länet.</w:t>
      </w:r>
    </w:p>
  </w:footnote>
  <w:footnote w:id="11">
    <w:p w14:paraId="63CD251A" w14:textId="77777777" w:rsidR="00241093" w:rsidRPr="000925A8" w:rsidRDefault="00241093">
      <w:pPr>
        <w:pStyle w:val="Fotnotstext"/>
      </w:pPr>
      <w:r w:rsidRPr="000925A8">
        <w:rPr>
          <w:rStyle w:val="Fotnotsreferens"/>
        </w:rPr>
        <w:footnoteRef/>
      </w:r>
      <w:r w:rsidRPr="000925A8">
        <w:t xml:space="preserve"> Prop. 2001/02:7, s. 56.</w:t>
      </w:r>
    </w:p>
  </w:footnote>
  <w:footnote w:id="12">
    <w:p w14:paraId="50153A66" w14:textId="77777777" w:rsidR="00241093" w:rsidRPr="000925A8" w:rsidRDefault="00241093">
      <w:pPr>
        <w:pStyle w:val="Fotnotstext"/>
      </w:pPr>
      <w:r w:rsidRPr="000925A8">
        <w:rPr>
          <w:rStyle w:val="Fotnotsreferens"/>
        </w:rPr>
        <w:footnoteRef/>
      </w:r>
      <w:r w:rsidRPr="000925A8">
        <w:t xml:space="preserve"> Prop. 2001/02:7, s. 59.</w:t>
      </w:r>
    </w:p>
  </w:footnote>
  <w:footnote w:id="13">
    <w:p w14:paraId="596E40BB" w14:textId="77777777" w:rsidR="00241093" w:rsidRPr="000925A8" w:rsidRDefault="00241093">
      <w:pPr>
        <w:pStyle w:val="Fotnotstext"/>
      </w:pPr>
      <w:r w:rsidRPr="000925A8">
        <w:rPr>
          <w:rStyle w:val="Fotnotsreferens"/>
        </w:rPr>
        <w:footnoteRef/>
      </w:r>
      <w:r w:rsidRPr="000925A8">
        <w:t xml:space="preserve"> Prop. 2001/02:7, s. 57.</w:t>
      </w:r>
    </w:p>
  </w:footnote>
  <w:footnote w:id="14">
    <w:p w14:paraId="75B6326D" w14:textId="77777777" w:rsidR="00241093" w:rsidRPr="000925A8" w:rsidRDefault="00241093">
      <w:pPr>
        <w:pStyle w:val="Fotnotstext"/>
      </w:pPr>
      <w:r w:rsidRPr="000925A8">
        <w:rPr>
          <w:rStyle w:val="Fotnotsreferens"/>
        </w:rPr>
        <w:footnoteRef/>
      </w:r>
      <w:r w:rsidRPr="000925A8">
        <w:t xml:space="preserve"> Prop. 2001/02:4.</w:t>
      </w:r>
    </w:p>
  </w:footnote>
  <w:footnote w:id="15">
    <w:p w14:paraId="69B98066" w14:textId="77777777" w:rsidR="00241093" w:rsidRPr="000925A8" w:rsidRDefault="00241093">
      <w:pPr>
        <w:pStyle w:val="Fotnotstext"/>
      </w:pPr>
      <w:r w:rsidRPr="000925A8">
        <w:rPr>
          <w:rStyle w:val="Fotnotsreferens"/>
        </w:rPr>
        <w:footnoteRef/>
      </w:r>
      <w:r w:rsidRPr="000925A8">
        <w:t xml:space="preserve"> Boverket, </w:t>
      </w:r>
      <w:r w:rsidRPr="000925A8">
        <w:rPr>
          <w:i/>
        </w:rPr>
        <w:t xml:space="preserve">Boken om översiktsplan – Del II Översiktsplanen i lagstiftningen, </w:t>
      </w:r>
      <w:r w:rsidRPr="000925A8">
        <w:t>1996, s. 163.</w:t>
      </w:r>
    </w:p>
  </w:footnote>
  <w:footnote w:id="16">
    <w:p w14:paraId="0C7FAC30" w14:textId="77777777" w:rsidR="00241093" w:rsidRPr="000925A8" w:rsidRDefault="00241093">
      <w:pPr>
        <w:pStyle w:val="Fotnotstext"/>
      </w:pPr>
      <w:r w:rsidRPr="000925A8">
        <w:rPr>
          <w:rStyle w:val="Fotnotsreferens"/>
        </w:rPr>
        <w:footnoteRef/>
      </w:r>
      <w:r w:rsidRPr="000925A8">
        <w:t xml:space="preserve"> Prop. 1985/86:1, s. 77 och 139. Enligt 6 kap. 12 § miljöbalken är länsstyrelserna också skyldiga att sammanställa utredningar, program och annat planeringsunderlag som har betydelse för hushållningen med mark och vatten i länet.</w:t>
      </w:r>
    </w:p>
  </w:footnote>
  <w:footnote w:id="17">
    <w:p w14:paraId="18FD6CD4" w14:textId="77777777" w:rsidR="00241093" w:rsidRPr="000925A8" w:rsidRDefault="00241093">
      <w:pPr>
        <w:pStyle w:val="Fotnotstext"/>
      </w:pPr>
      <w:r w:rsidRPr="000925A8">
        <w:rPr>
          <w:rStyle w:val="Fotnotsreferens"/>
        </w:rPr>
        <w:footnoteRef/>
      </w:r>
      <w:r w:rsidRPr="000925A8">
        <w:t xml:space="preserve"> Länsstyrelsen i Skåne län, </w:t>
      </w:r>
      <w:r w:rsidRPr="000925A8">
        <w:rPr>
          <w:i/>
        </w:rPr>
        <w:t>En regional överblick – Kartläggning och analys av regionala frågor</w:t>
      </w:r>
      <w:r w:rsidRPr="000925A8">
        <w:t>, 2001, s. 9 ff.</w:t>
      </w:r>
    </w:p>
  </w:footnote>
  <w:footnote w:id="18">
    <w:p w14:paraId="4D44CE1E" w14:textId="77777777" w:rsidR="00241093" w:rsidRPr="000925A8" w:rsidRDefault="00241093">
      <w:pPr>
        <w:pStyle w:val="Fotnotstext"/>
      </w:pPr>
      <w:r w:rsidRPr="000925A8">
        <w:rPr>
          <w:rStyle w:val="Fotnotsreferens"/>
        </w:rPr>
        <w:footnoteRef/>
      </w:r>
      <w:r w:rsidRPr="000925A8">
        <w:t xml:space="preserve"> Om regionplanering enligt PBL förekommer har länsstyrelsen rollen som granskare och inte rollen som mellankommunal samordnare. Den rollen övertas av regionplan</w:t>
      </w:r>
      <w:r w:rsidRPr="000925A8">
        <w:t>e</w:t>
      </w:r>
      <w:r w:rsidRPr="000925A8">
        <w:t>organet.</w:t>
      </w:r>
    </w:p>
  </w:footnote>
  <w:footnote w:id="19">
    <w:p w14:paraId="63A42B37" w14:textId="77777777" w:rsidR="00241093" w:rsidRPr="000925A8" w:rsidRDefault="00241093">
      <w:pPr>
        <w:pStyle w:val="Fotnotstext"/>
      </w:pPr>
      <w:r w:rsidRPr="000925A8">
        <w:rPr>
          <w:rStyle w:val="Fotnotsreferens"/>
        </w:rPr>
        <w:footnoteRef/>
      </w:r>
      <w:r w:rsidRPr="000925A8">
        <w:t xml:space="preserve"> Behovet av tydlighet underströks bl.a. av att när Länsstyrelsen i Skåne arbetade med att sammanställa den här refererade rapporten framförde några kommuner synpunkter på arbetsfördelningen mellan länsstyrelsen och Region Skåne. Man menade bl.a. att analyser av regional karaktär mer är ett arbete för Region Skåne. Länsstyrelsen ko</w:t>
      </w:r>
      <w:r w:rsidRPr="000925A8">
        <w:t>n</w:t>
      </w:r>
      <w:r w:rsidRPr="000925A8">
        <w:t>staterade att det är oklart vilka frågor som är länsstyrelsens respektive Region Skånes a</w:t>
      </w:r>
      <w:r w:rsidRPr="000925A8">
        <w:t>n</w:t>
      </w:r>
      <w:r w:rsidRPr="000925A8">
        <w:t>svar.</w:t>
      </w:r>
    </w:p>
  </w:footnote>
  <w:footnote w:id="20">
    <w:p w14:paraId="2C1AC069" w14:textId="77777777" w:rsidR="00241093" w:rsidRPr="000925A8" w:rsidRDefault="00241093">
      <w:pPr>
        <w:pStyle w:val="Fotnotstext"/>
      </w:pPr>
      <w:r w:rsidRPr="000925A8">
        <w:rPr>
          <w:rStyle w:val="Fotnotsreferens"/>
        </w:rPr>
        <w:footnoteRef/>
      </w:r>
      <w:r w:rsidRPr="000925A8">
        <w:t xml:space="preserve"> 4 kap. 1 § och 2 kap. 2 § första stycket tredje meningen PBL.</w:t>
      </w:r>
    </w:p>
  </w:footnote>
  <w:footnote w:id="21">
    <w:p w14:paraId="19545769" w14:textId="77777777" w:rsidR="00241093" w:rsidRPr="000925A8" w:rsidRDefault="00241093">
      <w:pPr>
        <w:pStyle w:val="Fotnotstext"/>
      </w:pPr>
      <w:r w:rsidRPr="000925A8">
        <w:rPr>
          <w:rStyle w:val="Fotnotsreferens"/>
        </w:rPr>
        <w:footnoteRef/>
      </w:r>
      <w:r w:rsidRPr="000925A8">
        <w:t xml:space="preserve"> 2 kap. 8 § PBL.</w:t>
      </w:r>
    </w:p>
  </w:footnote>
  <w:footnote w:id="22">
    <w:p w14:paraId="53AA13C3" w14:textId="77777777" w:rsidR="00241093" w:rsidRPr="000925A8" w:rsidRDefault="00241093">
      <w:pPr>
        <w:pStyle w:val="Fotnotstext"/>
      </w:pPr>
      <w:r w:rsidRPr="000925A8">
        <w:rPr>
          <w:rStyle w:val="Fotnotsreferens"/>
        </w:rPr>
        <w:footnoteRef/>
      </w:r>
      <w:r w:rsidRPr="000925A8">
        <w:t xml:space="preserve"> Prop. 1985/86:1, s. 467.</w:t>
      </w:r>
    </w:p>
  </w:footnote>
  <w:footnote w:id="23">
    <w:p w14:paraId="3EC4F7A8" w14:textId="77777777" w:rsidR="00241093" w:rsidRPr="000925A8" w:rsidRDefault="00241093">
      <w:pPr>
        <w:pStyle w:val="Fotnotstext"/>
      </w:pPr>
      <w:r w:rsidRPr="000925A8">
        <w:rPr>
          <w:rStyle w:val="Fotnotsreferens"/>
        </w:rPr>
        <w:footnoteRef/>
      </w:r>
      <w:r w:rsidRPr="000925A8">
        <w:t xml:space="preserve"> Prop. 1985/86:1, s. 138 och 140 f.</w:t>
      </w:r>
    </w:p>
  </w:footnote>
  <w:footnote w:id="24">
    <w:p w14:paraId="255DBD60" w14:textId="77777777" w:rsidR="00241093" w:rsidRPr="000925A8" w:rsidRDefault="00241093">
      <w:pPr>
        <w:pStyle w:val="Fotnotstext"/>
      </w:pPr>
      <w:r w:rsidRPr="000925A8">
        <w:rPr>
          <w:rStyle w:val="Fotnotsreferens"/>
        </w:rPr>
        <w:footnoteRef/>
      </w:r>
      <w:r w:rsidRPr="000925A8">
        <w:t xml:space="preserve"> 4 kap. 3 och 4 §§ PBL.</w:t>
      </w:r>
    </w:p>
  </w:footnote>
  <w:footnote w:id="25">
    <w:p w14:paraId="1836E172" w14:textId="77777777" w:rsidR="00241093" w:rsidRPr="000925A8" w:rsidRDefault="00241093">
      <w:pPr>
        <w:pStyle w:val="Fotnotstext"/>
      </w:pPr>
      <w:r w:rsidRPr="000925A8">
        <w:rPr>
          <w:rStyle w:val="Fotnotsreferens"/>
        </w:rPr>
        <w:footnoteRef/>
      </w:r>
      <w:r w:rsidRPr="000925A8">
        <w:t xml:space="preserve"> 4 kap. 5 § 2 PBL.</w:t>
      </w:r>
    </w:p>
  </w:footnote>
  <w:footnote w:id="26">
    <w:p w14:paraId="0C739687" w14:textId="77777777" w:rsidR="00241093" w:rsidRPr="000925A8" w:rsidRDefault="00241093">
      <w:pPr>
        <w:pStyle w:val="Fotnotstext"/>
      </w:pPr>
      <w:r w:rsidRPr="000925A8">
        <w:rPr>
          <w:rStyle w:val="Fotnotsreferens"/>
        </w:rPr>
        <w:footnoteRef/>
      </w:r>
      <w:r w:rsidRPr="000925A8">
        <w:t xml:space="preserve"> Prop. 1985/86:1, s. 138.</w:t>
      </w:r>
    </w:p>
  </w:footnote>
  <w:footnote w:id="27">
    <w:p w14:paraId="496270CA" w14:textId="77777777" w:rsidR="00241093" w:rsidRPr="000925A8" w:rsidRDefault="00241093">
      <w:pPr>
        <w:pStyle w:val="Fotnotstext"/>
      </w:pPr>
      <w:r w:rsidRPr="000925A8">
        <w:rPr>
          <w:rStyle w:val="Fotnotsreferens"/>
        </w:rPr>
        <w:footnoteRef/>
      </w:r>
      <w:r w:rsidRPr="000925A8">
        <w:t xml:space="preserve"> 4 kap. 5 § 1 PBL.</w:t>
      </w:r>
    </w:p>
  </w:footnote>
  <w:footnote w:id="28">
    <w:p w14:paraId="608DD49D" w14:textId="77777777" w:rsidR="00241093" w:rsidRPr="000925A8" w:rsidRDefault="00241093">
      <w:pPr>
        <w:pStyle w:val="Fotnotstext"/>
      </w:pPr>
      <w:r w:rsidRPr="000925A8">
        <w:rPr>
          <w:rStyle w:val="Fotnotsreferens"/>
        </w:rPr>
        <w:footnoteRef/>
      </w:r>
      <w:r w:rsidRPr="000925A8">
        <w:t xml:space="preserve"> Prop. 1985/86:1, s. 141.</w:t>
      </w:r>
    </w:p>
  </w:footnote>
  <w:footnote w:id="29">
    <w:p w14:paraId="3C228611" w14:textId="77777777" w:rsidR="00241093" w:rsidRPr="000925A8" w:rsidRDefault="00241093">
      <w:pPr>
        <w:pStyle w:val="Fotnotstext"/>
      </w:pPr>
      <w:r w:rsidRPr="000925A8">
        <w:rPr>
          <w:rStyle w:val="Fotnotsreferens"/>
        </w:rPr>
        <w:footnoteRef/>
      </w:r>
      <w:r w:rsidRPr="000925A8">
        <w:t xml:space="preserve"> Länsstyrelsen i Blekinge län, </w:t>
      </w:r>
      <w:r w:rsidRPr="000925A8">
        <w:rPr>
          <w:i/>
        </w:rPr>
        <w:t>samråd om förslag till översiktsplan för Karlskrona kommun – Karl</w:t>
      </w:r>
      <w:r w:rsidRPr="000925A8">
        <w:rPr>
          <w:i/>
        </w:rPr>
        <w:t>s</w:t>
      </w:r>
      <w:r w:rsidRPr="000925A8">
        <w:rPr>
          <w:i/>
        </w:rPr>
        <w:t>krona.se, Blekinge län</w:t>
      </w:r>
      <w:r w:rsidRPr="000925A8">
        <w:t>, 2001-09-03.</w:t>
      </w:r>
    </w:p>
  </w:footnote>
  <w:footnote w:id="30">
    <w:p w14:paraId="137E1DC2" w14:textId="77777777" w:rsidR="00241093" w:rsidRPr="000925A8" w:rsidRDefault="00241093">
      <w:pPr>
        <w:pStyle w:val="Fotnotstext"/>
      </w:pPr>
      <w:r w:rsidRPr="000925A8">
        <w:rPr>
          <w:rStyle w:val="Fotnotsreferens"/>
        </w:rPr>
        <w:footnoteRef/>
      </w:r>
      <w:r w:rsidRPr="000925A8">
        <w:t xml:space="preserve"> Länsstyrelsen i Västra Götalands län, </w:t>
      </w:r>
      <w:r w:rsidRPr="000925A8">
        <w:rPr>
          <w:i/>
        </w:rPr>
        <w:t>Program för kollektivtrafikprojektet Kringen, delen Folkungabron–Skånegatan, Göteborgs kommun – Samrådshandling december 1997</w:t>
      </w:r>
      <w:r w:rsidRPr="000925A8">
        <w:t>, 1999-03-01.</w:t>
      </w:r>
    </w:p>
  </w:footnote>
  <w:footnote w:id="31">
    <w:p w14:paraId="68485E4F" w14:textId="77777777" w:rsidR="00241093" w:rsidRPr="000925A8" w:rsidRDefault="00241093">
      <w:pPr>
        <w:pStyle w:val="Fotnotstext"/>
      </w:pPr>
      <w:r w:rsidRPr="000925A8">
        <w:rPr>
          <w:rStyle w:val="Fotnotsreferens"/>
        </w:rPr>
        <w:footnoteRef/>
      </w:r>
      <w:r w:rsidRPr="000925A8">
        <w:t xml:space="preserve"> 4 kap. 9 § PBL.</w:t>
      </w:r>
    </w:p>
  </w:footnote>
  <w:footnote w:id="32">
    <w:p w14:paraId="3B56FDCD" w14:textId="77777777" w:rsidR="00241093" w:rsidRPr="000925A8" w:rsidRDefault="00241093">
      <w:pPr>
        <w:pStyle w:val="Fotnotstext"/>
      </w:pPr>
      <w:r w:rsidRPr="000925A8">
        <w:rPr>
          <w:rStyle w:val="Fotnotsreferens"/>
        </w:rPr>
        <w:footnoteRef/>
      </w:r>
      <w:r w:rsidRPr="000925A8">
        <w:t xml:space="preserve"> Boverket, </w:t>
      </w:r>
      <w:r w:rsidRPr="000925A8">
        <w:rPr>
          <w:i/>
        </w:rPr>
        <w:t>Erfarenheter av översiktsplanearbetet – Huvudrapport juni –92</w:t>
      </w:r>
      <w:r w:rsidRPr="000925A8">
        <w:t>, 1992, s. 10 ff.</w:t>
      </w:r>
    </w:p>
  </w:footnote>
  <w:footnote w:id="33">
    <w:p w14:paraId="13537A0A" w14:textId="77777777" w:rsidR="00241093" w:rsidRPr="000925A8" w:rsidRDefault="00241093">
      <w:pPr>
        <w:pStyle w:val="Fotnotstext"/>
      </w:pPr>
      <w:r w:rsidRPr="000925A8">
        <w:rPr>
          <w:rStyle w:val="Fotnotsreferens"/>
        </w:rPr>
        <w:footnoteRef/>
      </w:r>
      <w:r w:rsidRPr="000925A8">
        <w:t xml:space="preserve"> Boverket, </w:t>
      </w:r>
      <w:r w:rsidRPr="000925A8">
        <w:rPr>
          <w:i/>
        </w:rPr>
        <w:t>Erfarenheter av översiktsplanearbetet – Huvudrapport juni –92</w:t>
      </w:r>
      <w:r w:rsidRPr="000925A8">
        <w:t>, 1992, s. 14 f.</w:t>
      </w:r>
    </w:p>
  </w:footnote>
  <w:footnote w:id="34">
    <w:p w14:paraId="047D9FF0" w14:textId="77777777" w:rsidR="00241093" w:rsidRPr="000925A8" w:rsidRDefault="00241093">
      <w:pPr>
        <w:pStyle w:val="Fotnotstext"/>
      </w:pPr>
      <w:r w:rsidRPr="000925A8">
        <w:rPr>
          <w:rStyle w:val="Fotnotsreferens"/>
        </w:rPr>
        <w:footnoteRef/>
      </w:r>
      <w:r w:rsidRPr="000925A8">
        <w:t xml:space="preserve"> Boverket, </w:t>
      </w:r>
      <w:r w:rsidRPr="000925A8">
        <w:rPr>
          <w:i/>
        </w:rPr>
        <w:t>Mellankommunala frågor i kommunal planering – redovisning av exempel och komment</w:t>
      </w:r>
      <w:r w:rsidRPr="000925A8">
        <w:rPr>
          <w:i/>
        </w:rPr>
        <w:t>a</w:t>
      </w:r>
      <w:r w:rsidRPr="000925A8">
        <w:rPr>
          <w:i/>
        </w:rPr>
        <w:t>rer</w:t>
      </w:r>
      <w:r w:rsidRPr="000925A8">
        <w:t>, PBL/NRL-underlag nr 38, 1992.</w:t>
      </w:r>
    </w:p>
  </w:footnote>
  <w:footnote w:id="35">
    <w:p w14:paraId="626D668B" w14:textId="77777777" w:rsidR="00241093" w:rsidRPr="000925A8" w:rsidRDefault="00241093">
      <w:pPr>
        <w:pStyle w:val="Fotnotstext"/>
      </w:pPr>
      <w:r w:rsidRPr="000925A8">
        <w:rPr>
          <w:rStyle w:val="Fotnotsreferens"/>
        </w:rPr>
        <w:footnoteRef/>
      </w:r>
      <w:r w:rsidRPr="000925A8">
        <w:t xml:space="preserve"> Länsstyrelsen i Skåne län, </w:t>
      </w:r>
      <w:r w:rsidRPr="000925A8">
        <w:rPr>
          <w:i/>
        </w:rPr>
        <w:t>En regional överblick – Kartläggning och analys av regionala frågor</w:t>
      </w:r>
      <w:r w:rsidRPr="000925A8">
        <w:t>, 2001, s. 16.</w:t>
      </w:r>
    </w:p>
  </w:footnote>
  <w:footnote w:id="36">
    <w:p w14:paraId="1A03D0B8" w14:textId="77777777" w:rsidR="00241093" w:rsidRPr="000925A8" w:rsidRDefault="00241093">
      <w:pPr>
        <w:pStyle w:val="Fotnotstext"/>
      </w:pPr>
      <w:r w:rsidRPr="000925A8">
        <w:rPr>
          <w:rStyle w:val="Fotnotsreferens"/>
        </w:rPr>
        <w:footnoteRef/>
      </w:r>
      <w:r w:rsidRPr="000925A8">
        <w:t xml:space="preserve"> Boverket, </w:t>
      </w:r>
      <w:r w:rsidRPr="000925A8">
        <w:rPr>
          <w:i/>
        </w:rPr>
        <w:t>Mellankommunala frågor i kommunal planering – redovisning av exempel och komment</w:t>
      </w:r>
      <w:r w:rsidRPr="000925A8">
        <w:rPr>
          <w:i/>
        </w:rPr>
        <w:t>a</w:t>
      </w:r>
      <w:r w:rsidRPr="000925A8">
        <w:rPr>
          <w:i/>
        </w:rPr>
        <w:t>rer</w:t>
      </w:r>
      <w:r w:rsidRPr="000925A8">
        <w:t>, PBL/NRL-underlag nr 38, 1992, s. 5.</w:t>
      </w:r>
    </w:p>
  </w:footnote>
  <w:footnote w:id="37">
    <w:p w14:paraId="1F6ADDBD" w14:textId="77777777" w:rsidR="00241093" w:rsidRPr="000925A8" w:rsidRDefault="00241093">
      <w:pPr>
        <w:pStyle w:val="Fotnotstext"/>
      </w:pPr>
      <w:r w:rsidRPr="000925A8">
        <w:rPr>
          <w:rStyle w:val="Fotnotsreferens"/>
        </w:rPr>
        <w:footnoteRef/>
      </w:r>
      <w:r w:rsidRPr="000925A8">
        <w:t xml:space="preserve"> 4 kap. 14 § PBL.</w:t>
      </w:r>
    </w:p>
  </w:footnote>
  <w:footnote w:id="38">
    <w:p w14:paraId="61C96CA8" w14:textId="77777777" w:rsidR="00241093" w:rsidRPr="000925A8" w:rsidRDefault="00241093">
      <w:pPr>
        <w:pStyle w:val="Fotnotstext"/>
      </w:pPr>
      <w:r w:rsidRPr="000925A8">
        <w:rPr>
          <w:rStyle w:val="Fotnotsreferens"/>
        </w:rPr>
        <w:footnoteRef/>
      </w:r>
      <w:r w:rsidRPr="000925A8">
        <w:t xml:space="preserve"> 5 kap. 1 § och 2 kap. 2 § första stycket tredje m</w:t>
      </w:r>
      <w:r w:rsidRPr="000925A8">
        <w:t>e</w:t>
      </w:r>
      <w:r w:rsidRPr="000925A8">
        <w:t>ningen PBL.</w:t>
      </w:r>
    </w:p>
  </w:footnote>
  <w:footnote w:id="39">
    <w:p w14:paraId="075A5070" w14:textId="77777777" w:rsidR="00241093" w:rsidRPr="000925A8" w:rsidRDefault="00241093">
      <w:pPr>
        <w:pStyle w:val="Fotnotstext"/>
      </w:pPr>
      <w:r w:rsidRPr="000925A8">
        <w:rPr>
          <w:rStyle w:val="Fotnotsreferens"/>
        </w:rPr>
        <w:footnoteRef/>
      </w:r>
      <w:r w:rsidRPr="000925A8">
        <w:t xml:space="preserve"> 5 kap. 16 § PBL.</w:t>
      </w:r>
    </w:p>
  </w:footnote>
  <w:footnote w:id="40">
    <w:p w14:paraId="2ECC7F47" w14:textId="77777777" w:rsidR="00241093" w:rsidRPr="000925A8" w:rsidRDefault="00241093">
      <w:pPr>
        <w:pStyle w:val="Fotnotstext"/>
      </w:pPr>
      <w:r w:rsidRPr="000925A8">
        <w:rPr>
          <w:rStyle w:val="Fotnotsreferens"/>
        </w:rPr>
        <w:footnoteRef/>
      </w:r>
      <w:r w:rsidRPr="000925A8">
        <w:t xml:space="preserve"> 5 kap. 20 och 21 §§ PBL.</w:t>
      </w:r>
    </w:p>
  </w:footnote>
  <w:footnote w:id="41">
    <w:p w14:paraId="763B8F2C" w14:textId="77777777" w:rsidR="00241093" w:rsidRPr="000925A8" w:rsidRDefault="00241093">
      <w:pPr>
        <w:pStyle w:val="Fotnotstext"/>
      </w:pPr>
      <w:r w:rsidRPr="000925A8">
        <w:rPr>
          <w:rStyle w:val="Fotnotsreferens"/>
        </w:rPr>
        <w:footnoteRef/>
      </w:r>
      <w:r w:rsidRPr="000925A8">
        <w:t xml:space="preserve"> 5 kap. 22 och 33 §§ PBL.</w:t>
      </w:r>
    </w:p>
  </w:footnote>
  <w:footnote w:id="42">
    <w:p w14:paraId="65F076A8" w14:textId="77777777" w:rsidR="00241093" w:rsidRPr="000925A8" w:rsidRDefault="00241093">
      <w:pPr>
        <w:pStyle w:val="Fotnotstext"/>
      </w:pPr>
      <w:r w:rsidRPr="000925A8">
        <w:rPr>
          <w:rStyle w:val="Fotnotsreferens"/>
        </w:rPr>
        <w:footnoteRef/>
      </w:r>
      <w:r w:rsidRPr="000925A8">
        <w:t xml:space="preserve"> Prop. 1985/86:1, s. 345 f.</w:t>
      </w:r>
    </w:p>
  </w:footnote>
  <w:footnote w:id="43">
    <w:p w14:paraId="5504E59E" w14:textId="77777777" w:rsidR="00241093" w:rsidRPr="000925A8" w:rsidRDefault="00241093">
      <w:pPr>
        <w:pStyle w:val="Fotnotstext"/>
      </w:pPr>
      <w:r w:rsidRPr="000925A8">
        <w:rPr>
          <w:rStyle w:val="Fotnotsreferens"/>
        </w:rPr>
        <w:footnoteRef/>
      </w:r>
      <w:r w:rsidRPr="000925A8">
        <w:t xml:space="preserve"> 12 kap. 3 § och 13 kap. 4 § PBL.</w:t>
      </w:r>
    </w:p>
  </w:footnote>
  <w:footnote w:id="44">
    <w:p w14:paraId="37E9CF64" w14:textId="77777777" w:rsidR="00241093" w:rsidRPr="000925A8" w:rsidRDefault="00241093">
      <w:pPr>
        <w:pStyle w:val="Fotnotstext"/>
      </w:pPr>
      <w:r w:rsidRPr="000925A8">
        <w:rPr>
          <w:rStyle w:val="Fotnotsreferens"/>
        </w:rPr>
        <w:footnoteRef/>
      </w:r>
      <w:r w:rsidRPr="000925A8">
        <w:t xml:space="preserve"> Prop. 1985/86:1, s. 335.</w:t>
      </w:r>
    </w:p>
  </w:footnote>
  <w:footnote w:id="45">
    <w:p w14:paraId="1FC605DF" w14:textId="77777777" w:rsidR="00241093" w:rsidRPr="000925A8" w:rsidRDefault="00241093">
      <w:pPr>
        <w:pStyle w:val="Fotnotstext"/>
      </w:pPr>
      <w:r w:rsidRPr="000925A8">
        <w:rPr>
          <w:rStyle w:val="Fotnotsreferens"/>
        </w:rPr>
        <w:footnoteRef/>
      </w:r>
      <w:r w:rsidRPr="000925A8">
        <w:t xml:space="preserve"> Prop. 1985/86:1, s. 337 f.</w:t>
      </w:r>
    </w:p>
  </w:footnote>
  <w:footnote w:id="46">
    <w:p w14:paraId="0ADC0DFD" w14:textId="77777777" w:rsidR="00241093" w:rsidRPr="000925A8" w:rsidRDefault="00241093">
      <w:pPr>
        <w:pStyle w:val="Fotnotstext"/>
      </w:pPr>
      <w:r w:rsidRPr="000925A8">
        <w:rPr>
          <w:rStyle w:val="Fotnotsreferens"/>
        </w:rPr>
        <w:footnoteRef/>
      </w:r>
      <w:r w:rsidRPr="000925A8">
        <w:t xml:space="preserve"> Prop. 1985/86:1, s. 801.</w:t>
      </w:r>
    </w:p>
  </w:footnote>
  <w:footnote w:id="47">
    <w:p w14:paraId="37114B72" w14:textId="77777777" w:rsidR="00241093" w:rsidRPr="000925A8" w:rsidRDefault="00241093">
      <w:pPr>
        <w:pStyle w:val="Fotnotstext"/>
      </w:pPr>
      <w:r w:rsidRPr="000925A8">
        <w:rPr>
          <w:rStyle w:val="Fotnotsreferens"/>
        </w:rPr>
        <w:footnoteRef/>
      </w:r>
      <w:r w:rsidRPr="000925A8">
        <w:t xml:space="preserve"> 12 kap. 4 § PBL.</w:t>
      </w:r>
    </w:p>
  </w:footnote>
  <w:footnote w:id="48">
    <w:p w14:paraId="2D883885" w14:textId="77777777" w:rsidR="00241093" w:rsidRPr="000925A8" w:rsidRDefault="00241093">
      <w:pPr>
        <w:pStyle w:val="Fotnotstext"/>
      </w:pPr>
      <w:r w:rsidRPr="000925A8">
        <w:rPr>
          <w:rStyle w:val="Fotnotsreferens"/>
        </w:rPr>
        <w:footnoteRef/>
      </w:r>
      <w:r w:rsidRPr="000925A8">
        <w:t xml:space="preserve"> 12 kap. 6 § PBL.</w:t>
      </w:r>
    </w:p>
  </w:footnote>
  <w:footnote w:id="49">
    <w:p w14:paraId="5DED1391" w14:textId="77777777" w:rsidR="00241093" w:rsidRPr="000925A8" w:rsidRDefault="00241093">
      <w:pPr>
        <w:pStyle w:val="Fotnotstext"/>
      </w:pPr>
      <w:r w:rsidRPr="000925A8">
        <w:rPr>
          <w:rStyle w:val="Fotnotsreferens"/>
        </w:rPr>
        <w:footnoteRef/>
      </w:r>
      <w:r w:rsidRPr="000925A8">
        <w:t xml:space="preserve"> 7 kap. 1 och 2 §§ PBL.</w:t>
      </w:r>
    </w:p>
  </w:footnote>
  <w:footnote w:id="50">
    <w:p w14:paraId="6B1485ED" w14:textId="77777777" w:rsidR="00241093" w:rsidRPr="000925A8" w:rsidRDefault="00241093">
      <w:pPr>
        <w:pStyle w:val="Fotnotstext"/>
      </w:pPr>
      <w:r w:rsidRPr="000925A8">
        <w:rPr>
          <w:rStyle w:val="Fotnotsreferens"/>
        </w:rPr>
        <w:footnoteRef/>
      </w:r>
      <w:r w:rsidRPr="000925A8">
        <w:t xml:space="preserve"> Lag (1987:147) om regionplanering för kommunerna i Stockholms län.</w:t>
      </w:r>
    </w:p>
  </w:footnote>
  <w:footnote w:id="51">
    <w:p w14:paraId="0D62D6A7" w14:textId="77777777" w:rsidR="00241093" w:rsidRPr="000925A8" w:rsidRDefault="00241093">
      <w:pPr>
        <w:pStyle w:val="Fotnotstext"/>
      </w:pPr>
      <w:r w:rsidRPr="000925A8">
        <w:rPr>
          <w:rStyle w:val="Fotnotsreferens"/>
        </w:rPr>
        <w:footnoteRef/>
      </w:r>
      <w:r w:rsidRPr="000925A8">
        <w:t xml:space="preserve"> Boverket, </w:t>
      </w:r>
      <w:r w:rsidRPr="000925A8">
        <w:rPr>
          <w:i/>
        </w:rPr>
        <w:t>Boken om översiktsplan – Del III Allmänna intressens behandling i öve</w:t>
      </w:r>
      <w:r w:rsidRPr="000925A8">
        <w:rPr>
          <w:i/>
        </w:rPr>
        <w:t>r</w:t>
      </w:r>
      <w:r w:rsidRPr="000925A8">
        <w:rPr>
          <w:i/>
        </w:rPr>
        <w:t>sikt</w:t>
      </w:r>
      <w:r w:rsidRPr="000925A8">
        <w:rPr>
          <w:i/>
        </w:rPr>
        <w:t>s</w:t>
      </w:r>
      <w:r w:rsidRPr="000925A8">
        <w:rPr>
          <w:i/>
        </w:rPr>
        <w:t>planen</w:t>
      </w:r>
      <w:r w:rsidRPr="000925A8">
        <w:t>, 1996, s. 27.</w:t>
      </w:r>
    </w:p>
  </w:footnote>
  <w:footnote w:id="52">
    <w:p w14:paraId="23D17A65" w14:textId="77777777" w:rsidR="00241093" w:rsidRPr="000925A8" w:rsidRDefault="00241093">
      <w:pPr>
        <w:pStyle w:val="Fotnotstext"/>
      </w:pPr>
      <w:r w:rsidRPr="000925A8">
        <w:rPr>
          <w:rStyle w:val="Fotnotsreferens"/>
        </w:rPr>
        <w:footnoteRef/>
      </w:r>
      <w:r w:rsidRPr="000925A8">
        <w:t xml:space="preserve"> 7 kap. 4 § PBL.</w:t>
      </w:r>
    </w:p>
  </w:footnote>
  <w:footnote w:id="53">
    <w:p w14:paraId="3651313C" w14:textId="77777777" w:rsidR="00241093" w:rsidRPr="000925A8" w:rsidRDefault="00241093">
      <w:pPr>
        <w:pStyle w:val="Fotnotstext"/>
      </w:pPr>
      <w:r w:rsidRPr="000925A8">
        <w:rPr>
          <w:rStyle w:val="Fotnotsreferens"/>
        </w:rPr>
        <w:footnoteRef/>
      </w:r>
      <w:r w:rsidRPr="000925A8">
        <w:t xml:space="preserve"> 4 kap. 3–5 och 9 §§ jämfört med 7 kap. 5 § PBL.</w:t>
      </w:r>
    </w:p>
  </w:footnote>
  <w:footnote w:id="54">
    <w:p w14:paraId="63DA9BA5" w14:textId="77777777" w:rsidR="00241093" w:rsidRPr="000925A8" w:rsidRDefault="00241093">
      <w:pPr>
        <w:pStyle w:val="Fotnotstext"/>
      </w:pPr>
      <w:r w:rsidRPr="000925A8">
        <w:rPr>
          <w:rStyle w:val="Fotnotsreferens"/>
        </w:rPr>
        <w:footnoteRef/>
      </w:r>
      <w:r w:rsidRPr="000925A8">
        <w:t xml:space="preserve"> Prop. 1985/86:1, s. 539.</w:t>
      </w:r>
    </w:p>
  </w:footnote>
  <w:footnote w:id="55">
    <w:p w14:paraId="5491E268" w14:textId="77777777" w:rsidR="00241093" w:rsidRPr="000925A8" w:rsidRDefault="00241093">
      <w:pPr>
        <w:pStyle w:val="Fotnotstext"/>
      </w:pPr>
      <w:r w:rsidRPr="000925A8">
        <w:rPr>
          <w:rStyle w:val="Fotnotsreferens"/>
        </w:rPr>
        <w:footnoteRef/>
      </w:r>
      <w:r w:rsidRPr="000925A8">
        <w:t xml:space="preserve"> SOU 2000:85, s. 172.</w:t>
      </w:r>
    </w:p>
  </w:footnote>
  <w:footnote w:id="56">
    <w:p w14:paraId="7BA784F9" w14:textId="77777777" w:rsidR="00241093" w:rsidRPr="000925A8" w:rsidRDefault="00241093">
      <w:pPr>
        <w:pStyle w:val="Fotnotstext"/>
      </w:pPr>
      <w:r w:rsidRPr="000925A8">
        <w:rPr>
          <w:rStyle w:val="Fotnotsreferens"/>
        </w:rPr>
        <w:footnoteRef/>
      </w:r>
      <w:r w:rsidRPr="000925A8">
        <w:t xml:space="preserve"> Svenska Kommunförbundet, </w:t>
      </w:r>
      <w:r w:rsidRPr="000925A8">
        <w:rPr>
          <w:i/>
        </w:rPr>
        <w:t>Planering i tiden – Översiktsplanering igår, idag och i mo</w:t>
      </w:r>
      <w:r w:rsidRPr="000925A8">
        <w:rPr>
          <w:i/>
        </w:rPr>
        <w:t>r</w:t>
      </w:r>
      <w:r w:rsidRPr="000925A8">
        <w:rPr>
          <w:i/>
        </w:rPr>
        <w:t>gon</w:t>
      </w:r>
      <w:r w:rsidRPr="000925A8">
        <w:t>, broschyr, 2001.</w:t>
      </w:r>
    </w:p>
  </w:footnote>
  <w:footnote w:id="57">
    <w:p w14:paraId="64A53273" w14:textId="77777777" w:rsidR="00241093" w:rsidRPr="000925A8" w:rsidRDefault="00241093">
      <w:pPr>
        <w:pStyle w:val="Fotnotstext"/>
      </w:pPr>
      <w:r w:rsidRPr="000925A8">
        <w:rPr>
          <w:rStyle w:val="Fotnotsreferens"/>
        </w:rPr>
        <w:footnoteRef/>
      </w:r>
      <w:r w:rsidRPr="000925A8">
        <w:t xml:space="preserve"> Stockholms regionplane- och trafikkontor, </w:t>
      </w:r>
      <w:r w:rsidRPr="000925A8">
        <w:rPr>
          <w:i/>
        </w:rPr>
        <w:t>Planera med miljömål! – Fallstudie Stockholmsregionen. Miljöbedömning av regionplan 2000</w:t>
      </w:r>
      <w:r w:rsidRPr="000925A8">
        <w:t>, 2000.</w:t>
      </w:r>
    </w:p>
  </w:footnote>
  <w:footnote w:id="58">
    <w:p w14:paraId="308D587E" w14:textId="77777777" w:rsidR="00241093" w:rsidRPr="000925A8" w:rsidRDefault="00241093">
      <w:pPr>
        <w:pStyle w:val="Fotnotstext"/>
      </w:pPr>
      <w:r w:rsidRPr="000925A8">
        <w:rPr>
          <w:rStyle w:val="Fotnotsreferens"/>
        </w:rPr>
        <w:footnoteRef/>
      </w:r>
      <w:r w:rsidRPr="000925A8">
        <w:t xml:space="preserve"> SOU 1994:36.</w:t>
      </w:r>
    </w:p>
  </w:footnote>
  <w:footnote w:id="59">
    <w:p w14:paraId="3988B723" w14:textId="77777777" w:rsidR="00241093" w:rsidRPr="000925A8" w:rsidRDefault="00241093">
      <w:pPr>
        <w:pStyle w:val="Fotnotstext"/>
      </w:pPr>
      <w:r w:rsidRPr="000925A8">
        <w:rPr>
          <w:rStyle w:val="Fotnotsreferens"/>
        </w:rPr>
        <w:footnoteRef/>
      </w:r>
      <w:r w:rsidRPr="000925A8">
        <w:t xml:space="preserve"> SOU 1994:36, s. 189 f.</w:t>
      </w:r>
    </w:p>
  </w:footnote>
  <w:footnote w:id="60">
    <w:p w14:paraId="4CE679A1" w14:textId="77777777" w:rsidR="00241093" w:rsidRPr="000925A8" w:rsidRDefault="00241093">
      <w:pPr>
        <w:pStyle w:val="Fotnotstext"/>
      </w:pPr>
      <w:r w:rsidRPr="000925A8">
        <w:rPr>
          <w:rStyle w:val="Fotnotsreferens"/>
        </w:rPr>
        <w:footnoteRef/>
      </w:r>
      <w:r w:rsidRPr="000925A8">
        <w:t xml:space="preserve"> SOU 1994:36, s. 192.</w:t>
      </w:r>
    </w:p>
  </w:footnote>
  <w:footnote w:id="61">
    <w:p w14:paraId="40D4ED01" w14:textId="77777777" w:rsidR="00241093" w:rsidRPr="000925A8" w:rsidRDefault="00241093">
      <w:pPr>
        <w:pStyle w:val="Fotnotstext"/>
      </w:pPr>
      <w:r w:rsidRPr="000925A8">
        <w:rPr>
          <w:rStyle w:val="Fotnotsreferens"/>
        </w:rPr>
        <w:footnoteRef/>
      </w:r>
      <w:r w:rsidRPr="000925A8">
        <w:t xml:space="preserve"> Prop. 1994/95:230, s. 103 f.</w:t>
      </w:r>
    </w:p>
  </w:footnote>
  <w:footnote w:id="62">
    <w:p w14:paraId="43951F32" w14:textId="77777777" w:rsidR="00241093" w:rsidRPr="000925A8" w:rsidRDefault="00241093">
      <w:pPr>
        <w:pStyle w:val="Fotnotstext"/>
      </w:pPr>
      <w:r w:rsidRPr="000925A8">
        <w:rPr>
          <w:rStyle w:val="Fotnotsreferens"/>
        </w:rPr>
        <w:footnoteRef/>
      </w:r>
      <w:r w:rsidRPr="000925A8">
        <w:t xml:space="preserve"> SOU 1995:27, s. 254.</w:t>
      </w:r>
    </w:p>
  </w:footnote>
  <w:footnote w:id="63">
    <w:p w14:paraId="4ADAA737" w14:textId="77777777" w:rsidR="00241093" w:rsidRPr="000925A8" w:rsidRDefault="00241093">
      <w:pPr>
        <w:pStyle w:val="Fotnotstext"/>
      </w:pPr>
      <w:r w:rsidRPr="000925A8">
        <w:rPr>
          <w:rStyle w:val="Fotnotsreferens"/>
        </w:rPr>
        <w:footnoteRef/>
      </w:r>
      <w:r w:rsidRPr="000925A8">
        <w:t xml:space="preserve"> SOU 1995:27, s. 245 ff.</w:t>
      </w:r>
    </w:p>
  </w:footnote>
  <w:footnote w:id="64">
    <w:p w14:paraId="414DD1F5" w14:textId="77777777" w:rsidR="00241093" w:rsidRPr="000925A8" w:rsidRDefault="00241093">
      <w:pPr>
        <w:pStyle w:val="Fotnotstext"/>
      </w:pPr>
      <w:r w:rsidRPr="000925A8">
        <w:rPr>
          <w:rStyle w:val="Fotnotsreferens"/>
        </w:rPr>
        <w:footnoteRef/>
      </w:r>
      <w:r w:rsidRPr="000925A8">
        <w:t xml:space="preserve"> Prop. 1996/97:36, s. 51.</w:t>
      </w:r>
    </w:p>
  </w:footnote>
  <w:footnote w:id="65">
    <w:p w14:paraId="617C69D6" w14:textId="77777777" w:rsidR="00241093" w:rsidRPr="000925A8" w:rsidRDefault="00241093">
      <w:pPr>
        <w:pStyle w:val="Fotnotstext"/>
      </w:pPr>
      <w:r w:rsidRPr="000925A8">
        <w:rPr>
          <w:rStyle w:val="Fotnotsreferens"/>
        </w:rPr>
        <w:footnoteRef/>
      </w:r>
      <w:r w:rsidRPr="000925A8">
        <w:t xml:space="preserve"> Prop. 2001/02:4.</w:t>
      </w:r>
    </w:p>
  </w:footnote>
  <w:footnote w:id="66">
    <w:p w14:paraId="7CF51BAB" w14:textId="77777777" w:rsidR="00241093" w:rsidRPr="000925A8" w:rsidRDefault="00241093">
      <w:pPr>
        <w:pStyle w:val="Fotnotstext"/>
      </w:pPr>
      <w:r w:rsidRPr="000925A8">
        <w:rPr>
          <w:rStyle w:val="Fotnotsreferens"/>
        </w:rPr>
        <w:footnoteRef/>
      </w:r>
      <w:r w:rsidRPr="000925A8">
        <w:t xml:space="preserve"> Prop. 1997/98:56.</w:t>
      </w:r>
    </w:p>
  </w:footnote>
  <w:footnote w:id="67">
    <w:p w14:paraId="623362A9" w14:textId="77777777" w:rsidR="00241093" w:rsidRPr="000925A8" w:rsidRDefault="00241093">
      <w:pPr>
        <w:pStyle w:val="Fotnotstext"/>
      </w:pPr>
      <w:r w:rsidRPr="000925A8">
        <w:rPr>
          <w:rStyle w:val="Fotnotsreferens"/>
        </w:rPr>
        <w:footnoteRef/>
      </w:r>
      <w:r w:rsidRPr="000925A8">
        <w:t xml:space="preserve"> Prop. 2001/02:20.</w:t>
      </w:r>
    </w:p>
  </w:footnote>
  <w:footnote w:id="68">
    <w:p w14:paraId="685CCAD4" w14:textId="77777777" w:rsidR="00241093" w:rsidRPr="000925A8" w:rsidRDefault="00241093">
      <w:pPr>
        <w:pStyle w:val="Fotnotstext"/>
      </w:pPr>
      <w:r w:rsidRPr="000925A8">
        <w:rPr>
          <w:rStyle w:val="Fotnotsreferens"/>
        </w:rPr>
        <w:footnoteRef/>
      </w:r>
      <w:r w:rsidRPr="000925A8">
        <w:t xml:space="preserve"> Prop. 2001/02:20, s. 134.</w:t>
      </w:r>
    </w:p>
  </w:footnote>
  <w:footnote w:id="69">
    <w:p w14:paraId="4ADE1443" w14:textId="77777777" w:rsidR="00241093" w:rsidRPr="000925A8" w:rsidRDefault="00241093">
      <w:pPr>
        <w:pStyle w:val="Fotnotstext"/>
      </w:pPr>
      <w:r w:rsidRPr="000925A8">
        <w:rPr>
          <w:rStyle w:val="Fotnotsreferens"/>
        </w:rPr>
        <w:footnoteRef/>
      </w:r>
      <w:r w:rsidRPr="000925A8">
        <w:t xml:space="preserve"> Bet. 2001/02:TU2.</w:t>
      </w:r>
    </w:p>
  </w:footnote>
  <w:footnote w:id="70">
    <w:p w14:paraId="44BC21BC" w14:textId="77777777" w:rsidR="00241093" w:rsidRPr="000925A8" w:rsidRDefault="00241093">
      <w:pPr>
        <w:pStyle w:val="Fotnotstext"/>
      </w:pPr>
      <w:r w:rsidRPr="000925A8">
        <w:rPr>
          <w:rStyle w:val="Fotnotsreferens"/>
        </w:rPr>
        <w:footnoteRef/>
      </w:r>
      <w:r w:rsidRPr="000925A8">
        <w:t xml:space="preserve"> En närmare beskrivning av ESDP finns i Europeiska kommissionen, </w:t>
      </w:r>
      <w:r w:rsidRPr="000925A8">
        <w:rPr>
          <w:i/>
        </w:rPr>
        <w:t>Det regionala utvecklingsperspektivet inom Europeiska unionen – Mot balanserad och hållbar u</w:t>
      </w:r>
      <w:r w:rsidRPr="000925A8">
        <w:rPr>
          <w:i/>
        </w:rPr>
        <w:t>t</w:t>
      </w:r>
      <w:r w:rsidRPr="000925A8">
        <w:rPr>
          <w:i/>
        </w:rPr>
        <w:t>veckling av EU:s territorium</w:t>
      </w:r>
      <w:r w:rsidRPr="000925A8">
        <w:t>, Byrån för Europeiska gemenskapernas officiella publ</w:t>
      </w:r>
      <w:r w:rsidRPr="000925A8">
        <w:t>i</w:t>
      </w:r>
      <w:r w:rsidRPr="000925A8">
        <w:t>kationer, 2000.</w:t>
      </w:r>
    </w:p>
  </w:footnote>
  <w:footnote w:id="71">
    <w:p w14:paraId="00670982" w14:textId="77777777" w:rsidR="00241093" w:rsidRPr="000925A8" w:rsidRDefault="00241093">
      <w:pPr>
        <w:pStyle w:val="Fotnotstext"/>
      </w:pPr>
      <w:r w:rsidRPr="000925A8">
        <w:rPr>
          <w:rStyle w:val="Fotnotsreferens"/>
        </w:rPr>
        <w:footnoteRef/>
      </w:r>
      <w:r w:rsidRPr="000925A8">
        <w:t xml:space="preserve"> Ett sådant exempel är den fördjupade översiktsplanen för Söderåsen som tagits fram i samarbete mellan Bjuvs, Klippans, Svalövs och Åstorps kommuner. Ett annat avser den kommungemensamma översiktsplan som har upprättats i gränsområdet mellan Falun och Borlänge ko</w:t>
      </w:r>
      <w:r w:rsidRPr="000925A8">
        <w:t>m</w:t>
      </w:r>
      <w:r w:rsidRPr="000925A8">
        <w:t>muner.</w:t>
      </w:r>
    </w:p>
  </w:footnote>
  <w:footnote w:id="72">
    <w:p w14:paraId="0BE47C66" w14:textId="77777777" w:rsidR="00241093" w:rsidRPr="000925A8" w:rsidRDefault="00241093">
      <w:pPr>
        <w:pStyle w:val="Fotnotstext"/>
      </w:pPr>
      <w:r w:rsidRPr="000925A8">
        <w:rPr>
          <w:rStyle w:val="Fotnotsreferens"/>
        </w:rPr>
        <w:footnoteRef/>
      </w:r>
      <w:r w:rsidRPr="000925A8">
        <w:t xml:space="preserve"> Riksrevisionsverket, </w:t>
      </w:r>
      <w:r w:rsidRPr="000925A8">
        <w:rPr>
          <w:i/>
        </w:rPr>
        <w:t>Staten och den fysiska planeringen</w:t>
      </w:r>
      <w:r w:rsidRPr="000925A8">
        <w:t>, Rapport Fi 1992:32.</w:t>
      </w:r>
    </w:p>
  </w:footnote>
  <w:footnote w:id="73">
    <w:p w14:paraId="57850310" w14:textId="77777777" w:rsidR="00241093" w:rsidRPr="000925A8" w:rsidRDefault="00241093">
      <w:pPr>
        <w:pStyle w:val="Fotnotstext"/>
      </w:pPr>
      <w:r w:rsidRPr="000925A8">
        <w:rPr>
          <w:rStyle w:val="Fotnotsreferens"/>
        </w:rPr>
        <w:footnoteRef/>
      </w:r>
      <w:r w:rsidRPr="000925A8">
        <w:t xml:space="preserve"> SOU 1994:134, s. 164.</w:t>
      </w:r>
    </w:p>
  </w:footnote>
  <w:footnote w:id="74">
    <w:p w14:paraId="24D352E6" w14:textId="77777777" w:rsidR="00241093" w:rsidRPr="000925A8" w:rsidRDefault="00241093">
      <w:pPr>
        <w:pStyle w:val="Fotnotstext"/>
      </w:pPr>
      <w:r w:rsidRPr="000925A8">
        <w:rPr>
          <w:rStyle w:val="Fotnotsreferens"/>
        </w:rPr>
        <w:footnoteRef/>
      </w:r>
      <w:r w:rsidRPr="000925A8">
        <w:t xml:space="preserve"> SOU 1994:134, s. 154.</w:t>
      </w:r>
    </w:p>
  </w:footnote>
  <w:footnote w:id="75">
    <w:p w14:paraId="5A2000CB" w14:textId="77777777" w:rsidR="00241093" w:rsidRPr="000925A8" w:rsidRDefault="00241093">
      <w:pPr>
        <w:pStyle w:val="Fotnotstext"/>
      </w:pPr>
      <w:r w:rsidRPr="000925A8">
        <w:rPr>
          <w:rStyle w:val="Fotnotsreferens"/>
        </w:rPr>
        <w:footnoteRef/>
      </w:r>
      <w:r w:rsidRPr="000925A8">
        <w:t xml:space="preserve"> SOU 1994:134, s. 16.</w:t>
      </w:r>
    </w:p>
  </w:footnote>
  <w:footnote w:id="76">
    <w:p w14:paraId="18CB5147" w14:textId="77777777" w:rsidR="00241093" w:rsidRPr="000925A8" w:rsidRDefault="00241093">
      <w:pPr>
        <w:pStyle w:val="Fotnotstext"/>
      </w:pPr>
      <w:r w:rsidRPr="000925A8">
        <w:rPr>
          <w:rStyle w:val="Fotnotsreferens"/>
        </w:rPr>
        <w:footnoteRef/>
      </w:r>
      <w:r w:rsidRPr="000925A8">
        <w:t xml:space="preserve"> Regeringsbeslut 5, 2001-01-18.</w:t>
      </w:r>
    </w:p>
  </w:footnote>
  <w:footnote w:id="77">
    <w:p w14:paraId="4AF9C8FD" w14:textId="77777777" w:rsidR="00241093" w:rsidRPr="000925A8" w:rsidRDefault="00241093">
      <w:pPr>
        <w:pStyle w:val="Fotnotstext"/>
      </w:pPr>
      <w:r w:rsidRPr="000925A8">
        <w:rPr>
          <w:rStyle w:val="Fotnotsreferens"/>
        </w:rPr>
        <w:footnoteRef/>
      </w:r>
      <w:r w:rsidRPr="000925A8">
        <w:t xml:space="preserve"> Svenska Kommunförbundet, </w:t>
      </w:r>
      <w:r w:rsidRPr="000925A8">
        <w:rPr>
          <w:i/>
          <w:snapToGrid w:val="0"/>
          <w:lang w:eastAsia="sv-SE"/>
        </w:rPr>
        <w:t xml:space="preserve">Plan- och byggverksamheten i kommunerna – en </w:t>
      </w:r>
      <w:r w:rsidRPr="000925A8">
        <w:rPr>
          <w:i/>
        </w:rPr>
        <w:t>e</w:t>
      </w:r>
      <w:r w:rsidRPr="000925A8">
        <w:rPr>
          <w:i/>
        </w:rPr>
        <w:t>n</w:t>
      </w:r>
      <w:r w:rsidRPr="000925A8">
        <w:rPr>
          <w:i/>
        </w:rPr>
        <w:t>kätu</w:t>
      </w:r>
      <w:r w:rsidRPr="000925A8">
        <w:rPr>
          <w:i/>
        </w:rPr>
        <w:t>n</w:t>
      </w:r>
      <w:r w:rsidRPr="000925A8">
        <w:rPr>
          <w:i/>
        </w:rPr>
        <w:t>dersökning 1999</w:t>
      </w:r>
      <w:r w:rsidRPr="000925A8">
        <w:t>, 1999, s. 19 f.</w:t>
      </w:r>
    </w:p>
  </w:footnote>
  <w:footnote w:id="78">
    <w:p w14:paraId="6BA07497" w14:textId="77777777" w:rsidR="00241093" w:rsidRPr="000925A8" w:rsidRDefault="00241093">
      <w:pPr>
        <w:pStyle w:val="Fotnotstext"/>
      </w:pPr>
      <w:r w:rsidRPr="000925A8">
        <w:rPr>
          <w:rStyle w:val="Fotnotsreferens"/>
        </w:rPr>
        <w:footnoteRef/>
      </w:r>
      <w:r w:rsidRPr="000925A8">
        <w:t xml:space="preserve"> Svenska Kommunförbundet, </w:t>
      </w:r>
      <w:r w:rsidRPr="000925A8">
        <w:rPr>
          <w:i/>
          <w:snapToGrid w:val="0"/>
          <w:lang w:eastAsia="sv-SE"/>
        </w:rPr>
        <w:t xml:space="preserve">Plan- och byggverksamheten i kommunerna – en </w:t>
      </w:r>
      <w:r w:rsidRPr="000925A8">
        <w:rPr>
          <w:i/>
        </w:rPr>
        <w:t>e</w:t>
      </w:r>
      <w:r w:rsidRPr="000925A8">
        <w:rPr>
          <w:i/>
        </w:rPr>
        <w:t>n</w:t>
      </w:r>
      <w:r w:rsidRPr="000925A8">
        <w:rPr>
          <w:i/>
        </w:rPr>
        <w:t>kätu</w:t>
      </w:r>
      <w:r w:rsidRPr="000925A8">
        <w:rPr>
          <w:i/>
        </w:rPr>
        <w:t>n</w:t>
      </w:r>
      <w:r w:rsidRPr="000925A8">
        <w:rPr>
          <w:i/>
        </w:rPr>
        <w:t>dersökning 1999</w:t>
      </w:r>
      <w:r w:rsidRPr="000925A8">
        <w:t>, 1999, s. 26 f.</w:t>
      </w:r>
    </w:p>
  </w:footnote>
  <w:footnote w:id="79">
    <w:p w14:paraId="05A5A72A" w14:textId="77777777" w:rsidR="00241093" w:rsidRPr="000925A8" w:rsidRDefault="00241093">
      <w:pPr>
        <w:pStyle w:val="Fotnotstext"/>
      </w:pPr>
      <w:r w:rsidRPr="000925A8">
        <w:rPr>
          <w:rStyle w:val="Fotnotsreferens"/>
        </w:rPr>
        <w:footnoteRef/>
      </w:r>
      <w:r w:rsidRPr="000925A8">
        <w:t xml:space="preserve"> Svenska Kommunförbundet, </w:t>
      </w:r>
      <w:r w:rsidRPr="000925A8">
        <w:rPr>
          <w:i/>
          <w:snapToGrid w:val="0"/>
          <w:lang w:eastAsia="sv-SE"/>
        </w:rPr>
        <w:t xml:space="preserve">Plan- och byggverksamheten i kommunerna – en </w:t>
      </w:r>
      <w:r w:rsidRPr="000925A8">
        <w:rPr>
          <w:i/>
        </w:rPr>
        <w:t>e</w:t>
      </w:r>
      <w:r w:rsidRPr="000925A8">
        <w:rPr>
          <w:i/>
        </w:rPr>
        <w:t>n</w:t>
      </w:r>
      <w:r w:rsidRPr="000925A8">
        <w:rPr>
          <w:i/>
        </w:rPr>
        <w:t>kätu</w:t>
      </w:r>
      <w:r w:rsidRPr="000925A8">
        <w:rPr>
          <w:i/>
        </w:rPr>
        <w:t>n</w:t>
      </w:r>
      <w:r w:rsidRPr="000925A8">
        <w:rPr>
          <w:i/>
        </w:rPr>
        <w:t>dersökning 1999</w:t>
      </w:r>
      <w:r w:rsidRPr="000925A8">
        <w:t>, 1999, s. 28.</w:t>
      </w:r>
    </w:p>
  </w:footnote>
  <w:footnote w:id="80">
    <w:p w14:paraId="3F0AB5B9" w14:textId="77777777" w:rsidR="00241093" w:rsidRPr="000925A8" w:rsidRDefault="00241093">
      <w:pPr>
        <w:pStyle w:val="Fotnotstext"/>
      </w:pPr>
      <w:r w:rsidRPr="000925A8">
        <w:rPr>
          <w:rStyle w:val="Fotnotsreferens"/>
        </w:rPr>
        <w:footnoteRef/>
      </w:r>
      <w:r w:rsidRPr="000925A8">
        <w:t xml:space="preserve"> Riksdagens revisorer, rapport 2000/01:14.</w:t>
      </w:r>
    </w:p>
  </w:footnote>
  <w:footnote w:id="81">
    <w:p w14:paraId="18EA4E47" w14:textId="77777777" w:rsidR="00241093" w:rsidRPr="000925A8" w:rsidRDefault="00241093">
      <w:pPr>
        <w:pStyle w:val="Fotnotstext"/>
      </w:pPr>
      <w:r w:rsidRPr="000925A8">
        <w:rPr>
          <w:rStyle w:val="Fotnotsreferens"/>
        </w:rPr>
        <w:footnoteRef/>
      </w:r>
      <w:r w:rsidRPr="000925A8">
        <w:t xml:space="preserve"> Länsstyrelsen i Stockholms län, </w:t>
      </w:r>
      <w:r w:rsidRPr="000925A8">
        <w:rPr>
          <w:i/>
        </w:rPr>
        <w:t>yttrande över Plan- och byggprocessens längd – rapport 2000/012:14</w:t>
      </w:r>
      <w:r w:rsidRPr="000925A8">
        <w:t>, s. 4.</w:t>
      </w:r>
    </w:p>
  </w:footnote>
  <w:footnote w:id="82">
    <w:p w14:paraId="6FC9CBFD" w14:textId="77777777" w:rsidR="00241093" w:rsidRPr="000925A8" w:rsidRDefault="00241093">
      <w:pPr>
        <w:pStyle w:val="Fotnotstext"/>
      </w:pPr>
      <w:r w:rsidRPr="000925A8">
        <w:rPr>
          <w:rStyle w:val="Fotnotsreferens"/>
        </w:rPr>
        <w:footnoteRef/>
      </w:r>
      <w:r w:rsidRPr="000925A8">
        <w:t xml:space="preserve"> Svenska Kommunförbundet, </w:t>
      </w:r>
      <w:r w:rsidRPr="000925A8">
        <w:rPr>
          <w:i/>
        </w:rPr>
        <w:t xml:space="preserve">yttrande över Riksdagens revisorers rapport Plan- och byggprocessens längd, </w:t>
      </w:r>
      <w:r w:rsidRPr="000925A8">
        <w:t>2001-09-07.</w:t>
      </w:r>
    </w:p>
  </w:footnote>
  <w:footnote w:id="83">
    <w:p w14:paraId="2BA38CB7" w14:textId="77777777" w:rsidR="00241093" w:rsidRPr="000925A8" w:rsidRDefault="00241093">
      <w:pPr>
        <w:pStyle w:val="Fotnotstext"/>
      </w:pPr>
      <w:r w:rsidRPr="000925A8">
        <w:rPr>
          <w:rStyle w:val="Fotnotsreferens"/>
        </w:rPr>
        <w:footnoteRef/>
      </w:r>
      <w:r w:rsidRPr="000925A8">
        <w:t xml:space="preserve"> Riksdagens revisorers förslag 2001/02:RR8.</w:t>
      </w:r>
    </w:p>
  </w:footnote>
  <w:footnote w:id="84">
    <w:p w14:paraId="3C5A2039" w14:textId="77777777" w:rsidR="00241093" w:rsidRPr="000925A8" w:rsidRDefault="00241093">
      <w:pPr>
        <w:pStyle w:val="Fotnotstext"/>
      </w:pPr>
      <w:r w:rsidRPr="000925A8">
        <w:rPr>
          <w:rStyle w:val="Fotnotsreferens"/>
        </w:rPr>
        <w:footnoteRef/>
      </w:r>
      <w:r w:rsidRPr="000925A8">
        <w:t xml:space="preserve"> 1 kap. 8 § PBL.</w:t>
      </w:r>
    </w:p>
  </w:footnote>
  <w:footnote w:id="85">
    <w:p w14:paraId="6892F914" w14:textId="77777777" w:rsidR="00241093" w:rsidRPr="000925A8" w:rsidRDefault="00241093">
      <w:pPr>
        <w:pStyle w:val="Fotnotstext"/>
      </w:pPr>
      <w:r w:rsidRPr="000925A8">
        <w:rPr>
          <w:rStyle w:val="Fotnotsreferens"/>
        </w:rPr>
        <w:footnoteRef/>
      </w:r>
      <w:r w:rsidRPr="000925A8">
        <w:t xml:space="preserve"> Boverket, </w:t>
      </w:r>
      <w:r w:rsidRPr="000925A8">
        <w:rPr>
          <w:i/>
        </w:rPr>
        <w:t>13 utmaningar för den fysiska samhällsplaneringen – Förslag till strategi</w:t>
      </w:r>
      <w:r w:rsidRPr="000925A8">
        <w:t>, 2000, s. 14 f.</w:t>
      </w:r>
    </w:p>
  </w:footnote>
  <w:footnote w:id="86">
    <w:p w14:paraId="696A7451" w14:textId="77777777" w:rsidR="00241093" w:rsidRPr="000925A8" w:rsidRDefault="00241093">
      <w:pPr>
        <w:pStyle w:val="Fotnotstext"/>
      </w:pPr>
      <w:r w:rsidRPr="000925A8">
        <w:rPr>
          <w:rStyle w:val="Fotnotsreferens"/>
        </w:rPr>
        <w:footnoteRef/>
      </w:r>
      <w:r w:rsidRPr="000925A8">
        <w:t xml:space="preserve"> Boverket och Naturvårdsverket, </w:t>
      </w:r>
      <w:r w:rsidRPr="000925A8">
        <w:rPr>
          <w:i/>
        </w:rPr>
        <w:t>Miljöinriktad fysisk planering</w:t>
      </w:r>
      <w:r w:rsidRPr="000925A8">
        <w:t>, 2000, s. 46.</w:t>
      </w:r>
    </w:p>
  </w:footnote>
  <w:footnote w:id="87">
    <w:p w14:paraId="33FD3186" w14:textId="77777777" w:rsidR="00241093" w:rsidRPr="000925A8" w:rsidRDefault="00241093">
      <w:pPr>
        <w:pStyle w:val="Fotnotstext"/>
      </w:pPr>
      <w:r w:rsidRPr="000925A8">
        <w:rPr>
          <w:rStyle w:val="Fotnotsreferens"/>
        </w:rPr>
        <w:footnoteRef/>
      </w:r>
      <w:r w:rsidRPr="000925A8">
        <w:t xml:space="preserve"> Boverket och Naturvårdsverket, </w:t>
      </w:r>
      <w:r w:rsidRPr="000925A8">
        <w:rPr>
          <w:i/>
        </w:rPr>
        <w:t>Miljöinriktad fysisk planering</w:t>
      </w:r>
      <w:r w:rsidRPr="000925A8">
        <w:t>, 2000, s. 10.</w:t>
      </w:r>
    </w:p>
  </w:footnote>
  <w:footnote w:id="88">
    <w:p w14:paraId="1361C350" w14:textId="77777777" w:rsidR="00241093" w:rsidRPr="000925A8" w:rsidRDefault="00241093">
      <w:pPr>
        <w:pStyle w:val="Fotnotstext"/>
      </w:pPr>
      <w:r w:rsidRPr="000925A8">
        <w:rPr>
          <w:rStyle w:val="Fotnotsreferens"/>
        </w:rPr>
        <w:footnoteRef/>
      </w:r>
      <w:r w:rsidRPr="000925A8">
        <w:t xml:space="preserve"> Prop. 2001/02:4.</w:t>
      </w:r>
    </w:p>
  </w:footnote>
  <w:footnote w:id="89">
    <w:p w14:paraId="288EA18A" w14:textId="77777777" w:rsidR="00241093" w:rsidRPr="000925A8" w:rsidRDefault="00241093">
      <w:pPr>
        <w:pStyle w:val="Fotnotstext"/>
      </w:pPr>
      <w:r w:rsidRPr="000925A8">
        <w:rPr>
          <w:rStyle w:val="Fotnotsreferens"/>
        </w:rPr>
        <w:footnoteRef/>
      </w:r>
      <w:r w:rsidRPr="000925A8">
        <w:t xml:space="preserve"> Prop. 2000/01:130</w:t>
      </w:r>
    </w:p>
  </w:footnote>
  <w:footnote w:id="90">
    <w:p w14:paraId="02D7FDEF" w14:textId="77777777" w:rsidR="00241093" w:rsidRPr="000925A8" w:rsidRDefault="00241093">
      <w:pPr>
        <w:pStyle w:val="Fotnotstext"/>
      </w:pPr>
      <w:r w:rsidRPr="000925A8">
        <w:rPr>
          <w:rStyle w:val="Fotnotsreferens"/>
        </w:rPr>
        <w:footnoteRef/>
      </w:r>
      <w:r w:rsidRPr="000925A8">
        <w:t xml:space="preserve"> SOU 2000:23, s. 285.</w:t>
      </w:r>
    </w:p>
  </w:footnote>
  <w:footnote w:id="91">
    <w:p w14:paraId="33356249" w14:textId="77777777" w:rsidR="00241093" w:rsidRPr="000925A8" w:rsidRDefault="00241093">
      <w:pPr>
        <w:pStyle w:val="Fotnotstext"/>
      </w:pPr>
      <w:r w:rsidRPr="000925A8">
        <w:rPr>
          <w:rStyle w:val="Fotnotsreferens"/>
        </w:rPr>
        <w:footnoteRef/>
      </w:r>
      <w:r w:rsidRPr="000925A8">
        <w:t xml:space="preserve"> Prop. 2001/02:55.</w:t>
      </w:r>
    </w:p>
  </w:footnote>
  <w:footnote w:id="92">
    <w:p w14:paraId="220867A9" w14:textId="77777777" w:rsidR="00241093" w:rsidRPr="000925A8" w:rsidRDefault="00241093">
      <w:pPr>
        <w:pStyle w:val="Fotnotstext"/>
      </w:pPr>
      <w:r w:rsidRPr="000925A8">
        <w:rPr>
          <w:rStyle w:val="Fotnotsreferens"/>
        </w:rPr>
        <w:footnoteRef/>
      </w:r>
      <w:r w:rsidRPr="000925A8">
        <w:t xml:space="preserve"> En komprimerad version av enkäten återfinns i bilaga ett.</w:t>
      </w:r>
    </w:p>
  </w:footnote>
  <w:footnote w:id="93">
    <w:p w14:paraId="377D8068" w14:textId="77777777" w:rsidR="00241093" w:rsidRPr="000925A8" w:rsidRDefault="00241093">
      <w:pPr>
        <w:pStyle w:val="Fotnotstext"/>
      </w:pPr>
      <w:r w:rsidRPr="000925A8">
        <w:rPr>
          <w:rStyle w:val="Fotnotsreferens"/>
        </w:rPr>
        <w:footnoteRef/>
      </w:r>
      <w:r w:rsidRPr="000925A8">
        <w:t xml:space="preserve"> Länsstyrelsen i Gotlands län har endast besvarat fråga ett. Då länet endast består av en kommun och då denna saknar landgränser mot andra kommuner, förekommer det egentligen inga mellankommunala PBL-frågor.</w:t>
      </w:r>
    </w:p>
  </w:footnote>
  <w:footnote w:id="94">
    <w:p w14:paraId="64B3F098" w14:textId="77777777" w:rsidR="00241093" w:rsidRPr="000925A8" w:rsidRDefault="00241093">
      <w:pPr>
        <w:pStyle w:val="Fotnotstext"/>
      </w:pPr>
      <w:r w:rsidRPr="000925A8">
        <w:rPr>
          <w:rStyle w:val="Fotnotsreferens"/>
        </w:rPr>
        <w:footnoteRef/>
      </w:r>
      <w:r w:rsidRPr="000925A8">
        <w:t xml:space="preserve"> Dessa fem län var F, G, O, W och Z län. En förteckning över länsbokstäver finns i bilaga 4.</w:t>
      </w:r>
    </w:p>
  </w:footnote>
  <w:footnote w:id="95">
    <w:p w14:paraId="6621D6C0" w14:textId="77777777" w:rsidR="00241093" w:rsidRPr="000925A8" w:rsidRDefault="00241093">
      <w:pPr>
        <w:pStyle w:val="Fotnotstext"/>
      </w:pPr>
      <w:r w:rsidRPr="000925A8">
        <w:rPr>
          <w:rStyle w:val="Fotnotsreferens"/>
        </w:rPr>
        <w:footnoteRef/>
      </w:r>
      <w:r w:rsidRPr="000925A8">
        <w:t xml:space="preserve"> De två länsstyrelser som inte alls instämde i påståendet (angav värdet 1) var de i BD respe</w:t>
      </w:r>
      <w:r w:rsidRPr="000925A8">
        <w:t>k</w:t>
      </w:r>
      <w:r w:rsidRPr="000925A8">
        <w:t>tive Y län.</w:t>
      </w:r>
    </w:p>
  </w:footnote>
  <w:footnote w:id="96">
    <w:p w14:paraId="3B38744B" w14:textId="77777777" w:rsidR="00241093" w:rsidRPr="000925A8" w:rsidRDefault="00241093">
      <w:pPr>
        <w:pStyle w:val="Fotnotstext"/>
      </w:pPr>
      <w:r w:rsidRPr="000925A8">
        <w:rPr>
          <w:rStyle w:val="Fotnotsreferens"/>
        </w:rPr>
        <w:footnoteRef/>
      </w:r>
      <w:r w:rsidRPr="000925A8">
        <w:t xml:space="preserve"> Två länsstyrelser instämmer inte i påståendet (anger värden &lt; fyra). Dessa är de i F (värdet två) och T län (värdet tre).</w:t>
      </w:r>
    </w:p>
  </w:footnote>
  <w:footnote w:id="97">
    <w:p w14:paraId="7FD23457" w14:textId="77777777" w:rsidR="00241093" w:rsidRPr="000925A8" w:rsidRDefault="00241093">
      <w:pPr>
        <w:pStyle w:val="Fotnotstext"/>
      </w:pPr>
      <w:r w:rsidRPr="000925A8">
        <w:rPr>
          <w:rStyle w:val="Fotnotsreferens"/>
        </w:rPr>
        <w:footnoteRef/>
      </w:r>
      <w:r w:rsidRPr="000925A8">
        <w:t xml:space="preserve"> BD och F län anger värdet 2 medan AC, D, G, H, O, U, X och Z län anger värdet 3.</w:t>
      </w:r>
    </w:p>
  </w:footnote>
  <w:footnote w:id="98">
    <w:p w14:paraId="3E2ED84E" w14:textId="77777777" w:rsidR="00241093" w:rsidRPr="000925A8" w:rsidRDefault="00241093">
      <w:pPr>
        <w:pStyle w:val="Fotnotstext"/>
      </w:pPr>
      <w:r w:rsidRPr="000925A8">
        <w:rPr>
          <w:rStyle w:val="Fotnotsreferens"/>
        </w:rPr>
        <w:footnoteRef/>
      </w:r>
      <w:r w:rsidRPr="000925A8">
        <w:t xml:space="preserve"> O, X och Z län anger värdet 2 medan AC, BD, C, D, F, H, T, och U län anger värdet 3.</w:t>
      </w:r>
    </w:p>
  </w:footnote>
  <w:footnote w:id="99">
    <w:p w14:paraId="262CF4FD" w14:textId="77777777" w:rsidR="00241093" w:rsidRPr="000925A8" w:rsidRDefault="00241093">
      <w:pPr>
        <w:pStyle w:val="Fotnotstext"/>
      </w:pPr>
      <w:r w:rsidRPr="000925A8">
        <w:rPr>
          <w:rStyle w:val="Fotnotsreferens"/>
        </w:rPr>
        <w:footnoteRef/>
      </w:r>
      <w:r w:rsidRPr="000925A8">
        <w:t xml:space="preserve"> Det bör erinras att flera länsstyrelser anger att variationen i hur mycket de mella</w:t>
      </w:r>
      <w:r w:rsidRPr="000925A8">
        <w:t>n</w:t>
      </w:r>
      <w:r w:rsidRPr="000925A8">
        <w:t>kommunala frågo</w:t>
      </w:r>
      <w:r w:rsidRPr="000925A8">
        <w:t>r</w:t>
      </w:r>
      <w:r w:rsidRPr="000925A8">
        <w:t>na diskuteras med olika kommuner är stor.</w:t>
      </w:r>
    </w:p>
  </w:footnote>
  <w:footnote w:id="100">
    <w:p w14:paraId="25BF60C8" w14:textId="77777777" w:rsidR="00241093" w:rsidRPr="000925A8" w:rsidRDefault="00241093">
      <w:pPr>
        <w:pStyle w:val="Fotnotstext"/>
      </w:pPr>
      <w:r w:rsidRPr="000925A8">
        <w:rPr>
          <w:rStyle w:val="Fotnotsreferens"/>
        </w:rPr>
        <w:footnoteRef/>
      </w:r>
      <w:r w:rsidRPr="000925A8">
        <w:t xml:space="preserve"> </w:t>
      </w:r>
      <w:r w:rsidRPr="000925A8">
        <w:rPr>
          <w:sz w:val="20"/>
        </w:rPr>
        <w:t>Enligt Boverkets statistik arbetade 198 kommuner med en andra o</w:t>
      </w:r>
      <w:r w:rsidRPr="000925A8">
        <w:rPr>
          <w:sz w:val="20"/>
        </w:rPr>
        <w:t>m</w:t>
      </w:r>
      <w:r w:rsidRPr="000925A8">
        <w:rPr>
          <w:sz w:val="20"/>
        </w:rPr>
        <w:t>gång av sina kommunomfattande översiktsplaner den 1 juni 2001. Av dessa har 43 kommuner också hunnit anta översiktsplanerna. På 249 pla</w:t>
      </w:r>
      <w:r w:rsidRPr="000925A8">
        <w:rPr>
          <w:sz w:val="20"/>
        </w:rPr>
        <w:t>t</w:t>
      </w:r>
      <w:r w:rsidRPr="000925A8">
        <w:rPr>
          <w:sz w:val="20"/>
        </w:rPr>
        <w:t>ser pågick det arbete med fördjupade översiktsplaner. Boverket konstat</w:t>
      </w:r>
      <w:r w:rsidRPr="000925A8">
        <w:rPr>
          <w:sz w:val="20"/>
        </w:rPr>
        <w:t>e</w:t>
      </w:r>
      <w:r w:rsidRPr="000925A8">
        <w:rPr>
          <w:sz w:val="20"/>
        </w:rPr>
        <w:t>rade att ett stort antal fördjupningar med tiden innebär att kravet på ty</w:t>
      </w:r>
      <w:r w:rsidRPr="000925A8">
        <w:rPr>
          <w:sz w:val="20"/>
        </w:rPr>
        <w:t>d</w:t>
      </w:r>
      <w:r w:rsidRPr="000925A8">
        <w:rPr>
          <w:sz w:val="20"/>
        </w:rPr>
        <w:t>lighet hos öve</w:t>
      </w:r>
      <w:r w:rsidRPr="000925A8">
        <w:rPr>
          <w:sz w:val="20"/>
        </w:rPr>
        <w:t>r</w:t>
      </w:r>
      <w:r w:rsidRPr="000925A8">
        <w:rPr>
          <w:sz w:val="20"/>
        </w:rPr>
        <w:t>siktsplanen inte uppfylls</w:t>
      </w:r>
      <w:r w:rsidRPr="000925A8">
        <w:t>.</w:t>
      </w:r>
    </w:p>
  </w:footnote>
  <w:footnote w:id="101">
    <w:p w14:paraId="39F0AE73" w14:textId="77777777" w:rsidR="00241093" w:rsidRPr="000925A8" w:rsidRDefault="00241093">
      <w:pPr>
        <w:pStyle w:val="Fotnotstext"/>
      </w:pPr>
      <w:r w:rsidRPr="000925A8">
        <w:rPr>
          <w:rStyle w:val="Fotnotsreferens"/>
        </w:rPr>
        <w:footnoteRef/>
      </w:r>
      <w:r w:rsidRPr="000925A8">
        <w:t xml:space="preserve"> Som jämförelse kan nämnas att påpekanden om brister i den mellankommunala samordningen endast har gjorts i 1 % av yttrandena i Västra Götalands län samt i mindre än 5 % av yttra</w:t>
      </w:r>
      <w:r w:rsidRPr="000925A8">
        <w:t>n</w:t>
      </w:r>
      <w:r w:rsidRPr="000925A8">
        <w:t>dena i Skåne län.</w:t>
      </w:r>
    </w:p>
  </w:footnote>
  <w:footnote w:id="102">
    <w:p w14:paraId="61614ACA" w14:textId="77777777" w:rsidR="00241093" w:rsidRPr="000925A8" w:rsidRDefault="00241093">
      <w:pPr>
        <w:pStyle w:val="Fotnotstext"/>
      </w:pPr>
      <w:r w:rsidRPr="000925A8">
        <w:rPr>
          <w:rStyle w:val="Fotnotsreferens"/>
        </w:rPr>
        <w:footnoteRef/>
      </w:r>
      <w:r w:rsidRPr="000925A8">
        <w:t xml:space="preserve"> Dessa var länsstyrelserna i BD, C, D, F och N län.</w:t>
      </w:r>
    </w:p>
  </w:footnote>
  <w:footnote w:id="103">
    <w:p w14:paraId="6C7F1F7E" w14:textId="77777777" w:rsidR="00241093" w:rsidRPr="000925A8" w:rsidRDefault="00241093">
      <w:pPr>
        <w:pStyle w:val="Fotnotstext"/>
      </w:pPr>
      <w:r w:rsidRPr="000925A8">
        <w:rPr>
          <w:rStyle w:val="Fotnotsreferens"/>
        </w:rPr>
        <w:footnoteRef/>
      </w:r>
      <w:r w:rsidRPr="000925A8">
        <w:t xml:space="preserve"> Tidsperioden 1998–2001 har valts då den bedöms vara rimlig att överblicka för länsstyrelserna. En längre tidsperiod antas ha resulterat i en lägre svarsfrekvens samt en lägre tillförlitlighet i svaren.</w:t>
      </w:r>
    </w:p>
  </w:footnote>
  <w:footnote w:id="104">
    <w:p w14:paraId="63E80521" w14:textId="77777777" w:rsidR="00241093" w:rsidRPr="000925A8" w:rsidRDefault="00241093">
      <w:pPr>
        <w:pStyle w:val="Fotnotstext"/>
      </w:pPr>
      <w:r w:rsidRPr="000925A8">
        <w:rPr>
          <w:rStyle w:val="Fotnotsreferens"/>
        </w:rPr>
        <w:footnoteRef/>
      </w:r>
      <w:r w:rsidRPr="000925A8">
        <w:t xml:space="preserve"> De sju fallens fördelning på län: Blekinge län; 1, Jämtlands län; 2, Skåne län; 3 och Stoc</w:t>
      </w:r>
      <w:r w:rsidRPr="000925A8">
        <w:t>k</w:t>
      </w:r>
      <w:r w:rsidRPr="000925A8">
        <w:t>holms län; 1</w:t>
      </w:r>
    </w:p>
  </w:footnote>
  <w:footnote w:id="105">
    <w:p w14:paraId="5719B39B" w14:textId="77777777" w:rsidR="00241093" w:rsidRPr="000925A8" w:rsidRDefault="00241093">
      <w:pPr>
        <w:pStyle w:val="Fotnotstext"/>
      </w:pPr>
      <w:r w:rsidRPr="000925A8">
        <w:rPr>
          <w:rStyle w:val="Fotnotsreferens"/>
        </w:rPr>
        <w:footnoteRef/>
      </w:r>
      <w:r w:rsidRPr="000925A8">
        <w:t xml:space="preserve"> Prövningen i Stockholms län avsåg grustäkt.</w:t>
      </w:r>
    </w:p>
  </w:footnote>
  <w:footnote w:id="106">
    <w:p w14:paraId="100C1B60" w14:textId="77777777" w:rsidR="00241093" w:rsidRPr="000925A8" w:rsidRDefault="00241093">
      <w:pPr>
        <w:pStyle w:val="Fotnotstext"/>
      </w:pPr>
      <w:r w:rsidRPr="000925A8">
        <w:rPr>
          <w:rStyle w:val="Fotnotsreferens"/>
        </w:rPr>
        <w:footnoteRef/>
      </w:r>
      <w:r w:rsidRPr="000925A8">
        <w:t xml:space="preserve"> Två i Skåne län och två i Jämtlands län.</w:t>
      </w:r>
    </w:p>
  </w:footnote>
  <w:footnote w:id="107">
    <w:p w14:paraId="3B82F217" w14:textId="77777777" w:rsidR="00241093" w:rsidRPr="000925A8" w:rsidRDefault="00241093">
      <w:pPr>
        <w:pStyle w:val="Fotnotstext"/>
      </w:pPr>
      <w:r w:rsidRPr="000925A8">
        <w:rPr>
          <w:rStyle w:val="Fotnotsreferens"/>
        </w:rPr>
        <w:footnoteRef/>
      </w:r>
      <w:r w:rsidRPr="000925A8">
        <w:t xml:space="preserve"> De fyra fall där länsstyrelsen helt eller delvis upphävde kommunernas planbeslut beskrivs närmare i kapitel 7.</w:t>
      </w:r>
    </w:p>
  </w:footnote>
  <w:footnote w:id="108">
    <w:p w14:paraId="298E2962" w14:textId="77777777" w:rsidR="00241093" w:rsidRPr="000925A8" w:rsidRDefault="00241093">
      <w:pPr>
        <w:pStyle w:val="Fotnotstext"/>
      </w:pPr>
      <w:r w:rsidRPr="000925A8">
        <w:rPr>
          <w:rStyle w:val="Fotnotsreferens"/>
        </w:rPr>
        <w:footnoteRef/>
      </w:r>
      <w:r w:rsidRPr="000925A8">
        <w:t xml:space="preserve"> Länsstyrelsernas beslut enligt 12 kap. 2 § PBL om huruvida prövning ska ske får inte öve</w:t>
      </w:r>
      <w:r w:rsidRPr="000925A8">
        <w:t>r</w:t>
      </w:r>
      <w:r w:rsidRPr="000925A8">
        <w:t>klagas (13 kap. 4 § PBL).</w:t>
      </w:r>
    </w:p>
  </w:footnote>
  <w:footnote w:id="109">
    <w:p w14:paraId="4DD663F3" w14:textId="77777777" w:rsidR="00241093" w:rsidRPr="000925A8" w:rsidRDefault="00241093">
      <w:pPr>
        <w:pStyle w:val="Fotnotstext"/>
      </w:pPr>
      <w:r w:rsidRPr="000925A8">
        <w:rPr>
          <w:rStyle w:val="Fotnotsreferens"/>
        </w:rPr>
        <w:footnoteRef/>
      </w:r>
      <w:r w:rsidRPr="000925A8">
        <w:t xml:space="preserve"> Prop. 1985/86:1, s. 801.</w:t>
      </w:r>
    </w:p>
  </w:footnote>
  <w:footnote w:id="110">
    <w:p w14:paraId="34C548D4" w14:textId="77777777" w:rsidR="00241093" w:rsidRPr="000925A8" w:rsidRDefault="00241093">
      <w:pPr>
        <w:pStyle w:val="Fotnotstext"/>
      </w:pPr>
      <w:r w:rsidRPr="000925A8">
        <w:rPr>
          <w:rStyle w:val="Fotnotsreferens"/>
        </w:rPr>
        <w:footnoteRef/>
      </w:r>
      <w:r w:rsidRPr="000925A8">
        <w:t xml:space="preserve"> Länsstyrelserna i Kronobergs respektive Gävleborgs län avstod, utöver Länsstyre</w:t>
      </w:r>
      <w:r w:rsidRPr="000925A8">
        <w:t>l</w:t>
      </w:r>
      <w:r w:rsidRPr="000925A8">
        <w:t>sen i Go</w:t>
      </w:r>
      <w:r w:rsidRPr="000925A8">
        <w:t>t</w:t>
      </w:r>
      <w:r w:rsidRPr="000925A8">
        <w:t>lands län, från att ta ställning till påståendet.</w:t>
      </w:r>
    </w:p>
  </w:footnote>
  <w:footnote w:id="111">
    <w:p w14:paraId="0F87C7E8" w14:textId="77777777" w:rsidR="00241093" w:rsidRPr="000925A8" w:rsidRDefault="00241093">
      <w:pPr>
        <w:pStyle w:val="Fotnotstext"/>
      </w:pPr>
      <w:r w:rsidRPr="000925A8">
        <w:rPr>
          <w:rStyle w:val="Fotnotsreferens"/>
        </w:rPr>
        <w:footnoteRef/>
      </w:r>
      <w:r w:rsidRPr="000925A8">
        <w:t xml:space="preserve"> 12 kap. 4 § PBL.</w:t>
      </w:r>
    </w:p>
  </w:footnote>
  <w:footnote w:id="112">
    <w:p w14:paraId="670CCF6B" w14:textId="77777777" w:rsidR="00241093" w:rsidRPr="000925A8" w:rsidRDefault="00241093">
      <w:pPr>
        <w:pStyle w:val="Fotnotstext"/>
      </w:pPr>
      <w:r w:rsidRPr="000925A8">
        <w:rPr>
          <w:rStyle w:val="Fotnotsreferens"/>
        </w:rPr>
        <w:footnoteRef/>
      </w:r>
      <w:r w:rsidRPr="000925A8">
        <w:t xml:space="preserve"> De fem fallens fördelning på län: Dalarnas län; 1, Jämtlands län; 1, Skåne län; 1–2, Vär</w:t>
      </w:r>
      <w:r w:rsidRPr="000925A8">
        <w:t>m</w:t>
      </w:r>
      <w:r w:rsidRPr="000925A8">
        <w:t>lands län; 1.</w:t>
      </w:r>
    </w:p>
  </w:footnote>
  <w:footnote w:id="113">
    <w:p w14:paraId="717E284A" w14:textId="77777777" w:rsidR="00241093" w:rsidRPr="000925A8" w:rsidRDefault="00241093">
      <w:pPr>
        <w:pStyle w:val="Fotnotstext"/>
      </w:pPr>
      <w:r w:rsidRPr="000925A8">
        <w:rPr>
          <w:rStyle w:val="Fotnotsreferens"/>
        </w:rPr>
        <w:footnoteRef/>
      </w:r>
      <w:r w:rsidRPr="000925A8">
        <w:t xml:space="preserve"> Avser </w:t>
      </w:r>
      <w:r w:rsidRPr="000925A8">
        <w:rPr>
          <w:snapToGrid w:val="0"/>
          <w:lang w:eastAsia="sv-SE"/>
        </w:rPr>
        <w:t xml:space="preserve">järnvägssträckan Kallhäll–Stäksundet i Järfälla kommun. </w:t>
      </w:r>
      <w:r w:rsidRPr="000925A8">
        <w:t xml:space="preserve">De två övriga ärendena </w:t>
      </w:r>
      <w:r w:rsidRPr="000925A8">
        <w:rPr>
          <w:snapToGrid w:val="0"/>
          <w:lang w:eastAsia="sv-SE"/>
        </w:rPr>
        <w:t xml:space="preserve">gällde höghusprojekt i Malmö (Scandinavian Tower) och i Umeå och avsåg befarad påverkan på </w:t>
      </w:r>
      <w:r w:rsidRPr="000925A8">
        <w:t xml:space="preserve">riksintressen. </w:t>
      </w:r>
      <w:r w:rsidRPr="000925A8">
        <w:rPr>
          <w:snapToGrid w:val="0"/>
          <w:lang w:eastAsia="sv-SE"/>
        </w:rPr>
        <w:t>Båda ärendena är numera avslutade. I Malmöfallet var anledningen att tornet var så högt att det förväntades påverka förhållandena inom ett stort omland, troligen även i andra kommuner. Ärendet hade således ”mellankommunala inslag” även om den påverkan som Riksantikvarieämbetet ville begränsa var den på den kulturhistor</w:t>
      </w:r>
      <w:r w:rsidRPr="000925A8">
        <w:rPr>
          <w:snapToGrid w:val="0"/>
          <w:lang w:eastAsia="sv-SE"/>
        </w:rPr>
        <w:t>iskt riksintressanta landskapsbilden.</w:t>
      </w:r>
    </w:p>
  </w:footnote>
  <w:footnote w:id="114">
    <w:p w14:paraId="0FDC98B8" w14:textId="77777777" w:rsidR="00241093" w:rsidRPr="000925A8" w:rsidRDefault="00241093">
      <w:pPr>
        <w:pStyle w:val="Fotnotstext"/>
      </w:pPr>
      <w:r w:rsidRPr="000925A8">
        <w:rPr>
          <w:rStyle w:val="Fotnotsreferens"/>
        </w:rPr>
        <w:footnoteRef/>
      </w:r>
      <w:r w:rsidRPr="000925A8">
        <w:t xml:space="preserve"> Utbyggnaden av Bergviks Köpcentrum i Karlstads kommun respektive utbyggn</w:t>
      </w:r>
      <w:r w:rsidRPr="000925A8">
        <w:t>a</w:t>
      </w:r>
      <w:r w:rsidRPr="000925A8">
        <w:t>den av K</w:t>
      </w:r>
      <w:r w:rsidRPr="000925A8">
        <w:t>u</w:t>
      </w:r>
      <w:r w:rsidRPr="000925A8">
        <w:t>polens köpcentrum i Borlänge kommun.</w:t>
      </w:r>
    </w:p>
  </w:footnote>
  <w:footnote w:id="115">
    <w:p w14:paraId="1CDB8BCF" w14:textId="77777777" w:rsidR="00241093" w:rsidRPr="000925A8" w:rsidRDefault="00241093">
      <w:pPr>
        <w:pStyle w:val="Fotnotstext"/>
      </w:pPr>
      <w:r w:rsidRPr="000925A8">
        <w:rPr>
          <w:rStyle w:val="Fotnotsreferens"/>
        </w:rPr>
        <w:footnoteRef/>
      </w:r>
      <w:r w:rsidRPr="000925A8">
        <w:t xml:space="preserve"> Höög, Terese och Sunesson, Camilla, </w:t>
      </w:r>
      <w:r w:rsidRPr="000925A8">
        <w:rPr>
          <w:i/>
        </w:rPr>
        <w:t>Varför Vägverket medverkar i den komm</w:t>
      </w:r>
      <w:r w:rsidRPr="000925A8">
        <w:rPr>
          <w:i/>
        </w:rPr>
        <w:t>u</w:t>
      </w:r>
      <w:r w:rsidRPr="000925A8">
        <w:rPr>
          <w:i/>
        </w:rPr>
        <w:t>nala fysiska plan</w:t>
      </w:r>
      <w:r w:rsidRPr="000925A8">
        <w:rPr>
          <w:i/>
        </w:rPr>
        <w:t>e</w:t>
      </w:r>
      <w:r w:rsidRPr="000925A8">
        <w:rPr>
          <w:i/>
        </w:rPr>
        <w:t>ringen</w:t>
      </w:r>
      <w:r w:rsidRPr="000925A8">
        <w:t>, PLAN, 1/2001, s. 26 och 30.</w:t>
      </w:r>
    </w:p>
  </w:footnote>
  <w:footnote w:id="116">
    <w:p w14:paraId="2D8F4A2F" w14:textId="77777777" w:rsidR="00241093" w:rsidRPr="000925A8" w:rsidRDefault="00241093">
      <w:pPr>
        <w:pStyle w:val="Fotnotstext"/>
      </w:pPr>
      <w:r w:rsidRPr="000925A8">
        <w:rPr>
          <w:rStyle w:val="Fotnotsreferens"/>
        </w:rPr>
        <w:footnoteRef/>
      </w:r>
      <w:r w:rsidRPr="000925A8">
        <w:t xml:space="preserve"> Denna tidiga dialog mellan kommuner och trafikverk kan ha konsekvenser för länsstyrelsens möjligheter att åstadkomma en lämplig samordning av de </w:t>
      </w:r>
      <w:r w:rsidRPr="000925A8">
        <w:rPr>
          <w:i/>
        </w:rPr>
        <w:t>statliga</w:t>
      </w:r>
      <w:r w:rsidRPr="000925A8">
        <w:t xml:space="preserve"> intre</w:t>
      </w:r>
      <w:r w:rsidRPr="000925A8">
        <w:t>s</w:t>
      </w:r>
      <w:r w:rsidRPr="000925A8">
        <w:t>sena på regional nivå. Som tidigare har nämnts behandlas dock inte frågor om den statliga samordningen närmare i denna studie.</w:t>
      </w:r>
    </w:p>
  </w:footnote>
  <w:footnote w:id="117">
    <w:p w14:paraId="6D1DB993" w14:textId="77777777" w:rsidR="00241093" w:rsidRPr="000925A8" w:rsidRDefault="00241093">
      <w:pPr>
        <w:pStyle w:val="Fotnotstext"/>
      </w:pPr>
      <w:r w:rsidRPr="000925A8">
        <w:rPr>
          <w:rStyle w:val="Fotnotsreferens"/>
        </w:rPr>
        <w:footnoteRef/>
      </w:r>
      <w:r w:rsidRPr="000925A8">
        <w:t xml:space="preserve"> Länsstyrelsen i Kronobergs län, </w:t>
      </w:r>
      <w:r w:rsidRPr="000925A8">
        <w:rPr>
          <w:i/>
        </w:rPr>
        <w:t>Mellankommunala och länsövergripande frågor, arbetsmaterial</w:t>
      </w:r>
      <w:r w:rsidRPr="000925A8">
        <w:t>, 1996-03-15.</w:t>
      </w:r>
    </w:p>
  </w:footnote>
  <w:footnote w:id="118">
    <w:p w14:paraId="286527B4" w14:textId="77777777" w:rsidR="00241093" w:rsidRPr="000925A8" w:rsidRDefault="00241093">
      <w:pPr>
        <w:pStyle w:val="Fotnotstext"/>
      </w:pPr>
      <w:r w:rsidRPr="000925A8">
        <w:rPr>
          <w:rStyle w:val="Fotnotsreferens"/>
        </w:rPr>
        <w:footnoteRef/>
      </w:r>
      <w:r w:rsidRPr="000925A8">
        <w:t xml:space="preserve"> Lag (1987:147) om regionplanering för kommunerna i Stockholms län.</w:t>
      </w:r>
    </w:p>
  </w:footnote>
  <w:footnote w:id="119">
    <w:p w14:paraId="4BB0DC10" w14:textId="77777777" w:rsidR="00241093" w:rsidRPr="000925A8" w:rsidRDefault="00241093">
      <w:pPr>
        <w:pStyle w:val="Fotnotstext"/>
      </w:pPr>
      <w:r w:rsidRPr="000925A8">
        <w:rPr>
          <w:rStyle w:val="Fotnotsreferens"/>
        </w:rPr>
        <w:footnoteRef/>
      </w:r>
      <w:r w:rsidRPr="000925A8">
        <w:t xml:space="preserve"> Sedan början av 2001 verkar även en kommitté bl.a. med uppdrag att ta fram förslag till insatser som kan förbättra transportsystemet i Stockholmsområdet (den s.k. Stoc</w:t>
      </w:r>
      <w:r w:rsidRPr="000925A8">
        <w:t>k</w:t>
      </w:r>
      <w:r w:rsidRPr="000925A8">
        <w:t>holmsbere</w:t>
      </w:r>
      <w:r w:rsidRPr="000925A8">
        <w:t>d</w:t>
      </w:r>
      <w:r w:rsidRPr="000925A8">
        <w:t>ningen).</w:t>
      </w:r>
    </w:p>
  </w:footnote>
  <w:footnote w:id="120">
    <w:p w14:paraId="5AF72A14" w14:textId="77777777" w:rsidR="00241093" w:rsidRPr="000925A8" w:rsidRDefault="00241093">
      <w:pPr>
        <w:pStyle w:val="Fotnotstext"/>
      </w:pPr>
      <w:r w:rsidRPr="000925A8">
        <w:rPr>
          <w:rStyle w:val="Fotnotsreferens"/>
        </w:rPr>
        <w:footnoteRef/>
      </w:r>
      <w:r w:rsidRPr="000925A8">
        <w:t xml:space="preserve"> Korrelationskoefficienten=0,41.</w:t>
      </w:r>
    </w:p>
  </w:footnote>
  <w:footnote w:id="121">
    <w:p w14:paraId="57161A0E" w14:textId="77777777" w:rsidR="00241093" w:rsidRPr="000925A8" w:rsidRDefault="00241093">
      <w:pPr>
        <w:pStyle w:val="Fotnotstext"/>
      </w:pPr>
      <w:r w:rsidRPr="000925A8">
        <w:rPr>
          <w:rStyle w:val="Fotnotsreferens"/>
        </w:rPr>
        <w:footnoteRef/>
      </w:r>
      <w:r w:rsidRPr="000925A8">
        <w:t xml:space="preserve"> Korrelationskoefficienten=0,33.</w:t>
      </w:r>
    </w:p>
  </w:footnote>
  <w:footnote w:id="122">
    <w:p w14:paraId="05F26E4B" w14:textId="77777777" w:rsidR="00241093" w:rsidRPr="000925A8" w:rsidRDefault="00241093">
      <w:pPr>
        <w:pStyle w:val="Fotnotstext"/>
      </w:pPr>
      <w:r w:rsidRPr="000925A8">
        <w:rPr>
          <w:rStyle w:val="Fotnotsreferens"/>
        </w:rPr>
        <w:footnoteRef/>
      </w:r>
      <w:r w:rsidRPr="000925A8">
        <w:t xml:space="preserve"> Korrelationskoefficienten=-0,18.</w:t>
      </w:r>
    </w:p>
  </w:footnote>
  <w:footnote w:id="123">
    <w:p w14:paraId="407DF99B" w14:textId="77777777" w:rsidR="00241093" w:rsidRPr="000925A8" w:rsidRDefault="00241093">
      <w:pPr>
        <w:pStyle w:val="Fotnotstext"/>
      </w:pPr>
      <w:r w:rsidRPr="000925A8">
        <w:rPr>
          <w:rStyle w:val="Fotnotsreferens"/>
        </w:rPr>
        <w:footnoteRef/>
      </w:r>
      <w:r w:rsidRPr="000925A8">
        <w:t xml:space="preserve"> Här redovisas inte närmare vilka län som har höga respektive låga medelvärden. Motivet till detta är att skydda de enskilda kommunernas uppgifter.</w:t>
      </w:r>
    </w:p>
  </w:footnote>
  <w:footnote w:id="124">
    <w:p w14:paraId="3BDD784A" w14:textId="77777777" w:rsidR="00241093" w:rsidRPr="000925A8" w:rsidRDefault="00241093">
      <w:pPr>
        <w:pStyle w:val="Fotnotstext"/>
      </w:pPr>
      <w:r w:rsidRPr="000925A8">
        <w:rPr>
          <w:rStyle w:val="Fotnotsreferens"/>
        </w:rPr>
        <w:footnoteRef/>
      </w:r>
      <w:r w:rsidRPr="000925A8">
        <w:t xml:space="preserve"> Korrelationskoefficienten=0,53.</w:t>
      </w:r>
    </w:p>
  </w:footnote>
  <w:footnote w:id="125">
    <w:p w14:paraId="3A5C8593" w14:textId="77777777" w:rsidR="00241093" w:rsidRPr="000925A8" w:rsidRDefault="00241093">
      <w:pPr>
        <w:pStyle w:val="Fotnotstext"/>
      </w:pPr>
      <w:r w:rsidRPr="000925A8">
        <w:rPr>
          <w:rStyle w:val="Fotnotsreferens"/>
        </w:rPr>
        <w:footnoteRef/>
      </w:r>
      <w:r w:rsidRPr="000925A8">
        <w:t xml:space="preserve"> Korrelationskoefficienten=0,16.</w:t>
      </w:r>
    </w:p>
  </w:footnote>
  <w:footnote w:id="126">
    <w:p w14:paraId="0A7D3850" w14:textId="77777777" w:rsidR="00241093" w:rsidRPr="000925A8" w:rsidRDefault="00241093">
      <w:pPr>
        <w:pStyle w:val="Fotnotstext"/>
      </w:pPr>
      <w:r w:rsidRPr="000925A8">
        <w:rPr>
          <w:rStyle w:val="Fotnotsreferens"/>
        </w:rPr>
        <w:footnoteRef/>
      </w:r>
      <w:r w:rsidRPr="000925A8">
        <w:t xml:space="preserve"> Märk att sambandsanalysen endast omfattar 14 län. I övriga län har endast en ko</w:t>
      </w:r>
      <w:r w:rsidRPr="000925A8">
        <w:t>m</w:t>
      </w:r>
      <w:r w:rsidRPr="000925A8">
        <w:t>mun b</w:t>
      </w:r>
      <w:r w:rsidRPr="000925A8">
        <w:t>e</w:t>
      </w:r>
      <w:r w:rsidRPr="000925A8">
        <w:t>svarat frågorna, och några medelvärden har således inte kunnat beräknas.</w:t>
      </w:r>
    </w:p>
  </w:footnote>
  <w:footnote w:id="127">
    <w:p w14:paraId="00E61BB9" w14:textId="77777777" w:rsidR="00241093" w:rsidRPr="000925A8" w:rsidRDefault="00241093">
      <w:pPr>
        <w:pStyle w:val="Fotnotstext"/>
      </w:pPr>
      <w:r w:rsidRPr="000925A8">
        <w:rPr>
          <w:rStyle w:val="Fotnotsreferens"/>
        </w:rPr>
        <w:footnoteRef/>
      </w:r>
      <w:r w:rsidRPr="000925A8">
        <w:t xml:space="preserve"> Märk att medelvärden endast finns att tillgå för tretton län och att kommunurvalet i respektive län är litet.</w:t>
      </w:r>
    </w:p>
  </w:footnote>
  <w:footnote w:id="128">
    <w:p w14:paraId="16C246B3" w14:textId="77777777" w:rsidR="00241093" w:rsidRPr="000925A8" w:rsidRDefault="00241093">
      <w:pPr>
        <w:pStyle w:val="Fotnotstext"/>
      </w:pPr>
      <w:r w:rsidRPr="000925A8">
        <w:rPr>
          <w:rStyle w:val="Fotnotsreferens"/>
        </w:rPr>
        <w:footnoteRef/>
      </w:r>
      <w:r w:rsidRPr="000925A8">
        <w:t xml:space="preserve"> Antalet kommuner som besvarade frågan var 27. Ett tiotal kommuner avstod sål</w:t>
      </w:r>
      <w:r w:rsidRPr="000925A8">
        <w:t>e</w:t>
      </w:r>
      <w:r w:rsidRPr="000925A8">
        <w:t>des från att ta ställning till påståendet.</w:t>
      </w:r>
    </w:p>
  </w:footnote>
  <w:footnote w:id="129">
    <w:p w14:paraId="361F073D" w14:textId="77777777" w:rsidR="00241093" w:rsidRPr="000925A8" w:rsidRDefault="00241093">
      <w:pPr>
        <w:pStyle w:val="Fotnotstext"/>
      </w:pPr>
      <w:r w:rsidRPr="000925A8">
        <w:rPr>
          <w:rStyle w:val="Fotnotsreferens"/>
        </w:rPr>
        <w:footnoteRef/>
      </w:r>
      <w:r w:rsidRPr="000925A8">
        <w:t xml:space="preserve"> Prop. 1997/98:165.</w:t>
      </w:r>
    </w:p>
  </w:footnote>
  <w:footnote w:id="130">
    <w:p w14:paraId="5F6575B4" w14:textId="77777777" w:rsidR="00241093" w:rsidRPr="000925A8" w:rsidRDefault="00241093">
      <w:pPr>
        <w:pStyle w:val="Fotnotstext"/>
      </w:pPr>
      <w:r w:rsidRPr="000925A8">
        <w:rPr>
          <w:rStyle w:val="Fotnotsreferens"/>
        </w:rPr>
        <w:footnoteRef/>
      </w:r>
      <w:r w:rsidRPr="000925A8">
        <w:t xml:space="preserve"> Prop. 2001/02:55.</w:t>
      </w:r>
    </w:p>
  </w:footnote>
  <w:footnote w:id="131">
    <w:p w14:paraId="526167EF" w14:textId="77777777" w:rsidR="00241093" w:rsidRPr="000925A8" w:rsidRDefault="00241093">
      <w:pPr>
        <w:pStyle w:val="Fotnotstext"/>
      </w:pPr>
      <w:r w:rsidRPr="000925A8">
        <w:rPr>
          <w:rStyle w:val="Fotnotsreferens"/>
        </w:rPr>
        <w:footnoteRef/>
      </w:r>
      <w:r w:rsidRPr="000925A8">
        <w:t xml:space="preserve"> Proposition 1991/92: 51, bet. 1991/92:BoU10.</w:t>
      </w:r>
    </w:p>
  </w:footnote>
  <w:footnote w:id="132">
    <w:p w14:paraId="7DDD2B17" w14:textId="77777777" w:rsidR="00241093" w:rsidRPr="000925A8" w:rsidRDefault="00241093">
      <w:pPr>
        <w:pStyle w:val="Fotnotstext"/>
      </w:pPr>
      <w:r w:rsidRPr="000925A8">
        <w:rPr>
          <w:rStyle w:val="Fotnotsreferens"/>
        </w:rPr>
        <w:footnoteRef/>
      </w:r>
      <w:r w:rsidRPr="000925A8">
        <w:t xml:space="preserve"> Boverket, </w:t>
      </w:r>
      <w:r w:rsidRPr="000925A8">
        <w:rPr>
          <w:i/>
        </w:rPr>
        <w:t>Handeln i planeringen</w:t>
      </w:r>
      <w:r w:rsidRPr="000925A8">
        <w:t>, 1999, s. 60.</w:t>
      </w:r>
    </w:p>
  </w:footnote>
  <w:footnote w:id="133">
    <w:p w14:paraId="28CB0772" w14:textId="77777777" w:rsidR="00241093" w:rsidRPr="000925A8" w:rsidRDefault="00241093">
      <w:pPr>
        <w:pStyle w:val="Fotnotstext"/>
      </w:pPr>
      <w:r w:rsidRPr="000925A8">
        <w:rPr>
          <w:rStyle w:val="Fotnotsreferens"/>
        </w:rPr>
        <w:footnoteRef/>
      </w:r>
      <w:r w:rsidRPr="000925A8">
        <w:t xml:space="preserve"> Se bl.a. motionerna 2000/01:Bo502 (m), 2000/01:Bo506 (m) yrkande 2 och 2000/01:Bo514 (m) yrkande 6.</w:t>
      </w:r>
    </w:p>
  </w:footnote>
  <w:footnote w:id="134">
    <w:p w14:paraId="0FE95E15" w14:textId="77777777" w:rsidR="00241093" w:rsidRPr="000925A8" w:rsidRDefault="00241093">
      <w:pPr>
        <w:pStyle w:val="Fotnotstext"/>
      </w:pPr>
      <w:r w:rsidRPr="000925A8">
        <w:rPr>
          <w:rStyle w:val="Fotnotsreferens"/>
        </w:rPr>
        <w:footnoteRef/>
      </w:r>
      <w:r w:rsidRPr="000925A8">
        <w:t xml:space="preserve"> Bet. 2000/01:BoU9.</w:t>
      </w:r>
    </w:p>
  </w:footnote>
  <w:footnote w:id="135">
    <w:p w14:paraId="06CB11EA" w14:textId="77777777" w:rsidR="00241093" w:rsidRPr="000925A8" w:rsidRDefault="00241093">
      <w:pPr>
        <w:pStyle w:val="Fotnotstext"/>
      </w:pPr>
      <w:r w:rsidRPr="000925A8">
        <w:rPr>
          <w:rStyle w:val="Fotnotsreferens"/>
        </w:rPr>
        <w:footnoteRef/>
      </w:r>
      <w:r w:rsidRPr="000925A8">
        <w:t xml:space="preserve"> Se bl.a. motionerna 2000/01:Bo515 (s) och 2000/01:Bo529 (mp).</w:t>
      </w:r>
    </w:p>
  </w:footnote>
  <w:footnote w:id="136">
    <w:p w14:paraId="377B0005" w14:textId="77777777" w:rsidR="00241093" w:rsidRPr="000925A8" w:rsidRDefault="00241093">
      <w:pPr>
        <w:pStyle w:val="Fotnotstext"/>
      </w:pPr>
      <w:r w:rsidRPr="000925A8">
        <w:rPr>
          <w:rStyle w:val="Fotnotsreferens"/>
        </w:rPr>
        <w:footnoteRef/>
      </w:r>
      <w:r w:rsidRPr="000925A8">
        <w:t xml:space="preserve"> Bet. 2000/01:BoU9 och bet. 1999/2000:BoU7.</w:t>
      </w:r>
    </w:p>
  </w:footnote>
  <w:footnote w:id="137">
    <w:p w14:paraId="04BC9AA2" w14:textId="77777777" w:rsidR="00241093" w:rsidRPr="000925A8" w:rsidRDefault="00241093">
      <w:pPr>
        <w:pStyle w:val="Fotnotstext"/>
      </w:pPr>
      <w:r w:rsidRPr="000925A8">
        <w:rPr>
          <w:rStyle w:val="Fotnotsreferens"/>
        </w:rPr>
        <w:footnoteRef/>
      </w:r>
      <w:r w:rsidRPr="000925A8">
        <w:t xml:space="preserve"> Boverket, </w:t>
      </w:r>
      <w:r w:rsidRPr="000925A8">
        <w:rPr>
          <w:i/>
        </w:rPr>
        <w:t>Handeln i planeringen</w:t>
      </w:r>
      <w:r w:rsidRPr="000925A8">
        <w:t>, 1999.</w:t>
      </w:r>
    </w:p>
  </w:footnote>
  <w:footnote w:id="138">
    <w:p w14:paraId="5284F205" w14:textId="77777777" w:rsidR="00241093" w:rsidRPr="000925A8" w:rsidRDefault="00241093">
      <w:pPr>
        <w:pStyle w:val="Fotnotstext"/>
      </w:pPr>
      <w:r w:rsidRPr="000925A8">
        <w:rPr>
          <w:rStyle w:val="Fotnotsreferens"/>
        </w:rPr>
        <w:footnoteRef/>
      </w:r>
      <w:r w:rsidRPr="000925A8">
        <w:t xml:space="preserve"> Konkurrensverket, </w:t>
      </w:r>
      <w:r w:rsidRPr="000925A8">
        <w:rPr>
          <w:i/>
        </w:rPr>
        <w:t>Kan kommunerna pressa matpriserna?</w:t>
      </w:r>
      <w:r w:rsidRPr="000925A8">
        <w:t>, Konkurrensverkets rappor</w:t>
      </w:r>
      <w:r w:rsidRPr="000925A8">
        <w:t>t</w:t>
      </w:r>
      <w:r w:rsidRPr="000925A8">
        <w:t>serie 2001:4, 2001.</w:t>
      </w:r>
    </w:p>
  </w:footnote>
  <w:footnote w:id="139">
    <w:p w14:paraId="51459A5C" w14:textId="77777777" w:rsidR="00241093" w:rsidRPr="000925A8" w:rsidRDefault="00241093">
      <w:pPr>
        <w:pStyle w:val="Fotnotstext"/>
      </w:pPr>
      <w:r w:rsidRPr="000925A8">
        <w:rPr>
          <w:rStyle w:val="Fotnotsreferens"/>
        </w:rPr>
        <w:footnoteRef/>
      </w:r>
      <w:r w:rsidRPr="000925A8">
        <w:t xml:space="preserve"> Miljø- og Energiministeriet i Danmark, Miljöministeriet i Finland, Miljøministeriet i Norge, Milj</w:t>
      </w:r>
      <w:r w:rsidRPr="000925A8">
        <w:t>ö</w:t>
      </w:r>
      <w:r w:rsidRPr="000925A8">
        <w:t xml:space="preserve">departementet i Sverige, </w:t>
      </w:r>
      <w:r w:rsidRPr="000925A8">
        <w:rPr>
          <w:i/>
        </w:rPr>
        <w:t>Planlægning for detailhandel i Norden</w:t>
      </w:r>
      <w:r w:rsidRPr="000925A8">
        <w:t>, 2000.</w:t>
      </w:r>
    </w:p>
  </w:footnote>
  <w:footnote w:id="140">
    <w:p w14:paraId="763F8E84" w14:textId="77777777" w:rsidR="00241093" w:rsidRPr="000925A8" w:rsidRDefault="00241093">
      <w:pPr>
        <w:pStyle w:val="Fotnotstext"/>
      </w:pPr>
      <w:r w:rsidRPr="000925A8">
        <w:rPr>
          <w:rStyle w:val="Fotnotsreferens"/>
        </w:rPr>
        <w:footnoteRef/>
      </w:r>
      <w:r w:rsidRPr="000925A8">
        <w:t xml:space="preserve"> Boverket, </w:t>
      </w:r>
      <w:r w:rsidRPr="000925A8">
        <w:rPr>
          <w:i/>
        </w:rPr>
        <w:t>Handeln i planeringen</w:t>
      </w:r>
      <w:r w:rsidRPr="000925A8">
        <w:t>, 1999, s. 10.</w:t>
      </w:r>
    </w:p>
  </w:footnote>
  <w:footnote w:id="141">
    <w:p w14:paraId="7F4B48A6" w14:textId="77777777" w:rsidR="00241093" w:rsidRPr="000925A8" w:rsidRDefault="00241093">
      <w:pPr>
        <w:pStyle w:val="Fotnotstext"/>
      </w:pPr>
      <w:r w:rsidRPr="000925A8">
        <w:rPr>
          <w:rStyle w:val="Fotnotsreferens"/>
        </w:rPr>
        <w:footnoteRef/>
      </w:r>
      <w:r w:rsidRPr="000925A8">
        <w:t xml:space="preserve"> Länsstyrelsen i Skåne län, </w:t>
      </w:r>
      <w:r w:rsidRPr="000925A8">
        <w:rPr>
          <w:i/>
        </w:rPr>
        <w:t>Regionala analyser – Handel: Delrapport 1 Kartläg</w:t>
      </w:r>
      <w:r w:rsidRPr="000925A8">
        <w:rPr>
          <w:i/>
        </w:rPr>
        <w:t>g</w:t>
      </w:r>
      <w:r w:rsidRPr="000925A8">
        <w:rPr>
          <w:i/>
        </w:rPr>
        <w:t>ning externhandel</w:t>
      </w:r>
      <w:r w:rsidRPr="000925A8">
        <w:t>, 2001, s. 9.</w:t>
      </w:r>
    </w:p>
  </w:footnote>
  <w:footnote w:id="142">
    <w:p w14:paraId="062EFB53" w14:textId="77777777" w:rsidR="00241093" w:rsidRPr="000925A8" w:rsidRDefault="00241093">
      <w:pPr>
        <w:pStyle w:val="Fotnotstext"/>
      </w:pPr>
      <w:r w:rsidRPr="000925A8">
        <w:rPr>
          <w:rStyle w:val="Fotnotsreferens"/>
        </w:rPr>
        <w:footnoteRef/>
      </w:r>
      <w:r w:rsidRPr="000925A8">
        <w:t xml:space="preserve"> Länsstyrelsen i Skåne län, </w:t>
      </w:r>
      <w:r w:rsidRPr="000925A8">
        <w:rPr>
          <w:i/>
        </w:rPr>
        <w:t>Regionala analyser – Handel: Delrapport 1 Kartläg</w:t>
      </w:r>
      <w:r w:rsidRPr="000925A8">
        <w:rPr>
          <w:i/>
        </w:rPr>
        <w:t>g</w:t>
      </w:r>
      <w:r w:rsidRPr="000925A8">
        <w:rPr>
          <w:i/>
        </w:rPr>
        <w:t>ning externhandel</w:t>
      </w:r>
      <w:r w:rsidRPr="000925A8">
        <w:t>, 2001, s. 10.</w:t>
      </w:r>
    </w:p>
  </w:footnote>
  <w:footnote w:id="143">
    <w:p w14:paraId="536C4BBC" w14:textId="77777777" w:rsidR="00241093" w:rsidRPr="000925A8" w:rsidRDefault="00241093">
      <w:pPr>
        <w:pStyle w:val="Fotnotstext"/>
      </w:pPr>
      <w:r w:rsidRPr="000925A8">
        <w:rPr>
          <w:rStyle w:val="Fotnotsreferens"/>
        </w:rPr>
        <w:footnoteRef/>
      </w:r>
      <w:r w:rsidRPr="000925A8">
        <w:t xml:space="preserve"> Länsstyrelsen i Skåne län, </w:t>
      </w:r>
      <w:r w:rsidRPr="000925A8">
        <w:rPr>
          <w:i/>
        </w:rPr>
        <w:t>Regionala analyser – Handel: Delrapport 1 Kartläg</w:t>
      </w:r>
      <w:r w:rsidRPr="000925A8">
        <w:rPr>
          <w:i/>
        </w:rPr>
        <w:t>g</w:t>
      </w:r>
      <w:r w:rsidRPr="000925A8">
        <w:rPr>
          <w:i/>
        </w:rPr>
        <w:t>ning externhandel</w:t>
      </w:r>
      <w:r w:rsidRPr="000925A8">
        <w:t>, 2001.</w:t>
      </w:r>
    </w:p>
  </w:footnote>
  <w:footnote w:id="144">
    <w:p w14:paraId="7CA2480E" w14:textId="77777777" w:rsidR="00241093" w:rsidRPr="000925A8" w:rsidRDefault="00241093">
      <w:pPr>
        <w:pStyle w:val="Fotnotstext"/>
      </w:pPr>
      <w:r w:rsidRPr="000925A8">
        <w:rPr>
          <w:rStyle w:val="Fotnotsreferens"/>
        </w:rPr>
        <w:footnoteRef/>
      </w:r>
      <w:r w:rsidRPr="000925A8">
        <w:t xml:space="preserve"> Burlövs kommun, </w:t>
      </w:r>
      <w:r w:rsidRPr="000925A8">
        <w:rPr>
          <w:i/>
        </w:rPr>
        <w:t>detaljplan för Sunnanå 12:6, Stora Bernstorps industriområde</w:t>
      </w:r>
      <w:r w:rsidRPr="000925A8">
        <w:t>, 1996-08-19.</w:t>
      </w:r>
    </w:p>
  </w:footnote>
  <w:footnote w:id="145">
    <w:p w14:paraId="78B33C57" w14:textId="77777777" w:rsidR="00241093" w:rsidRPr="000925A8" w:rsidRDefault="00241093">
      <w:pPr>
        <w:pStyle w:val="Fotnotstext"/>
      </w:pPr>
      <w:r w:rsidRPr="000925A8">
        <w:rPr>
          <w:rStyle w:val="Fotnotsreferens"/>
        </w:rPr>
        <w:footnoteRef/>
      </w:r>
      <w:r w:rsidRPr="000925A8">
        <w:t xml:space="preserve"> Miljödepartementet, </w:t>
      </w:r>
      <w:r w:rsidRPr="000925A8">
        <w:rPr>
          <w:i/>
        </w:rPr>
        <w:t>regeringsbeslut 13</w:t>
      </w:r>
      <w:r w:rsidRPr="000925A8">
        <w:t>, 1999-11-18.</w:t>
      </w:r>
    </w:p>
  </w:footnote>
  <w:footnote w:id="146">
    <w:p w14:paraId="0F1ECE2B" w14:textId="77777777" w:rsidR="00241093" w:rsidRPr="000925A8" w:rsidRDefault="00241093">
      <w:pPr>
        <w:pStyle w:val="Fotnotstext"/>
      </w:pPr>
      <w:r w:rsidRPr="000925A8">
        <w:rPr>
          <w:rStyle w:val="Fotnotsreferens"/>
        </w:rPr>
        <w:footnoteRef/>
      </w:r>
      <w:r w:rsidRPr="000925A8">
        <w:t xml:space="preserve"> Landskrona kommun, </w:t>
      </w:r>
      <w:r w:rsidRPr="000925A8">
        <w:rPr>
          <w:i/>
        </w:rPr>
        <w:t>detaljplan för Örja Östra, norra delen</w:t>
      </w:r>
      <w:r w:rsidRPr="000925A8">
        <w:t>, 1998-06-15.</w:t>
      </w:r>
    </w:p>
  </w:footnote>
  <w:footnote w:id="147">
    <w:p w14:paraId="2BD80524" w14:textId="77777777" w:rsidR="00241093" w:rsidRPr="000925A8" w:rsidRDefault="00241093">
      <w:pPr>
        <w:pStyle w:val="Fotnotstext"/>
      </w:pPr>
      <w:r w:rsidRPr="000925A8">
        <w:rPr>
          <w:rStyle w:val="Fotnotsreferens"/>
        </w:rPr>
        <w:footnoteRef/>
      </w:r>
      <w:r w:rsidRPr="000925A8">
        <w:t xml:space="preserve"> Länsstyrelsen i Skåne län, </w:t>
      </w:r>
      <w:r w:rsidRPr="000925A8">
        <w:rPr>
          <w:i/>
        </w:rPr>
        <w:t>Prövning av beslut att anta detaljplan för Örja Östra, norra delen i Landskrona kommun</w:t>
      </w:r>
      <w:r w:rsidRPr="000925A8">
        <w:t>, 1999-01-18.</w:t>
      </w:r>
    </w:p>
  </w:footnote>
  <w:footnote w:id="148">
    <w:p w14:paraId="1949EE6D" w14:textId="77777777" w:rsidR="00241093" w:rsidRPr="000925A8" w:rsidRDefault="00241093">
      <w:pPr>
        <w:pStyle w:val="Fotnotstext"/>
      </w:pPr>
      <w:r w:rsidRPr="000925A8">
        <w:rPr>
          <w:rStyle w:val="Fotnotsreferens"/>
        </w:rPr>
        <w:footnoteRef/>
      </w:r>
      <w:r w:rsidRPr="000925A8">
        <w:t xml:space="preserve"> Boverket, </w:t>
      </w:r>
      <w:r w:rsidRPr="000925A8">
        <w:rPr>
          <w:i/>
        </w:rPr>
        <w:t xml:space="preserve">Yttrande över överklagande av länsstyrelsens i Malmö beslut att med stöd av 12 kap. 3 § plan- och bygglagen upphäva detaljplan för Örja Östra, Landskrona kommun, </w:t>
      </w:r>
      <w:r w:rsidRPr="000925A8">
        <w:t>1999-06-01.</w:t>
      </w:r>
    </w:p>
  </w:footnote>
  <w:footnote w:id="149">
    <w:p w14:paraId="444C95DA" w14:textId="77777777" w:rsidR="00241093" w:rsidRPr="000925A8" w:rsidRDefault="00241093">
      <w:pPr>
        <w:pStyle w:val="Fotnotstext"/>
      </w:pPr>
      <w:r w:rsidRPr="000925A8">
        <w:rPr>
          <w:rStyle w:val="Fotnotsreferens"/>
        </w:rPr>
        <w:footnoteRef/>
      </w:r>
      <w:r w:rsidRPr="000925A8">
        <w:t xml:space="preserve"> Boverket, </w:t>
      </w:r>
      <w:r w:rsidRPr="000925A8">
        <w:rPr>
          <w:i/>
        </w:rPr>
        <w:t>Yttrande över överklagande av länsstyrelsens i Malmö beslut att med stöd av 12 kap. 3 § Plan- och bygglagen upphäva detaljplan för Örja Östra, Landskrona kommun; framställning nu med medgivande före regeringen att ändra detaljplanen med stöd av 13 kap. 8 § PBL</w:t>
      </w:r>
      <w:r w:rsidRPr="000925A8">
        <w:t>,</w:t>
      </w:r>
      <w:r w:rsidRPr="000925A8">
        <w:rPr>
          <w:i/>
        </w:rPr>
        <w:t xml:space="preserve"> </w:t>
      </w:r>
      <w:r w:rsidRPr="000925A8">
        <w:t>1999-11-12.</w:t>
      </w:r>
    </w:p>
  </w:footnote>
  <w:footnote w:id="150">
    <w:p w14:paraId="491DA642" w14:textId="77777777" w:rsidR="00241093" w:rsidRPr="000925A8" w:rsidRDefault="00241093">
      <w:pPr>
        <w:pStyle w:val="Fotnotstext"/>
      </w:pPr>
      <w:r w:rsidRPr="000925A8">
        <w:rPr>
          <w:rStyle w:val="Fotnotsreferens"/>
        </w:rPr>
        <w:footnoteRef/>
      </w:r>
      <w:r w:rsidRPr="000925A8">
        <w:t xml:space="preserve"> Miljödepartementet, </w:t>
      </w:r>
      <w:r w:rsidRPr="000925A8">
        <w:rPr>
          <w:i/>
        </w:rPr>
        <w:t>regeringsbeslut 39</w:t>
      </w:r>
      <w:r w:rsidRPr="000925A8">
        <w:t>, 2000-03-09</w:t>
      </w:r>
    </w:p>
  </w:footnote>
  <w:footnote w:id="151">
    <w:p w14:paraId="1180188E" w14:textId="77777777" w:rsidR="00241093" w:rsidRPr="000925A8" w:rsidRDefault="00241093">
      <w:pPr>
        <w:pStyle w:val="Fotnotstext"/>
      </w:pPr>
      <w:r w:rsidRPr="000925A8">
        <w:rPr>
          <w:rStyle w:val="Fotnotsreferens"/>
        </w:rPr>
        <w:footnoteRef/>
      </w:r>
      <w:r w:rsidRPr="000925A8">
        <w:t xml:space="preserve"> Länsstyrelsen i Skåne län, </w:t>
      </w:r>
      <w:r w:rsidRPr="000925A8">
        <w:rPr>
          <w:i/>
        </w:rPr>
        <w:t>Prövning av beslut att anta detaljplan för del av Lödd</w:t>
      </w:r>
      <w:r w:rsidRPr="000925A8">
        <w:rPr>
          <w:i/>
        </w:rPr>
        <w:t>e</w:t>
      </w:r>
      <w:r w:rsidRPr="000925A8">
        <w:rPr>
          <w:i/>
        </w:rPr>
        <w:t>köpinge 23:3 (norr om Lagervägen) i Kävlinge kommun</w:t>
      </w:r>
      <w:r w:rsidRPr="000925A8">
        <w:t>, 1999-01-18.</w:t>
      </w:r>
    </w:p>
  </w:footnote>
  <w:footnote w:id="152">
    <w:p w14:paraId="7A3ACC9C" w14:textId="77777777" w:rsidR="00241093" w:rsidRPr="000925A8" w:rsidRDefault="00241093">
      <w:pPr>
        <w:pStyle w:val="Fotnotstext"/>
      </w:pPr>
      <w:r w:rsidRPr="000925A8">
        <w:rPr>
          <w:rStyle w:val="Fotnotsreferens"/>
        </w:rPr>
        <w:footnoteRef/>
      </w:r>
      <w:r w:rsidRPr="000925A8">
        <w:t xml:space="preserve"> Länsstyrelsen i Jämtlands län, </w:t>
      </w:r>
      <w:r w:rsidRPr="000925A8">
        <w:rPr>
          <w:i/>
        </w:rPr>
        <w:t>Prövning av kommunfullmäktige i Krokoms kommun beslut att den 13 juni 2001 att anta detaljplan för Ås arbetsområde del av Rösta 2:6 Ås Krokoms kommun,</w:t>
      </w:r>
      <w:r w:rsidRPr="000925A8">
        <w:t xml:space="preserve"> 2001-10-08.</w:t>
      </w:r>
    </w:p>
  </w:footnote>
  <w:footnote w:id="153">
    <w:p w14:paraId="3CC87262" w14:textId="77777777" w:rsidR="00241093" w:rsidRPr="000925A8" w:rsidRDefault="00241093">
      <w:pPr>
        <w:pStyle w:val="Fotnotstext"/>
      </w:pPr>
      <w:r w:rsidRPr="000925A8">
        <w:rPr>
          <w:rStyle w:val="Fotnotsreferens"/>
        </w:rPr>
        <w:footnoteRef/>
      </w:r>
      <w:r w:rsidRPr="000925A8">
        <w:t xml:space="preserve"> Länsstyrelsen i Jämtlands län, </w:t>
      </w:r>
      <w:r w:rsidRPr="000925A8">
        <w:rPr>
          <w:i/>
        </w:rPr>
        <w:t>Prövning av kommunfullmäktige i Östersunds ko</w:t>
      </w:r>
      <w:r w:rsidRPr="000925A8">
        <w:rPr>
          <w:i/>
        </w:rPr>
        <w:t>m</w:t>
      </w:r>
      <w:r w:rsidRPr="000925A8">
        <w:rPr>
          <w:i/>
        </w:rPr>
        <w:t xml:space="preserve">mun beslut att den 22 aug 2001 att anta detaljplan för arbetsplatser, bilistservice och handel vid trafikplats Odenskog (kv Ångvälten mm) Östersunds kommun, </w:t>
      </w:r>
      <w:r w:rsidRPr="000925A8">
        <w:t>2001-10-08.</w:t>
      </w:r>
    </w:p>
  </w:footnote>
  <w:footnote w:id="154">
    <w:p w14:paraId="70D9013A" w14:textId="77777777" w:rsidR="00241093" w:rsidRPr="000925A8" w:rsidRDefault="00241093">
      <w:pPr>
        <w:pStyle w:val="Fotnotstext"/>
      </w:pPr>
      <w:r w:rsidRPr="000925A8">
        <w:rPr>
          <w:rStyle w:val="Fotnotsreferens"/>
        </w:rPr>
        <w:footnoteRef/>
      </w:r>
      <w:r w:rsidRPr="000925A8">
        <w:t xml:space="preserve"> Länsstyrelsen i Blekinge län, </w:t>
      </w:r>
      <w:r w:rsidRPr="000925A8">
        <w:rPr>
          <w:i/>
        </w:rPr>
        <w:t>Angående beslut om antagande av detaljplan för del av Lyckå 1:1, del av Vedeby 8:7 m fl i Lyckeby, Karlskrona kommun, Beslut</w:t>
      </w:r>
      <w:r w:rsidRPr="000925A8">
        <w:t>, 2001-12-21.</w:t>
      </w:r>
    </w:p>
  </w:footnote>
  <w:footnote w:id="155">
    <w:p w14:paraId="5010EFED" w14:textId="77777777" w:rsidR="00241093" w:rsidRPr="000925A8" w:rsidRDefault="00241093">
      <w:pPr>
        <w:pStyle w:val="Fotnotstext"/>
      </w:pPr>
      <w:r w:rsidRPr="000925A8">
        <w:rPr>
          <w:rStyle w:val="Fotnotsreferens"/>
        </w:rPr>
        <w:footnoteRef/>
      </w:r>
      <w:r w:rsidRPr="000925A8">
        <w:t xml:space="preserve"> Länsstyrelsen i Södermanlands län, </w:t>
      </w:r>
      <w:r w:rsidRPr="000925A8">
        <w:rPr>
          <w:i/>
        </w:rPr>
        <w:t>Översiktlig bedömning av detaljhandel i E</w:t>
      </w:r>
      <w:r w:rsidRPr="000925A8">
        <w:rPr>
          <w:i/>
        </w:rPr>
        <w:t>s</w:t>
      </w:r>
      <w:r w:rsidRPr="000925A8">
        <w:rPr>
          <w:i/>
        </w:rPr>
        <w:t>kilstuna, yttrande</w:t>
      </w:r>
      <w:r w:rsidRPr="000925A8">
        <w:t>, 1999-12-20.</w:t>
      </w:r>
    </w:p>
  </w:footnote>
  <w:footnote w:id="156">
    <w:p w14:paraId="34D139A1" w14:textId="77777777" w:rsidR="00241093" w:rsidRPr="000925A8" w:rsidRDefault="00241093">
      <w:pPr>
        <w:pStyle w:val="Fotnotstext"/>
      </w:pPr>
      <w:r w:rsidRPr="000925A8">
        <w:rPr>
          <w:rStyle w:val="Fotnotsreferens"/>
        </w:rPr>
        <w:footnoteRef/>
      </w:r>
      <w:r w:rsidRPr="000925A8">
        <w:t xml:space="preserve"> 8 kap. 2 § 6 p PBL. Med större avses vindkraftverk med en turbindiameter överst</w:t>
      </w:r>
      <w:r w:rsidRPr="000925A8">
        <w:t>i</w:t>
      </w:r>
      <w:r w:rsidRPr="000925A8">
        <w:t>gande två meter. Bygglov krävs även för vindkraftverk som ligger närmare fastighet</w:t>
      </w:r>
      <w:r w:rsidRPr="000925A8">
        <w:t>s</w:t>
      </w:r>
      <w:r w:rsidRPr="000925A8">
        <w:t>gräns än verkets höjd samt för sådana som ska monteras på byggnader.</w:t>
      </w:r>
    </w:p>
  </w:footnote>
  <w:footnote w:id="157">
    <w:p w14:paraId="599CA9DB" w14:textId="77777777" w:rsidR="00241093" w:rsidRPr="000925A8" w:rsidRDefault="00241093">
      <w:pPr>
        <w:pStyle w:val="Fotnotstext"/>
      </w:pPr>
      <w:r w:rsidRPr="000925A8">
        <w:rPr>
          <w:rStyle w:val="Fotnotsreferens"/>
        </w:rPr>
        <w:footnoteRef/>
      </w:r>
      <w:r w:rsidRPr="000925A8">
        <w:t xml:space="preserve"> Krav på MKB ställs även i 5 kap. 18 § PBL om det handlar om detaljplanering av en a</w:t>
      </w:r>
      <w:r w:rsidRPr="000925A8">
        <w:t>n</w:t>
      </w:r>
      <w:r w:rsidRPr="000925A8">
        <w:t xml:space="preserve">läggning med betydande miljöpåverkan. </w:t>
      </w:r>
    </w:p>
  </w:footnote>
  <w:footnote w:id="158">
    <w:p w14:paraId="6A2D24A0" w14:textId="77777777" w:rsidR="00241093" w:rsidRPr="000925A8" w:rsidRDefault="00241093">
      <w:pPr>
        <w:pStyle w:val="Fotnotstext"/>
      </w:pPr>
      <w:r w:rsidRPr="000925A8">
        <w:rPr>
          <w:rStyle w:val="Fotnotsreferens"/>
        </w:rPr>
        <w:footnoteRef/>
      </w:r>
      <w:r w:rsidRPr="000925A8">
        <w:t xml:space="preserve"> Länsstyrelsen i Skåne län, </w:t>
      </w:r>
      <w:r w:rsidRPr="000925A8">
        <w:rPr>
          <w:i/>
        </w:rPr>
        <w:t>Planprogram för del av Kvistofta 24:1 m.fl. (vindkraft), He</w:t>
      </w:r>
      <w:r w:rsidRPr="000925A8">
        <w:rPr>
          <w:i/>
        </w:rPr>
        <w:t>l</w:t>
      </w:r>
      <w:r w:rsidRPr="000925A8">
        <w:rPr>
          <w:i/>
        </w:rPr>
        <w:t>singsborgs stad</w:t>
      </w:r>
      <w:r w:rsidRPr="000925A8">
        <w:t>, yttrande, 2001-12-03.</w:t>
      </w:r>
    </w:p>
  </w:footnote>
  <w:footnote w:id="159">
    <w:p w14:paraId="60E307CF" w14:textId="77777777" w:rsidR="00241093" w:rsidRPr="000925A8" w:rsidRDefault="00241093">
      <w:pPr>
        <w:pStyle w:val="Fotnotstext"/>
      </w:pPr>
      <w:r w:rsidRPr="000925A8">
        <w:rPr>
          <w:rStyle w:val="Fotnotsreferens"/>
        </w:rPr>
        <w:footnoteRef/>
      </w:r>
      <w:r w:rsidRPr="000925A8">
        <w:t xml:space="preserve"> Helsingborgs stad, stadsbyggnadskontoret, </w:t>
      </w:r>
      <w:r w:rsidRPr="000925A8">
        <w:rPr>
          <w:i/>
        </w:rPr>
        <w:t>Kallelse till mellankommunalt samråd om vindkraft</w:t>
      </w:r>
      <w:r w:rsidRPr="000925A8">
        <w:t>, 2001-07-03.</w:t>
      </w:r>
    </w:p>
  </w:footnote>
  <w:footnote w:id="160">
    <w:p w14:paraId="00AF6971" w14:textId="77777777" w:rsidR="00241093" w:rsidRPr="000925A8" w:rsidRDefault="00241093">
      <w:pPr>
        <w:pStyle w:val="Fotnotstext"/>
      </w:pPr>
      <w:r w:rsidRPr="000925A8">
        <w:rPr>
          <w:rStyle w:val="Fotnotsreferens"/>
        </w:rPr>
        <w:footnoteRef/>
      </w:r>
      <w:r w:rsidRPr="000925A8">
        <w:t xml:space="preserve"> Länsstyrelsen i Skåne län, </w:t>
      </w:r>
      <w:r w:rsidRPr="000925A8">
        <w:rPr>
          <w:i/>
        </w:rPr>
        <w:t>utställning av fördjupad översiktsplan avseende vindkraft i norra delen av Åstorps kommun</w:t>
      </w:r>
      <w:r w:rsidRPr="000925A8">
        <w:t>, granskningsyttrande, 2001-12-13.</w:t>
      </w:r>
    </w:p>
  </w:footnote>
  <w:footnote w:id="161">
    <w:p w14:paraId="646CD456" w14:textId="77777777" w:rsidR="00241093" w:rsidRPr="000925A8" w:rsidRDefault="00241093">
      <w:pPr>
        <w:pStyle w:val="Fotnotstext"/>
      </w:pPr>
      <w:r w:rsidRPr="000925A8">
        <w:rPr>
          <w:rStyle w:val="Fotnotsreferens"/>
        </w:rPr>
        <w:footnoteRef/>
      </w:r>
      <w:r w:rsidRPr="000925A8">
        <w:t xml:space="preserve"> Länsstyrelsen i Uppsala län, </w:t>
      </w:r>
      <w:r w:rsidRPr="000925A8">
        <w:rPr>
          <w:i/>
        </w:rPr>
        <w:t>Vindkraft i Uppsala län – lokaliseringsstudie inför riks-intresseavgränsning – förslag till vindkraftspolicy</w:t>
      </w:r>
      <w:r w:rsidRPr="000925A8">
        <w:t>, remiss, 1997-11-10.</w:t>
      </w:r>
    </w:p>
  </w:footnote>
  <w:footnote w:id="162">
    <w:p w14:paraId="3E1AE19A" w14:textId="77777777" w:rsidR="00241093" w:rsidRPr="000925A8" w:rsidRDefault="00241093">
      <w:pPr>
        <w:pStyle w:val="Fotnotstext"/>
      </w:pPr>
      <w:r w:rsidRPr="000925A8">
        <w:rPr>
          <w:rStyle w:val="Fotnotsreferens"/>
        </w:rPr>
        <w:footnoteRef/>
      </w:r>
      <w:r w:rsidRPr="000925A8">
        <w:t xml:space="preserve"> Länsstyrelsen i Norrbottens län</w:t>
      </w:r>
      <w:r w:rsidRPr="000925A8">
        <w:rPr>
          <w:i/>
        </w:rPr>
        <w:t>, Överklagande av detaljplan för sjukhus i Södra Sunderbyn, Luleå kommun</w:t>
      </w:r>
      <w:r w:rsidRPr="000925A8">
        <w:t>, 1994-05-16.</w:t>
      </w:r>
    </w:p>
  </w:footnote>
  <w:footnote w:id="163">
    <w:p w14:paraId="284DA7A4" w14:textId="77777777" w:rsidR="00241093" w:rsidRPr="000925A8" w:rsidRDefault="00241093">
      <w:pPr>
        <w:pStyle w:val="Fotnotstext"/>
      </w:pPr>
      <w:r w:rsidRPr="000925A8">
        <w:rPr>
          <w:rStyle w:val="Fotnotsreferens"/>
        </w:rPr>
        <w:footnoteRef/>
      </w:r>
      <w:r w:rsidRPr="000925A8">
        <w:t xml:space="preserve"> Länsstyrelsen i Norrbottens län</w:t>
      </w:r>
      <w:r w:rsidRPr="000925A8">
        <w:rPr>
          <w:i/>
        </w:rPr>
        <w:t>, Överklagande av detaljplan för sjukhus i Södra Sunderbyn, Luleå kommun</w:t>
      </w:r>
      <w:r w:rsidRPr="000925A8">
        <w:t>, 1994-05-16.</w:t>
      </w:r>
    </w:p>
  </w:footnote>
  <w:footnote w:id="164">
    <w:p w14:paraId="4624F81F" w14:textId="77777777" w:rsidR="00241093" w:rsidRPr="000925A8" w:rsidRDefault="00241093">
      <w:pPr>
        <w:pStyle w:val="Fotnotstext"/>
      </w:pPr>
      <w:r w:rsidRPr="000925A8">
        <w:rPr>
          <w:rStyle w:val="Fotnotsreferens"/>
        </w:rPr>
        <w:footnoteRef/>
      </w:r>
      <w:r w:rsidRPr="000925A8">
        <w:t xml:space="preserve"> Miljö- och naturresursdepartementet, </w:t>
      </w:r>
      <w:r w:rsidRPr="000925A8">
        <w:rPr>
          <w:i/>
        </w:rPr>
        <w:t>regeringsbeslut 12</w:t>
      </w:r>
      <w:r w:rsidRPr="000925A8">
        <w:t>, 1994-11-24.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CEC0" w14:textId="77777777" w:rsidR="00241093" w:rsidRPr="000925A8" w:rsidRDefault="00241093">
    <w:pPr>
      <w:pStyle w:val="SidhuvudKantJmn"/>
      <w:framePr w:w="8732" w:h="567" w:hRule="exact" w:vSpace="0" w:wrap="around" w:vAnchor="page" w:y="341" w:anchorLock="0"/>
    </w:pPr>
    <w:r w:rsidRPr="000925A8">
      <w:rPr>
        <w:rStyle w:val="SidhuvudUtskott"/>
      </w:rPr>
      <w:fldChar w:fldCharType="begin" w:fldLock="1"/>
    </w:r>
    <w:r w:rsidRPr="000925A8">
      <w:rPr>
        <w:rStyle w:val="SidhuvudUtskott"/>
      </w:rPr>
      <w:instrText xml:space="preserve"> DOCPROPERTY BetänkandeÅr</w:instrText>
    </w:r>
    <w:r w:rsidRPr="000925A8">
      <w:rPr>
        <w:rStyle w:val="SidhuvudUtskott"/>
      </w:rPr>
      <w:fldChar w:fldCharType="separate"/>
    </w:r>
    <w:r w:rsidRPr="000925A8">
      <w:rPr>
        <w:rStyle w:val="SidhuvudUtskott"/>
      </w:rPr>
      <w:t>2001/02</w:t>
    </w:r>
    <w:r w:rsidRPr="000925A8">
      <w:rPr>
        <w:rStyle w:val="SidhuvudUtskott"/>
      </w:rPr>
      <w:fldChar w:fldCharType="end"/>
    </w:r>
    <w:r w:rsidRPr="000925A8">
      <w:rPr>
        <w:rStyle w:val="SidhuvudUtskott"/>
      </w:rPr>
      <w:t>:</w:t>
    </w:r>
    <w:r w:rsidRPr="000925A8">
      <w:rPr>
        <w:rStyle w:val="SidhuvudUtskott"/>
      </w:rPr>
      <w:fldChar w:fldCharType="begin" w:fldLock="1"/>
    </w:r>
    <w:r w:rsidRPr="000925A8">
      <w:rPr>
        <w:rStyle w:val="SidhuvudUtskott"/>
      </w:rPr>
      <w:instrText xml:space="preserve"> DOCPROPERTY Utskott</w:instrText>
    </w:r>
    <w:r w:rsidRPr="000925A8">
      <w:rPr>
        <w:rStyle w:val="SidhuvudUtskott"/>
      </w:rPr>
      <w:fldChar w:fldCharType="separate"/>
    </w:r>
    <w:r w:rsidRPr="000925A8">
      <w:rPr>
        <w:rStyle w:val="SidhuvudUtskott"/>
      </w:rPr>
      <w:t>BoU</w:t>
    </w:r>
    <w:r w:rsidRPr="000925A8">
      <w:rPr>
        <w:rStyle w:val="SidhuvudUtskott"/>
      </w:rPr>
      <w:fldChar w:fldCharType="end"/>
    </w:r>
    <w:r w:rsidRPr="000925A8">
      <w:rPr>
        <w:rStyle w:val="SidhuvudUtskott"/>
      </w:rPr>
      <w:fldChar w:fldCharType="begin" w:fldLock="1"/>
    </w:r>
    <w:r w:rsidRPr="000925A8">
      <w:rPr>
        <w:rStyle w:val="SidhuvudUtskott"/>
      </w:rPr>
      <w:instrText xml:space="preserve"> DOCPROPERTY BetänkandeNr</w:instrText>
    </w:r>
    <w:r w:rsidRPr="000925A8">
      <w:rPr>
        <w:rStyle w:val="SidhuvudUtskott"/>
      </w:rPr>
      <w:fldChar w:fldCharType="separate"/>
    </w:r>
    <w:r w:rsidRPr="000925A8">
      <w:rPr>
        <w:rStyle w:val="SidhuvudUtskott"/>
      </w:rPr>
      <w:t>8</w:t>
    </w:r>
    <w:r w:rsidRPr="000925A8">
      <w:rPr>
        <w:rStyle w:val="SidhuvudUtskott"/>
      </w:rPr>
      <w:fldChar w:fldCharType="end"/>
    </w:r>
    <w:r w:rsidRPr="000925A8">
      <w:t xml:space="preserve">     </w:t>
    </w:r>
    <w:r w:rsidRPr="000925A8">
      <w:rPr>
        <w:rStyle w:val="SidhuvudBilaga"/>
      </w:rPr>
      <w:t xml:space="preserve"> </w:t>
    </w:r>
    <w:r w:rsidRPr="000925A8">
      <w:rPr>
        <w:rStyle w:val="SidhuvudRubrikReferens"/>
      </w:rPr>
      <w:fldChar w:fldCharType="begin" w:fldLock="1"/>
    </w:r>
    <w:r w:rsidRPr="000925A8">
      <w:rPr>
        <w:rStyle w:val="SidhuvudRubrikReferens"/>
      </w:rPr>
      <w:instrText xml:space="preserve"> StyleREF "Rubrik 1" </w:instrText>
    </w:r>
    <w:r w:rsidRPr="000925A8">
      <w:rPr>
        <w:rStyle w:val="SidhuvudRubrikReferens"/>
      </w:rPr>
      <w:fldChar w:fldCharType="separate"/>
    </w:r>
    <w:r w:rsidRPr="000925A8">
      <w:rPr>
        <w:rStyle w:val="SidhuvudRubrikReferens"/>
      </w:rPr>
      <w:t>Sammanfattning</w:t>
    </w:r>
    <w:r w:rsidRPr="000925A8">
      <w:rPr>
        <w:rStyle w:val="SidhuvudRubrikReferens"/>
      </w:rPr>
      <w:fldChar w:fldCharType="end"/>
    </w:r>
  </w:p>
  <w:p w14:paraId="02857C7D" w14:textId="77777777" w:rsidR="00241093" w:rsidRPr="000925A8" w:rsidRDefault="00241093">
    <w:pPr>
      <w:pStyle w:val="SidhuvudKantJmn"/>
      <w:framePr w:w="8732" w:h="567" w:hRule="exact" w:vSpace="0" w:wrap="around" w:vAnchor="page" w:y="341" w:anchorLock="0"/>
    </w:pPr>
    <w:r w:rsidRPr="000925A8">
      <w:rPr>
        <w:rStyle w:val="SidhuvudUtskott"/>
      </w:rPr>
      <w:fldChar w:fldCharType="begin" w:fldLock="1"/>
    </w:r>
    <w:r w:rsidRPr="000925A8">
      <w:rPr>
        <w:rStyle w:val="SidhuvudUtskott"/>
      </w:rPr>
      <w:instrText xml:space="preserve"> DOCPROPERTY Status</w:instrText>
    </w:r>
    <w:r w:rsidRPr="000925A8">
      <w:rPr>
        <w:rStyle w:val="SidhuvudUtskott"/>
      </w:rPr>
      <w:fldChar w:fldCharType="end"/>
    </w:r>
    <w:r w:rsidRPr="000925A8">
      <w:rPr>
        <w:rStyle w:val="SidhuvudUtskott"/>
      </w:rPr>
      <w:fldChar w:fldCharType="begin" w:fldLock="1"/>
    </w:r>
    <w:r w:rsidRPr="000925A8">
      <w:rPr>
        <w:rStyle w:val="SidhuvudUtskott"/>
      </w:rPr>
      <w:instrText xml:space="preserve"> if </w:instrText>
    </w:r>
    <w:r w:rsidRPr="000925A8">
      <w:rPr>
        <w:rStyle w:val="SidhuvudUtskott"/>
      </w:rPr>
      <w:fldChar w:fldCharType="begin" w:fldLock="1"/>
    </w:r>
    <w:r w:rsidRPr="000925A8">
      <w:rPr>
        <w:rStyle w:val="SidhuvudUtskott"/>
      </w:rPr>
      <w:instrText xml:space="preserve"> DOCPROPERTY "UtkastDatum"</w:instrText>
    </w:r>
    <w:r w:rsidRPr="000925A8">
      <w:rPr>
        <w:rStyle w:val="SidhuvudUtskott"/>
      </w:rPr>
      <w:fldChar w:fldCharType="separate"/>
    </w:r>
    <w:r w:rsidRPr="000925A8">
      <w:rPr>
        <w:rStyle w:val="SidhuvudUtskott"/>
      </w:rPr>
      <w:instrText>Nej</w:instrText>
    </w:r>
    <w:r w:rsidRPr="000925A8">
      <w:rPr>
        <w:rStyle w:val="SidhuvudUtskott"/>
      </w:rPr>
      <w:fldChar w:fldCharType="end"/>
    </w:r>
    <w:r w:rsidRPr="000925A8">
      <w:rPr>
        <w:rStyle w:val="SidhuvudUtskott"/>
      </w:rPr>
      <w:instrText xml:space="preserve"> = "Ja" "    </w:instrText>
    </w:r>
    <w:r w:rsidRPr="000925A8">
      <w:rPr>
        <w:rStyle w:val="SidhuvudUtskott"/>
      </w:rPr>
      <w:fldChar w:fldCharType="begin" w:fldLock="1"/>
    </w:r>
    <w:r w:rsidRPr="000925A8">
      <w:rPr>
        <w:rStyle w:val="SidhuvudUtskott"/>
      </w:rPr>
      <w:instrText xml:space="preserve"> PRINTDATE \@ "yyyy-MM-dd HH.mm" </w:instrText>
    </w:r>
    <w:r w:rsidRPr="000925A8">
      <w:rPr>
        <w:rStyle w:val="SidhuvudUtskott"/>
      </w:rPr>
      <w:fldChar w:fldCharType="separate"/>
    </w:r>
    <w:r w:rsidRPr="000925A8">
      <w:rPr>
        <w:rStyle w:val="SidhuvudUtskott"/>
      </w:rPr>
      <w:instrText>2000-08-11 16.42</w:instrText>
    </w:r>
    <w:r w:rsidRPr="000925A8">
      <w:rPr>
        <w:rStyle w:val="SidhuvudUtskott"/>
      </w:rPr>
      <w:fldChar w:fldCharType="end"/>
    </w:r>
    <w:r w:rsidRPr="000925A8">
      <w:rPr>
        <w:rStyle w:val="SidhuvudUtskott"/>
      </w:rPr>
      <w:instrText xml:space="preserve">" </w:instrText>
    </w:r>
    <w:r w:rsidRPr="000925A8">
      <w:rPr>
        <w:rStyle w:val="SidhuvudUtskott"/>
      </w:rPr>
      <w:fldChar w:fldCharType="end"/>
    </w:r>
  </w:p>
  <w:p w14:paraId="560567A1" w14:textId="77777777" w:rsidR="00241093" w:rsidRPr="000925A8" w:rsidRDefault="0024109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0AAA" w14:textId="77777777" w:rsidR="00241093" w:rsidRPr="000925A8" w:rsidRDefault="00241093">
    <w:pPr>
      <w:pStyle w:val="SidhuvudKantJmn"/>
      <w:framePr w:w="8732" w:h="567" w:hRule="exact" w:vSpace="0" w:wrap="around" w:vAnchor="page" w:y="341" w:anchorLock="0"/>
    </w:pPr>
    <w:r w:rsidRPr="000925A8">
      <w:rPr>
        <w:rStyle w:val="SidhuvudUtskott"/>
      </w:rPr>
      <w:fldChar w:fldCharType="begin" w:fldLock="1"/>
    </w:r>
    <w:r w:rsidRPr="000925A8">
      <w:rPr>
        <w:rStyle w:val="SidhuvudUtskott"/>
      </w:rPr>
      <w:instrText xml:space="preserve"> DOCPROPERTY BetänkandeÅr</w:instrText>
    </w:r>
    <w:r w:rsidRPr="000925A8">
      <w:rPr>
        <w:rStyle w:val="SidhuvudUtskott"/>
      </w:rPr>
      <w:fldChar w:fldCharType="separate"/>
    </w:r>
    <w:r w:rsidRPr="000925A8">
      <w:rPr>
        <w:rStyle w:val="SidhuvudUtskott"/>
      </w:rPr>
      <w:t>2001/02</w:t>
    </w:r>
    <w:r w:rsidRPr="000925A8">
      <w:rPr>
        <w:rStyle w:val="SidhuvudUtskott"/>
      </w:rPr>
      <w:fldChar w:fldCharType="end"/>
    </w:r>
    <w:r w:rsidRPr="000925A8">
      <w:rPr>
        <w:rStyle w:val="SidhuvudUtskott"/>
      </w:rPr>
      <w:t>:</w:t>
    </w:r>
    <w:r w:rsidRPr="000925A8">
      <w:rPr>
        <w:rStyle w:val="SidhuvudUtskott"/>
      </w:rPr>
      <w:fldChar w:fldCharType="begin" w:fldLock="1"/>
    </w:r>
    <w:r w:rsidRPr="000925A8">
      <w:rPr>
        <w:rStyle w:val="SidhuvudUtskott"/>
      </w:rPr>
      <w:instrText xml:space="preserve"> DOCPROPERTY Utskott</w:instrText>
    </w:r>
    <w:r w:rsidRPr="000925A8">
      <w:rPr>
        <w:rStyle w:val="SidhuvudUtskott"/>
      </w:rPr>
      <w:fldChar w:fldCharType="separate"/>
    </w:r>
    <w:r w:rsidRPr="000925A8">
      <w:rPr>
        <w:rStyle w:val="SidhuvudUtskott"/>
      </w:rPr>
      <w:t>BoU</w:t>
    </w:r>
    <w:r w:rsidRPr="000925A8">
      <w:rPr>
        <w:rStyle w:val="SidhuvudUtskott"/>
      </w:rPr>
      <w:fldChar w:fldCharType="end"/>
    </w:r>
    <w:r w:rsidRPr="000925A8">
      <w:rPr>
        <w:rStyle w:val="SidhuvudUtskott"/>
      </w:rPr>
      <w:fldChar w:fldCharType="begin" w:fldLock="1"/>
    </w:r>
    <w:r w:rsidRPr="000925A8">
      <w:rPr>
        <w:rStyle w:val="SidhuvudUtskott"/>
      </w:rPr>
      <w:instrText xml:space="preserve"> DOCPROPERTY BetänkandeNr</w:instrText>
    </w:r>
    <w:r w:rsidRPr="000925A8">
      <w:rPr>
        <w:rStyle w:val="SidhuvudUtskott"/>
      </w:rPr>
      <w:fldChar w:fldCharType="separate"/>
    </w:r>
    <w:r w:rsidRPr="000925A8">
      <w:rPr>
        <w:rStyle w:val="SidhuvudUtskott"/>
      </w:rPr>
      <w:t>8</w:t>
    </w:r>
    <w:r w:rsidRPr="000925A8">
      <w:rPr>
        <w:rStyle w:val="SidhuvudUtskott"/>
      </w:rPr>
      <w:fldChar w:fldCharType="end"/>
    </w:r>
    <w:r w:rsidRPr="000925A8">
      <w:t xml:space="preserve">     </w:t>
    </w:r>
    <w:r w:rsidRPr="000925A8">
      <w:rPr>
        <w:rStyle w:val="SidhuvudBilaga"/>
      </w:rPr>
      <w:t xml:space="preserve"> </w:t>
    </w:r>
    <w:r w:rsidRPr="000925A8">
      <w:rPr>
        <w:rStyle w:val="SidhuvudRubrikReferens"/>
      </w:rPr>
      <w:fldChar w:fldCharType="begin" w:fldLock="1"/>
    </w:r>
    <w:r w:rsidRPr="000925A8">
      <w:rPr>
        <w:rStyle w:val="SidhuvudRubrikReferens"/>
      </w:rPr>
      <w:instrText xml:space="preserve"> StyleREF "Rubrik 1" </w:instrText>
    </w:r>
    <w:r w:rsidRPr="000925A8">
      <w:rPr>
        <w:rStyle w:val="SidhuvudRubrikReferens"/>
      </w:rPr>
      <w:fldChar w:fldCharType="separate"/>
    </w:r>
    <w:r w:rsidRPr="000925A8">
      <w:rPr>
        <w:rStyle w:val="SidhuvudRubrikReferens"/>
      </w:rPr>
      <w:t>Utskottets förslag till riksdagsbeslut</w:t>
    </w:r>
    <w:r w:rsidRPr="000925A8">
      <w:rPr>
        <w:rStyle w:val="SidhuvudRubrikReferens"/>
      </w:rPr>
      <w:fldChar w:fldCharType="end"/>
    </w:r>
  </w:p>
  <w:p w14:paraId="755DE52F" w14:textId="77777777" w:rsidR="00241093" w:rsidRPr="000925A8" w:rsidRDefault="00241093">
    <w:pPr>
      <w:pStyle w:val="SidhuvudKantJmn"/>
      <w:framePr w:w="8732" w:h="567" w:hRule="exact" w:vSpace="0" w:wrap="around" w:vAnchor="page" w:y="341" w:anchorLock="0"/>
    </w:pPr>
    <w:r w:rsidRPr="000925A8">
      <w:rPr>
        <w:rStyle w:val="SidhuvudUtskott"/>
      </w:rPr>
      <w:fldChar w:fldCharType="begin" w:fldLock="1"/>
    </w:r>
    <w:r w:rsidRPr="000925A8">
      <w:rPr>
        <w:rStyle w:val="SidhuvudUtskott"/>
      </w:rPr>
      <w:instrText xml:space="preserve"> DOCPROPERTY Status</w:instrText>
    </w:r>
    <w:r w:rsidRPr="000925A8">
      <w:rPr>
        <w:rStyle w:val="SidhuvudUtskott"/>
      </w:rPr>
      <w:fldChar w:fldCharType="end"/>
    </w:r>
    <w:r w:rsidRPr="000925A8">
      <w:rPr>
        <w:rStyle w:val="SidhuvudUtskott"/>
      </w:rPr>
      <w:fldChar w:fldCharType="begin" w:fldLock="1"/>
    </w:r>
    <w:r w:rsidRPr="000925A8">
      <w:rPr>
        <w:rStyle w:val="SidhuvudUtskott"/>
      </w:rPr>
      <w:instrText xml:space="preserve"> if </w:instrText>
    </w:r>
    <w:r w:rsidRPr="000925A8">
      <w:rPr>
        <w:rStyle w:val="SidhuvudUtskott"/>
      </w:rPr>
      <w:fldChar w:fldCharType="begin" w:fldLock="1"/>
    </w:r>
    <w:r w:rsidRPr="000925A8">
      <w:rPr>
        <w:rStyle w:val="SidhuvudUtskott"/>
      </w:rPr>
      <w:instrText xml:space="preserve"> DOCPROPERTY "UtkastDatum"</w:instrText>
    </w:r>
    <w:r w:rsidRPr="000925A8">
      <w:rPr>
        <w:rStyle w:val="SidhuvudUtskott"/>
      </w:rPr>
      <w:fldChar w:fldCharType="separate"/>
    </w:r>
    <w:r w:rsidRPr="000925A8">
      <w:rPr>
        <w:rStyle w:val="SidhuvudUtskott"/>
      </w:rPr>
      <w:instrText>Nej</w:instrText>
    </w:r>
    <w:r w:rsidRPr="000925A8">
      <w:rPr>
        <w:rStyle w:val="SidhuvudUtskott"/>
      </w:rPr>
      <w:fldChar w:fldCharType="end"/>
    </w:r>
    <w:r w:rsidRPr="000925A8">
      <w:rPr>
        <w:rStyle w:val="SidhuvudUtskott"/>
      </w:rPr>
      <w:instrText xml:space="preserve"> = "Ja" "    </w:instrText>
    </w:r>
    <w:r w:rsidRPr="000925A8">
      <w:rPr>
        <w:rStyle w:val="SidhuvudUtskott"/>
      </w:rPr>
      <w:fldChar w:fldCharType="begin" w:fldLock="1"/>
    </w:r>
    <w:r w:rsidRPr="000925A8">
      <w:rPr>
        <w:rStyle w:val="SidhuvudUtskott"/>
      </w:rPr>
      <w:instrText xml:space="preserve"> PRINTDATE \@ "yyyy-MM-dd HH.mm" </w:instrText>
    </w:r>
    <w:r w:rsidRPr="000925A8">
      <w:rPr>
        <w:rStyle w:val="SidhuvudUtskott"/>
      </w:rPr>
      <w:fldChar w:fldCharType="separate"/>
    </w:r>
    <w:r w:rsidRPr="000925A8">
      <w:rPr>
        <w:rStyle w:val="SidhuvudUtskott"/>
      </w:rPr>
      <w:instrText>2000-08-11 16.42</w:instrText>
    </w:r>
    <w:r w:rsidRPr="000925A8">
      <w:rPr>
        <w:rStyle w:val="SidhuvudUtskott"/>
      </w:rPr>
      <w:fldChar w:fldCharType="end"/>
    </w:r>
    <w:r w:rsidRPr="000925A8">
      <w:rPr>
        <w:rStyle w:val="SidhuvudUtskott"/>
      </w:rPr>
      <w:instrText xml:space="preserve">" </w:instrText>
    </w:r>
    <w:r w:rsidRPr="000925A8">
      <w:rPr>
        <w:rStyle w:val="SidhuvudUtskott"/>
      </w:rPr>
      <w:fldChar w:fldCharType="end"/>
    </w:r>
  </w:p>
  <w:p w14:paraId="2E2E3C94" w14:textId="77777777" w:rsidR="00241093" w:rsidRPr="000925A8" w:rsidRDefault="0024109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D30D" w14:textId="77777777" w:rsidR="00241093" w:rsidRPr="000925A8" w:rsidRDefault="00241093">
    <w:pPr>
      <w:pStyle w:val="SidhuvudKantUdda"/>
      <w:framePr w:w="8732" w:h="567" w:hRule="exact" w:vSpace="0" w:wrap="around" w:vAnchor="page" w:y="341" w:anchorLock="0"/>
    </w:pPr>
    <w:r w:rsidRPr="000925A8">
      <w:rPr>
        <w:rStyle w:val="SidhuvudRubrikReferens"/>
      </w:rPr>
      <w:fldChar w:fldCharType="begin" w:fldLock="1"/>
    </w:r>
    <w:r w:rsidRPr="000925A8">
      <w:rPr>
        <w:rStyle w:val="SidhuvudRubrikReferens"/>
      </w:rPr>
      <w:instrText xml:space="preserve"> StyleREF "Rubrik 1" </w:instrText>
    </w:r>
    <w:r w:rsidRPr="000925A8">
      <w:rPr>
        <w:rStyle w:val="SidhuvudRubrikReferens"/>
      </w:rPr>
      <w:fldChar w:fldCharType="separate"/>
    </w:r>
    <w:r w:rsidRPr="000925A8">
      <w:rPr>
        <w:rStyle w:val="SidhuvudRubrikReferens"/>
      </w:rPr>
      <w:t>Utskottets förslag till riksdagsbeslut</w:t>
    </w:r>
    <w:r w:rsidRPr="000925A8">
      <w:rPr>
        <w:rStyle w:val="SidhuvudRubrikReferens"/>
      </w:rPr>
      <w:fldChar w:fldCharType="end"/>
    </w:r>
    <w:r w:rsidRPr="000925A8">
      <w:rPr>
        <w:rStyle w:val="SidhuvudBilaga"/>
      </w:rPr>
      <w:t xml:space="preserve"> </w:t>
    </w:r>
    <w:r w:rsidRPr="000925A8">
      <w:t xml:space="preserve">     </w:t>
    </w:r>
    <w:r w:rsidRPr="000925A8">
      <w:rPr>
        <w:rStyle w:val="SidhuvudUtskott"/>
      </w:rPr>
      <w:fldChar w:fldCharType="begin" w:fldLock="1"/>
    </w:r>
    <w:r w:rsidRPr="000925A8">
      <w:rPr>
        <w:rStyle w:val="SidhuvudUtskott"/>
      </w:rPr>
      <w:instrText xml:space="preserve"> DOCPROPERTY BetänkandeÅr</w:instrText>
    </w:r>
    <w:r w:rsidRPr="000925A8">
      <w:rPr>
        <w:rStyle w:val="SidhuvudUtskott"/>
      </w:rPr>
      <w:fldChar w:fldCharType="separate"/>
    </w:r>
    <w:r w:rsidRPr="000925A8">
      <w:rPr>
        <w:rStyle w:val="SidhuvudUtskott"/>
      </w:rPr>
      <w:t>2001/02</w:t>
    </w:r>
    <w:r w:rsidRPr="000925A8">
      <w:rPr>
        <w:rStyle w:val="SidhuvudUtskott"/>
      </w:rPr>
      <w:fldChar w:fldCharType="end"/>
    </w:r>
    <w:r w:rsidRPr="000925A8">
      <w:rPr>
        <w:rStyle w:val="SidhuvudUtskott"/>
      </w:rPr>
      <w:t>:</w:t>
    </w:r>
    <w:r w:rsidRPr="000925A8">
      <w:rPr>
        <w:rStyle w:val="SidhuvudUtskott"/>
      </w:rPr>
      <w:fldChar w:fldCharType="begin" w:fldLock="1"/>
    </w:r>
    <w:r w:rsidRPr="000925A8">
      <w:rPr>
        <w:rStyle w:val="SidhuvudUtskott"/>
      </w:rPr>
      <w:instrText xml:space="preserve"> DOCPROPERTY</w:instrText>
    </w:r>
    <w:r w:rsidRPr="000925A8">
      <w:instrText xml:space="preserve"> </w:instrText>
    </w:r>
    <w:r w:rsidRPr="000925A8">
      <w:rPr>
        <w:rStyle w:val="SidhuvudUtskott"/>
      </w:rPr>
      <w:instrText>Utskott</w:instrText>
    </w:r>
    <w:r w:rsidRPr="000925A8">
      <w:rPr>
        <w:rStyle w:val="SidhuvudUtskott"/>
      </w:rPr>
      <w:fldChar w:fldCharType="separate"/>
    </w:r>
    <w:r w:rsidRPr="000925A8">
      <w:rPr>
        <w:rStyle w:val="SidhuvudUtskott"/>
      </w:rPr>
      <w:t>BoU</w:t>
    </w:r>
    <w:r w:rsidRPr="000925A8">
      <w:rPr>
        <w:rStyle w:val="SidhuvudUtskott"/>
      </w:rPr>
      <w:fldChar w:fldCharType="end"/>
    </w:r>
    <w:r w:rsidRPr="000925A8">
      <w:rPr>
        <w:rStyle w:val="SidhuvudUtskott"/>
      </w:rPr>
      <w:fldChar w:fldCharType="begin" w:fldLock="1"/>
    </w:r>
    <w:r w:rsidRPr="000925A8">
      <w:rPr>
        <w:rStyle w:val="SidhuvudUtskott"/>
      </w:rPr>
      <w:instrText xml:space="preserve"> DOCPROPERTY Betä</w:instrText>
    </w:r>
    <w:r w:rsidRPr="000925A8">
      <w:rPr>
        <w:rStyle w:val="SidhuvudUtskott"/>
      </w:rPr>
      <w:instrText>n</w:instrText>
    </w:r>
    <w:r w:rsidRPr="000925A8">
      <w:rPr>
        <w:rStyle w:val="SidhuvudUtskott"/>
      </w:rPr>
      <w:instrText>kandeNr</w:instrText>
    </w:r>
    <w:r w:rsidRPr="000925A8">
      <w:rPr>
        <w:rStyle w:val="SidhuvudUtskott"/>
      </w:rPr>
      <w:fldChar w:fldCharType="separate"/>
    </w:r>
    <w:r w:rsidRPr="000925A8">
      <w:rPr>
        <w:rStyle w:val="SidhuvudUtskott"/>
      </w:rPr>
      <w:t>8</w:t>
    </w:r>
    <w:r w:rsidRPr="000925A8">
      <w:rPr>
        <w:rStyle w:val="SidhuvudUtskott"/>
      </w:rPr>
      <w:fldChar w:fldCharType="end"/>
    </w:r>
  </w:p>
  <w:p w14:paraId="5A288BB0" w14:textId="77777777" w:rsidR="00241093" w:rsidRPr="000925A8" w:rsidRDefault="00241093">
    <w:pPr>
      <w:pStyle w:val="SidhuvudKantUdda"/>
      <w:framePr w:w="8732" w:h="567" w:hRule="exact" w:vSpace="0" w:wrap="around" w:vAnchor="page" w:y="341" w:anchorLock="0"/>
    </w:pPr>
    <w:r w:rsidRPr="000925A8">
      <w:rPr>
        <w:rStyle w:val="SidhuvudUtskott"/>
      </w:rPr>
      <w:fldChar w:fldCharType="begin" w:fldLock="1"/>
    </w:r>
    <w:r w:rsidRPr="000925A8">
      <w:rPr>
        <w:rStyle w:val="SidhuvudUtskott"/>
      </w:rPr>
      <w:instrText xml:space="preserve"> if </w:instrText>
    </w:r>
    <w:r w:rsidRPr="000925A8">
      <w:rPr>
        <w:rStyle w:val="SidhuvudUtskott"/>
      </w:rPr>
      <w:fldChar w:fldCharType="begin" w:fldLock="1"/>
    </w:r>
    <w:r w:rsidRPr="000925A8">
      <w:rPr>
        <w:rStyle w:val="SidhuvudUtskott"/>
      </w:rPr>
      <w:instrText xml:space="preserve"> DOCPROPERTY "UtkastDatum"</w:instrText>
    </w:r>
    <w:r w:rsidRPr="000925A8">
      <w:rPr>
        <w:rStyle w:val="SidhuvudUtskott"/>
      </w:rPr>
      <w:fldChar w:fldCharType="separate"/>
    </w:r>
    <w:r w:rsidRPr="000925A8">
      <w:rPr>
        <w:rStyle w:val="SidhuvudUtskott"/>
      </w:rPr>
      <w:instrText>Nej</w:instrText>
    </w:r>
    <w:r w:rsidRPr="000925A8">
      <w:rPr>
        <w:rStyle w:val="SidhuvudUtskott"/>
      </w:rPr>
      <w:fldChar w:fldCharType="end"/>
    </w:r>
    <w:r w:rsidRPr="000925A8">
      <w:rPr>
        <w:rStyle w:val="SidhuvudUtskott"/>
      </w:rPr>
      <w:instrText xml:space="preserve"> = "Ja" "</w:instrText>
    </w:r>
    <w:r w:rsidRPr="000925A8">
      <w:rPr>
        <w:rStyle w:val="SidhuvudUtskott"/>
      </w:rPr>
      <w:fldChar w:fldCharType="begin" w:fldLock="1"/>
    </w:r>
    <w:r w:rsidRPr="000925A8">
      <w:rPr>
        <w:rStyle w:val="SidhuvudUtskott"/>
      </w:rPr>
      <w:instrText xml:space="preserve"> PRINTDATE \@ "yyyy-MM-dd HH.mm    " </w:instrText>
    </w:r>
    <w:r w:rsidRPr="000925A8">
      <w:rPr>
        <w:rStyle w:val="SidhuvudUtskott"/>
      </w:rPr>
      <w:fldChar w:fldCharType="separate"/>
    </w:r>
    <w:r w:rsidRPr="000925A8">
      <w:rPr>
        <w:rStyle w:val="SidhuvudUtskott"/>
      </w:rPr>
      <w:instrText>2000-08-11 16.42</w:instrText>
    </w:r>
    <w:r w:rsidRPr="000925A8">
      <w:rPr>
        <w:rStyle w:val="SidhuvudUtskott"/>
      </w:rPr>
      <w:fldChar w:fldCharType="end"/>
    </w:r>
    <w:r w:rsidRPr="000925A8">
      <w:rPr>
        <w:rStyle w:val="SidhuvudUtskott"/>
      </w:rPr>
      <w:instrText xml:space="preserve">" </w:instrText>
    </w:r>
    <w:r w:rsidRPr="000925A8">
      <w:rPr>
        <w:rStyle w:val="SidhuvudUtskott"/>
      </w:rPr>
      <w:fldChar w:fldCharType="end"/>
    </w:r>
    <w:r w:rsidRPr="000925A8">
      <w:rPr>
        <w:rStyle w:val="SidhuvudUtskott"/>
      </w:rPr>
      <w:fldChar w:fldCharType="begin" w:fldLock="1"/>
    </w:r>
    <w:r w:rsidRPr="000925A8">
      <w:rPr>
        <w:rStyle w:val="SidhuvudUtskott"/>
      </w:rPr>
      <w:instrText xml:space="preserve"> DOCPR</w:instrText>
    </w:r>
    <w:r w:rsidRPr="000925A8">
      <w:rPr>
        <w:rStyle w:val="SidhuvudUtskott"/>
      </w:rPr>
      <w:instrText>O</w:instrText>
    </w:r>
    <w:r w:rsidRPr="000925A8">
      <w:rPr>
        <w:rStyle w:val="SidhuvudUtskott"/>
      </w:rPr>
      <w:instrText>PERTY Status</w:instrText>
    </w:r>
    <w:r w:rsidRPr="000925A8">
      <w:rPr>
        <w:rStyle w:val="SidhuvudUtskott"/>
      </w:rPr>
      <w:fldChar w:fldCharType="end"/>
    </w:r>
  </w:p>
  <w:p w14:paraId="6083C357" w14:textId="77777777" w:rsidR="00241093" w:rsidRPr="000925A8" w:rsidRDefault="0024109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32E4" w14:textId="77777777" w:rsidR="00241093" w:rsidRPr="000925A8" w:rsidRDefault="00241093">
    <w:pPr>
      <w:pStyle w:val="SidhuvudKantUdda"/>
      <w:framePr w:w="8732" w:h="567" w:hRule="exact" w:vSpace="0" w:wrap="around" w:vAnchor="page" w:y="341" w:anchorLock="0"/>
    </w:pPr>
    <w:r w:rsidRPr="000925A8">
      <w:t xml:space="preserve">  </w:t>
    </w:r>
    <w:r w:rsidRPr="000925A8">
      <w:rPr>
        <w:rStyle w:val="SidhuvudUtskott"/>
      </w:rPr>
      <w:t>2001/02:BoU8</w:t>
    </w:r>
  </w:p>
  <w:p w14:paraId="75920887" w14:textId="77777777" w:rsidR="00241093" w:rsidRPr="000925A8" w:rsidRDefault="00241093">
    <w:pPr>
      <w:pStyle w:val="SidhuvudKantUdda"/>
      <w:framePr w:w="8732" w:h="567" w:hRule="exact" w:vSpace="0" w:wrap="around" w:vAnchor="page" w:y="341" w:anchorLock="0"/>
    </w:pPr>
  </w:p>
  <w:p w14:paraId="7E5E099E" w14:textId="77777777" w:rsidR="00241093" w:rsidRPr="000925A8" w:rsidRDefault="0024109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5F0D" w14:textId="77777777" w:rsidR="00241093" w:rsidRPr="000925A8" w:rsidRDefault="00241093">
    <w:pPr>
      <w:pStyle w:val="SidhuvudKantJmn"/>
      <w:framePr w:w="8732" w:h="567" w:hRule="exact" w:vSpace="0" w:wrap="around" w:vAnchor="page" w:y="341" w:anchorLock="0"/>
    </w:pPr>
    <w:r w:rsidRPr="000925A8">
      <w:rPr>
        <w:rStyle w:val="SidhuvudUtskott"/>
      </w:rPr>
      <w:t>2001/02:BoU8</w:t>
    </w:r>
    <w:r w:rsidRPr="000925A8">
      <w:t xml:space="preserve">     </w:t>
    </w:r>
    <w:r w:rsidRPr="000925A8">
      <w:rPr>
        <w:rStyle w:val="SidhuvudBilaga"/>
      </w:rPr>
      <w:t xml:space="preserve"> </w:t>
    </w:r>
    <w:r w:rsidRPr="000925A8">
      <w:rPr>
        <w:rStyle w:val="SidhuvudRubrikReferens"/>
      </w:rPr>
      <w:t>Utskottets överväganden</w:t>
    </w:r>
  </w:p>
  <w:p w14:paraId="7E34594D" w14:textId="77777777" w:rsidR="00241093" w:rsidRPr="000925A8" w:rsidRDefault="00241093">
    <w:pPr>
      <w:pStyle w:val="SidhuvudKantJmn"/>
      <w:framePr w:w="8732" w:h="567" w:hRule="exact" w:vSpace="0" w:wrap="around" w:vAnchor="page" w:y="341" w:anchorLock="0"/>
    </w:pPr>
  </w:p>
  <w:p w14:paraId="3952C82C" w14:textId="77777777" w:rsidR="00241093" w:rsidRPr="000925A8" w:rsidRDefault="0024109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03C6" w14:textId="77777777" w:rsidR="00241093" w:rsidRPr="000925A8" w:rsidRDefault="00241093">
    <w:pPr>
      <w:pStyle w:val="SidhuvudKantUdda"/>
      <w:framePr w:w="8732" w:h="567" w:hRule="exact" w:vSpace="0" w:wrap="around" w:vAnchor="page" w:y="341" w:anchorLock="0"/>
    </w:pPr>
    <w:r w:rsidRPr="000925A8">
      <w:rPr>
        <w:rStyle w:val="SidhuvudRubrikReferens"/>
      </w:rPr>
      <w:t>Utskottets överväganden</w:t>
    </w:r>
    <w:r w:rsidRPr="000925A8">
      <w:rPr>
        <w:rStyle w:val="SidhuvudBilaga"/>
      </w:rPr>
      <w:t xml:space="preserve"> </w:t>
    </w:r>
    <w:r w:rsidRPr="000925A8">
      <w:t xml:space="preserve">     </w:t>
    </w:r>
    <w:r w:rsidRPr="000925A8">
      <w:rPr>
        <w:rStyle w:val="SidhuvudUtskott"/>
      </w:rPr>
      <w:t>2001/02:BoU8</w:t>
    </w:r>
  </w:p>
  <w:p w14:paraId="4CB9913B" w14:textId="77777777" w:rsidR="00241093" w:rsidRPr="000925A8" w:rsidRDefault="00241093">
    <w:pPr>
      <w:pStyle w:val="SidhuvudKantUdda"/>
      <w:framePr w:w="8732" w:h="567" w:hRule="exact" w:vSpace="0" w:wrap="around" w:vAnchor="page" w:y="341" w:anchorLock="0"/>
    </w:pPr>
  </w:p>
  <w:p w14:paraId="06055729" w14:textId="77777777" w:rsidR="00241093" w:rsidRPr="000925A8" w:rsidRDefault="0024109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D7A7" w14:textId="77777777" w:rsidR="00241093" w:rsidRPr="000925A8" w:rsidRDefault="00241093">
    <w:pPr>
      <w:pStyle w:val="SidhuvudKantJmn"/>
      <w:framePr w:w="8732" w:h="567" w:hRule="exact" w:vSpace="0" w:wrap="around" w:vAnchor="page" w:y="341" w:anchorLock="0"/>
    </w:pPr>
    <w:r w:rsidRPr="000925A8">
      <w:rPr>
        <w:rStyle w:val="SidhuvudUtskott"/>
      </w:rPr>
      <w:t>2001/02:BoU8</w:t>
    </w:r>
    <w:r w:rsidRPr="000925A8">
      <w:t xml:space="preserve">    </w:t>
    </w:r>
  </w:p>
  <w:p w14:paraId="57A80BB1" w14:textId="77777777" w:rsidR="00241093" w:rsidRPr="000925A8" w:rsidRDefault="00241093">
    <w:pPr>
      <w:pStyle w:val="SidhuvudKantJmn"/>
      <w:framePr w:w="8732" w:h="567" w:hRule="exact" w:vSpace="0" w:wrap="around" w:vAnchor="page" w:y="341" w:anchorLock="0"/>
    </w:pPr>
  </w:p>
  <w:p w14:paraId="64D56009" w14:textId="77777777" w:rsidR="00241093" w:rsidRPr="000925A8" w:rsidRDefault="00241093">
    <w:pPr>
      <w:pStyle w:val="SidhuvudKantUdda"/>
      <w:framePr w:w="8732" w:h="567" w:hRule="exact" w:vSpace="0" w:wrap="around" w:vAnchor="page" w:y="341" w:anchorLock="0"/>
    </w:pPr>
    <w:r w:rsidRPr="000925A8">
      <w:rPr>
        <w:rStyle w:val="SidhuvudRubrikReferens"/>
        <w:smallCaps w:val="0"/>
        <w:spacing w:val="0"/>
        <w:sz w:val="19"/>
      </w:rPr>
      <w:t xml:space="preserve"> </w:t>
    </w:r>
  </w:p>
  <w:p w14:paraId="68D23832" w14:textId="77777777" w:rsidR="00241093" w:rsidRPr="000925A8" w:rsidRDefault="0024109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936B" w14:textId="77777777" w:rsidR="00241093" w:rsidRPr="000925A8" w:rsidRDefault="00241093">
    <w:pPr>
      <w:pStyle w:val="SidhuvudKantJmn"/>
      <w:framePr w:w="8732" w:h="567" w:hRule="exact" w:vSpace="0" w:wrap="around" w:vAnchor="page" w:y="341" w:anchorLock="0"/>
    </w:pPr>
    <w:r w:rsidRPr="000925A8">
      <w:rPr>
        <w:rStyle w:val="SidhuvudUtskott"/>
      </w:rPr>
      <w:t>2001/02:BoU8</w:t>
    </w:r>
    <w:r w:rsidRPr="000925A8">
      <w:t xml:space="preserve">     </w:t>
    </w:r>
    <w:r w:rsidRPr="000925A8">
      <w:rPr>
        <w:rStyle w:val="SidhuvudBilaga"/>
      </w:rPr>
      <w:t xml:space="preserve"> </w:t>
    </w:r>
    <w:r w:rsidRPr="000925A8">
      <w:rPr>
        <w:rStyle w:val="SidhuvudRubrikReferens"/>
      </w:rPr>
      <w:t>Reservationer</w:t>
    </w:r>
  </w:p>
  <w:p w14:paraId="453D5F5D" w14:textId="77777777" w:rsidR="00241093" w:rsidRPr="000925A8" w:rsidRDefault="00241093">
    <w:pPr>
      <w:pStyle w:val="SidhuvudKantJmn"/>
      <w:framePr w:w="8732" w:h="567" w:hRule="exact" w:vSpace="0" w:wrap="around" w:vAnchor="page" w:y="341" w:anchorLock="0"/>
    </w:pPr>
  </w:p>
  <w:p w14:paraId="5E80576A" w14:textId="77777777" w:rsidR="00241093" w:rsidRPr="000925A8" w:rsidRDefault="0024109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66C2" w14:textId="77777777" w:rsidR="00241093" w:rsidRPr="000925A8" w:rsidRDefault="00241093">
    <w:pPr>
      <w:pStyle w:val="SidhuvudKantUdda"/>
      <w:framePr w:w="8732" w:h="567" w:hRule="exact" w:vSpace="0" w:wrap="around" w:vAnchor="page" w:y="341" w:anchorLock="0"/>
    </w:pPr>
    <w:r w:rsidRPr="000925A8">
      <w:rPr>
        <w:rStyle w:val="SidhuvudRubrikReferens"/>
      </w:rPr>
      <w:t>Reservationer</w:t>
    </w:r>
    <w:r w:rsidRPr="000925A8">
      <w:rPr>
        <w:rStyle w:val="SidhuvudBilaga"/>
      </w:rPr>
      <w:t xml:space="preserve"> </w:t>
    </w:r>
    <w:r w:rsidRPr="000925A8">
      <w:t xml:space="preserve">     </w:t>
    </w:r>
    <w:r w:rsidRPr="000925A8">
      <w:rPr>
        <w:rStyle w:val="SidhuvudUtskott"/>
      </w:rPr>
      <w:t>2001/02:BoU8</w:t>
    </w:r>
  </w:p>
  <w:p w14:paraId="6D58D7FF" w14:textId="77777777" w:rsidR="00241093" w:rsidRPr="000925A8" w:rsidRDefault="00241093">
    <w:pPr>
      <w:pStyle w:val="SidhuvudKantUdda"/>
      <w:framePr w:w="8732" w:h="567" w:hRule="exact" w:vSpace="0" w:wrap="around" w:vAnchor="page" w:y="341" w:anchorLock="0"/>
    </w:pPr>
  </w:p>
  <w:p w14:paraId="04634255" w14:textId="77777777" w:rsidR="00241093" w:rsidRPr="000925A8" w:rsidRDefault="0024109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5A4D" w14:textId="77777777" w:rsidR="00241093" w:rsidRPr="000925A8" w:rsidRDefault="00241093">
    <w:pPr>
      <w:pStyle w:val="SidhuvudKantUdda"/>
      <w:framePr w:w="8732" w:h="567" w:hRule="exact" w:vSpace="0" w:wrap="around" w:vAnchor="page" w:y="341" w:anchorLock="0"/>
    </w:pPr>
    <w:r w:rsidRPr="000925A8">
      <w:t xml:space="preserve">  </w:t>
    </w:r>
    <w:r w:rsidRPr="000925A8">
      <w:rPr>
        <w:rStyle w:val="SidhuvudUtskott"/>
      </w:rPr>
      <w:t>2001/02:BoU8</w:t>
    </w:r>
  </w:p>
  <w:p w14:paraId="07211C8F" w14:textId="77777777" w:rsidR="00241093" w:rsidRPr="000925A8" w:rsidRDefault="00241093">
    <w:pPr>
      <w:pStyle w:val="SidhuvudKantUdda"/>
      <w:framePr w:w="8732" w:h="567" w:hRule="exact" w:vSpace="0" w:wrap="around" w:vAnchor="page" w:y="341" w:anchorLock="0"/>
    </w:pPr>
  </w:p>
  <w:p w14:paraId="1C515299" w14:textId="77777777" w:rsidR="00241093" w:rsidRPr="000925A8" w:rsidRDefault="0024109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92F4" w14:textId="77777777" w:rsidR="00241093" w:rsidRPr="000925A8" w:rsidRDefault="00241093">
    <w:pPr>
      <w:pStyle w:val="SidhuvudKantJmn"/>
      <w:framePr w:w="8732" w:h="567" w:hRule="exact" w:vSpace="0" w:wrap="around" w:vAnchor="page" w:y="341" w:anchorLock="0"/>
    </w:pPr>
    <w:r w:rsidRPr="000925A8">
      <w:rPr>
        <w:rStyle w:val="SidhuvudUtskott"/>
      </w:rPr>
      <w:t>2001/02:BoU8</w:t>
    </w:r>
    <w:r w:rsidRPr="000925A8">
      <w:t xml:space="preserve">     </w:t>
    </w:r>
    <w:r w:rsidRPr="000925A8">
      <w:rPr>
        <w:rStyle w:val="SidhuvudBilaga"/>
      </w:rPr>
      <w:t xml:space="preserve"> Bilaga 1: </w:t>
    </w:r>
    <w:r w:rsidRPr="000925A8">
      <w:rPr>
        <w:rStyle w:val="SidhuvudRubrikReferens"/>
      </w:rPr>
      <w:t>Förteckning över behandlade förslag</w:t>
    </w:r>
  </w:p>
  <w:p w14:paraId="377B74C8" w14:textId="77777777" w:rsidR="00241093" w:rsidRPr="000925A8" w:rsidRDefault="00241093">
    <w:pPr>
      <w:pStyle w:val="SidhuvudKantJmn"/>
      <w:framePr w:w="8732" w:h="567" w:hRule="exact" w:vSpace="0" w:wrap="around" w:vAnchor="page" w:y="341" w:anchorLock="0"/>
    </w:pPr>
  </w:p>
  <w:p w14:paraId="163BE3D7" w14:textId="77777777" w:rsidR="00241093" w:rsidRPr="000925A8" w:rsidRDefault="0024109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6935" w14:textId="77777777" w:rsidR="00241093" w:rsidRPr="000925A8" w:rsidRDefault="00241093">
    <w:pPr>
      <w:pStyle w:val="SidhuvudKantUdda"/>
      <w:framePr w:w="8732" w:h="567" w:hRule="exact" w:vSpace="0" w:wrap="around" w:vAnchor="page" w:y="341" w:anchorLock="0"/>
    </w:pPr>
    <w:r w:rsidRPr="000925A8">
      <w:rPr>
        <w:rStyle w:val="SidhuvudRubrikReferens"/>
      </w:rPr>
      <w:fldChar w:fldCharType="begin" w:fldLock="1"/>
    </w:r>
    <w:r w:rsidRPr="000925A8">
      <w:rPr>
        <w:rStyle w:val="SidhuvudRubrikReferens"/>
      </w:rPr>
      <w:instrText xml:space="preserve"> StyleREF "Rubrik 1" </w:instrText>
    </w:r>
    <w:r w:rsidRPr="000925A8">
      <w:rPr>
        <w:rStyle w:val="SidhuvudRubrikReferens"/>
      </w:rPr>
      <w:fldChar w:fldCharType="separate"/>
    </w:r>
    <w:r w:rsidRPr="000925A8">
      <w:rPr>
        <w:rStyle w:val="SidhuvudRubrikReferens"/>
      </w:rPr>
      <w:t>Sammanfattning</w:t>
    </w:r>
    <w:r w:rsidRPr="000925A8">
      <w:rPr>
        <w:rStyle w:val="SidhuvudRubrikReferens"/>
      </w:rPr>
      <w:fldChar w:fldCharType="end"/>
    </w:r>
    <w:r w:rsidRPr="000925A8">
      <w:rPr>
        <w:rStyle w:val="SidhuvudBilaga"/>
      </w:rPr>
      <w:t xml:space="preserve"> </w:t>
    </w:r>
    <w:r w:rsidRPr="000925A8">
      <w:t xml:space="preserve">     </w:t>
    </w:r>
    <w:r w:rsidRPr="000925A8">
      <w:rPr>
        <w:rStyle w:val="SidhuvudUtskott"/>
      </w:rPr>
      <w:fldChar w:fldCharType="begin" w:fldLock="1"/>
    </w:r>
    <w:r w:rsidRPr="000925A8">
      <w:rPr>
        <w:rStyle w:val="SidhuvudUtskott"/>
      </w:rPr>
      <w:instrText xml:space="preserve"> DOCPROPERTY BetänkandeÅr</w:instrText>
    </w:r>
    <w:r w:rsidRPr="000925A8">
      <w:rPr>
        <w:rStyle w:val="SidhuvudUtskott"/>
      </w:rPr>
      <w:fldChar w:fldCharType="separate"/>
    </w:r>
    <w:r w:rsidRPr="000925A8">
      <w:rPr>
        <w:rStyle w:val="SidhuvudUtskott"/>
      </w:rPr>
      <w:t>2001/02</w:t>
    </w:r>
    <w:r w:rsidRPr="000925A8">
      <w:rPr>
        <w:rStyle w:val="SidhuvudUtskott"/>
      </w:rPr>
      <w:fldChar w:fldCharType="end"/>
    </w:r>
    <w:r w:rsidRPr="000925A8">
      <w:rPr>
        <w:rStyle w:val="SidhuvudUtskott"/>
      </w:rPr>
      <w:t>:</w:t>
    </w:r>
    <w:r w:rsidRPr="000925A8">
      <w:rPr>
        <w:rStyle w:val="SidhuvudUtskott"/>
      </w:rPr>
      <w:fldChar w:fldCharType="begin" w:fldLock="1"/>
    </w:r>
    <w:r w:rsidRPr="000925A8">
      <w:rPr>
        <w:rStyle w:val="SidhuvudUtskott"/>
      </w:rPr>
      <w:instrText xml:space="preserve"> DOCPROPERTY</w:instrText>
    </w:r>
    <w:r w:rsidRPr="000925A8">
      <w:instrText xml:space="preserve"> </w:instrText>
    </w:r>
    <w:r w:rsidRPr="000925A8">
      <w:rPr>
        <w:rStyle w:val="SidhuvudUtskott"/>
      </w:rPr>
      <w:instrText>Utskott</w:instrText>
    </w:r>
    <w:r w:rsidRPr="000925A8">
      <w:rPr>
        <w:rStyle w:val="SidhuvudUtskott"/>
      </w:rPr>
      <w:fldChar w:fldCharType="separate"/>
    </w:r>
    <w:r w:rsidRPr="000925A8">
      <w:rPr>
        <w:rStyle w:val="SidhuvudUtskott"/>
      </w:rPr>
      <w:t>BoU</w:t>
    </w:r>
    <w:r w:rsidRPr="000925A8">
      <w:rPr>
        <w:rStyle w:val="SidhuvudUtskott"/>
      </w:rPr>
      <w:fldChar w:fldCharType="end"/>
    </w:r>
    <w:r w:rsidRPr="000925A8">
      <w:rPr>
        <w:rStyle w:val="SidhuvudUtskott"/>
      </w:rPr>
      <w:fldChar w:fldCharType="begin" w:fldLock="1"/>
    </w:r>
    <w:r w:rsidRPr="000925A8">
      <w:rPr>
        <w:rStyle w:val="SidhuvudUtskott"/>
      </w:rPr>
      <w:instrText xml:space="preserve"> DOCPROPERTY Betä</w:instrText>
    </w:r>
    <w:r w:rsidRPr="000925A8">
      <w:rPr>
        <w:rStyle w:val="SidhuvudUtskott"/>
      </w:rPr>
      <w:instrText>n</w:instrText>
    </w:r>
    <w:r w:rsidRPr="000925A8">
      <w:rPr>
        <w:rStyle w:val="SidhuvudUtskott"/>
      </w:rPr>
      <w:instrText>kandeNr</w:instrText>
    </w:r>
    <w:r w:rsidRPr="000925A8">
      <w:rPr>
        <w:rStyle w:val="SidhuvudUtskott"/>
      </w:rPr>
      <w:fldChar w:fldCharType="separate"/>
    </w:r>
    <w:r w:rsidRPr="000925A8">
      <w:rPr>
        <w:rStyle w:val="SidhuvudUtskott"/>
      </w:rPr>
      <w:t>8</w:t>
    </w:r>
    <w:r w:rsidRPr="000925A8">
      <w:rPr>
        <w:rStyle w:val="SidhuvudUtskott"/>
      </w:rPr>
      <w:fldChar w:fldCharType="end"/>
    </w:r>
  </w:p>
  <w:p w14:paraId="6D38EE38" w14:textId="77777777" w:rsidR="00241093" w:rsidRPr="000925A8" w:rsidRDefault="00241093">
    <w:pPr>
      <w:pStyle w:val="SidhuvudKantUdda"/>
      <w:framePr w:w="8732" w:h="567" w:hRule="exact" w:vSpace="0" w:wrap="around" w:vAnchor="page" w:y="341" w:anchorLock="0"/>
    </w:pPr>
    <w:r w:rsidRPr="000925A8">
      <w:rPr>
        <w:rStyle w:val="SidhuvudUtskott"/>
      </w:rPr>
      <w:fldChar w:fldCharType="begin" w:fldLock="1"/>
    </w:r>
    <w:r w:rsidRPr="000925A8">
      <w:rPr>
        <w:rStyle w:val="SidhuvudUtskott"/>
      </w:rPr>
      <w:instrText xml:space="preserve"> if </w:instrText>
    </w:r>
    <w:r w:rsidRPr="000925A8">
      <w:rPr>
        <w:rStyle w:val="SidhuvudUtskott"/>
      </w:rPr>
      <w:fldChar w:fldCharType="begin" w:fldLock="1"/>
    </w:r>
    <w:r w:rsidRPr="000925A8">
      <w:rPr>
        <w:rStyle w:val="SidhuvudUtskott"/>
      </w:rPr>
      <w:instrText xml:space="preserve"> DOCPROPERTY "UtkastDatum"</w:instrText>
    </w:r>
    <w:r w:rsidRPr="000925A8">
      <w:rPr>
        <w:rStyle w:val="SidhuvudUtskott"/>
      </w:rPr>
      <w:fldChar w:fldCharType="separate"/>
    </w:r>
    <w:r w:rsidRPr="000925A8">
      <w:rPr>
        <w:rStyle w:val="SidhuvudUtskott"/>
      </w:rPr>
      <w:instrText>Nej</w:instrText>
    </w:r>
    <w:r w:rsidRPr="000925A8">
      <w:rPr>
        <w:rStyle w:val="SidhuvudUtskott"/>
      </w:rPr>
      <w:fldChar w:fldCharType="end"/>
    </w:r>
    <w:r w:rsidRPr="000925A8">
      <w:rPr>
        <w:rStyle w:val="SidhuvudUtskott"/>
      </w:rPr>
      <w:instrText xml:space="preserve"> = "Ja" "</w:instrText>
    </w:r>
    <w:r w:rsidRPr="000925A8">
      <w:rPr>
        <w:rStyle w:val="SidhuvudUtskott"/>
      </w:rPr>
      <w:fldChar w:fldCharType="begin" w:fldLock="1"/>
    </w:r>
    <w:r w:rsidRPr="000925A8">
      <w:rPr>
        <w:rStyle w:val="SidhuvudUtskott"/>
      </w:rPr>
      <w:instrText xml:space="preserve"> PRINTDATE \@ "yyyy-MM-dd HH.mm    " </w:instrText>
    </w:r>
    <w:r w:rsidRPr="000925A8">
      <w:rPr>
        <w:rStyle w:val="SidhuvudUtskott"/>
      </w:rPr>
      <w:fldChar w:fldCharType="separate"/>
    </w:r>
    <w:r w:rsidRPr="000925A8">
      <w:rPr>
        <w:rStyle w:val="SidhuvudUtskott"/>
      </w:rPr>
      <w:instrText>2000-08-11 16.42</w:instrText>
    </w:r>
    <w:r w:rsidRPr="000925A8">
      <w:rPr>
        <w:rStyle w:val="SidhuvudUtskott"/>
      </w:rPr>
      <w:fldChar w:fldCharType="end"/>
    </w:r>
    <w:r w:rsidRPr="000925A8">
      <w:rPr>
        <w:rStyle w:val="SidhuvudUtskott"/>
      </w:rPr>
      <w:instrText xml:space="preserve">" </w:instrText>
    </w:r>
    <w:r w:rsidRPr="000925A8">
      <w:rPr>
        <w:rStyle w:val="SidhuvudUtskott"/>
      </w:rPr>
      <w:fldChar w:fldCharType="end"/>
    </w:r>
    <w:r w:rsidRPr="000925A8">
      <w:rPr>
        <w:rStyle w:val="SidhuvudUtskott"/>
      </w:rPr>
      <w:fldChar w:fldCharType="begin" w:fldLock="1"/>
    </w:r>
    <w:r w:rsidRPr="000925A8">
      <w:rPr>
        <w:rStyle w:val="SidhuvudUtskott"/>
      </w:rPr>
      <w:instrText xml:space="preserve"> DOCPR</w:instrText>
    </w:r>
    <w:r w:rsidRPr="000925A8">
      <w:rPr>
        <w:rStyle w:val="SidhuvudUtskott"/>
      </w:rPr>
      <w:instrText>O</w:instrText>
    </w:r>
    <w:r w:rsidRPr="000925A8">
      <w:rPr>
        <w:rStyle w:val="SidhuvudUtskott"/>
      </w:rPr>
      <w:instrText>PERTY Status</w:instrText>
    </w:r>
    <w:r w:rsidRPr="000925A8">
      <w:rPr>
        <w:rStyle w:val="SidhuvudUtskott"/>
      </w:rPr>
      <w:fldChar w:fldCharType="end"/>
    </w:r>
  </w:p>
  <w:p w14:paraId="3C17BDA0" w14:textId="77777777" w:rsidR="00241093" w:rsidRPr="000925A8" w:rsidRDefault="0024109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DAD1" w14:textId="77777777" w:rsidR="00241093" w:rsidRPr="000925A8" w:rsidRDefault="00241093">
    <w:pPr>
      <w:pStyle w:val="SidhuvudKantUdda"/>
      <w:framePr w:w="8732" w:h="567" w:hRule="exact" w:vSpace="0" w:wrap="around" w:vAnchor="page" w:y="341" w:anchorLock="0"/>
    </w:pPr>
    <w:r w:rsidRPr="000925A8">
      <w:rPr>
        <w:rStyle w:val="SidhuvudRubrikReferens"/>
      </w:rPr>
      <w:t xml:space="preserve">bilaga1: </w:t>
    </w:r>
    <w:r w:rsidRPr="000925A8">
      <w:rPr>
        <w:rStyle w:val="SidhuvudRubrikReferens"/>
      </w:rPr>
      <w:t>Förteckning över behandlade förslag</w:t>
    </w:r>
    <w:r w:rsidRPr="000925A8">
      <w:rPr>
        <w:rStyle w:val="SidhuvudBilaga"/>
      </w:rPr>
      <w:t xml:space="preserve"> </w:t>
    </w:r>
    <w:r w:rsidRPr="000925A8">
      <w:t xml:space="preserve">     </w:t>
    </w:r>
    <w:r w:rsidRPr="000925A8">
      <w:rPr>
        <w:rStyle w:val="SidhuvudUtskott"/>
      </w:rPr>
      <w:t>2001/02:BoU8</w:t>
    </w:r>
  </w:p>
  <w:p w14:paraId="075F4198" w14:textId="77777777" w:rsidR="00241093" w:rsidRPr="000925A8" w:rsidRDefault="00241093">
    <w:pPr>
      <w:pStyle w:val="SidhuvudKantUdda"/>
      <w:framePr w:w="8732" w:h="567" w:hRule="exact" w:vSpace="0" w:wrap="around" w:vAnchor="page" w:y="341" w:anchorLock="0"/>
    </w:pPr>
  </w:p>
  <w:p w14:paraId="6C642A80" w14:textId="77777777" w:rsidR="00241093" w:rsidRPr="000925A8" w:rsidRDefault="0024109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EAC8" w14:textId="77777777" w:rsidR="00241093" w:rsidRPr="000925A8" w:rsidRDefault="00241093">
    <w:pPr>
      <w:pStyle w:val="SidhuvudKantJmn"/>
      <w:framePr w:w="8732" w:h="567" w:hRule="exact" w:vSpace="0" w:wrap="around" w:vAnchor="page" w:y="341" w:anchorLock="0"/>
    </w:pPr>
    <w:r w:rsidRPr="000925A8">
      <w:rPr>
        <w:rStyle w:val="SidhuvudUtskott"/>
      </w:rPr>
      <w:t>2001/02:BoU8</w:t>
    </w:r>
    <w:r w:rsidRPr="000925A8">
      <w:t xml:space="preserve">    </w:t>
    </w:r>
  </w:p>
  <w:p w14:paraId="68C6BED7" w14:textId="77777777" w:rsidR="00241093" w:rsidRPr="000925A8" w:rsidRDefault="00241093">
    <w:pPr>
      <w:pStyle w:val="SidhuvudKantJmn"/>
      <w:framePr w:w="8732" w:h="567" w:hRule="exact" w:vSpace="0" w:wrap="around" w:vAnchor="page" w:y="341" w:anchorLock="0"/>
    </w:pPr>
  </w:p>
  <w:p w14:paraId="2B94232F" w14:textId="77777777" w:rsidR="00241093" w:rsidRPr="000925A8" w:rsidRDefault="00241093">
    <w:pPr>
      <w:pStyle w:val="SidhuvudKantUdda"/>
      <w:framePr w:w="8732" w:h="567" w:hRule="exact" w:vSpace="0" w:wrap="around" w:vAnchor="page" w:y="341" w:anchorLock="0"/>
    </w:pPr>
    <w:r w:rsidRPr="000925A8">
      <w:rPr>
        <w:rStyle w:val="SidhuvudRubrikReferens"/>
        <w:smallCaps w:val="0"/>
        <w:spacing w:val="0"/>
        <w:sz w:val="19"/>
      </w:rPr>
      <w:t xml:space="preserve"> </w:t>
    </w:r>
  </w:p>
  <w:p w14:paraId="6D169D2F" w14:textId="77777777" w:rsidR="00241093" w:rsidRPr="000925A8" w:rsidRDefault="0024109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EC32" w14:textId="77777777" w:rsidR="00241093" w:rsidRPr="000925A8" w:rsidRDefault="00241093">
    <w:pPr>
      <w:pStyle w:val="SidhuvudKantJmn"/>
      <w:framePr w:w="8732" w:h="567" w:hRule="exact" w:vSpace="0" w:wrap="around" w:vAnchor="page" w:y="341" w:anchorLock="0"/>
    </w:pPr>
    <w:r w:rsidRPr="000925A8">
      <w:rPr>
        <w:rStyle w:val="SidhuvudUtskott"/>
      </w:rPr>
      <w:t>2001/02:BoU8</w:t>
    </w:r>
    <w:r w:rsidRPr="000925A8">
      <w:t xml:space="preserve">     </w:t>
    </w:r>
    <w:r w:rsidRPr="000925A8">
      <w:rPr>
        <w:rStyle w:val="SidhuvudBilaga"/>
      </w:rPr>
      <w:t xml:space="preserve"> </w:t>
    </w:r>
    <w:r w:rsidRPr="000925A8">
      <w:rPr>
        <w:rStyle w:val="SidhuvudRubrikReferens"/>
      </w:rPr>
      <w:t>bilaga 2: uppföljningsrapport</w:t>
    </w:r>
  </w:p>
  <w:p w14:paraId="406A454E" w14:textId="77777777" w:rsidR="00241093" w:rsidRPr="000925A8" w:rsidRDefault="00241093">
    <w:pPr>
      <w:pStyle w:val="SidhuvudKantJmn"/>
      <w:framePr w:w="8732" w:h="567" w:hRule="exact" w:vSpace="0" w:wrap="around" w:vAnchor="page" w:y="341" w:anchorLock="0"/>
    </w:pPr>
  </w:p>
  <w:p w14:paraId="47F1A703" w14:textId="77777777" w:rsidR="00241093" w:rsidRPr="000925A8" w:rsidRDefault="0024109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F6EE" w14:textId="77777777" w:rsidR="00241093" w:rsidRPr="000925A8" w:rsidRDefault="00241093">
    <w:pPr>
      <w:pStyle w:val="SidhuvudKantUdda"/>
      <w:framePr w:w="8732" w:h="567" w:hRule="exact" w:vSpace="0" w:wrap="around" w:vAnchor="page" w:y="341" w:anchorLock="0"/>
    </w:pPr>
    <w:r w:rsidRPr="000925A8">
      <w:rPr>
        <w:rStyle w:val="SidhuvudRubrikReferens"/>
      </w:rPr>
      <w:t>bilaga 2: uppföljningsrapport</w:t>
    </w:r>
    <w:r w:rsidRPr="000925A8">
      <w:rPr>
        <w:rStyle w:val="SidhuvudBilaga"/>
      </w:rPr>
      <w:t xml:space="preserve"> </w:t>
    </w:r>
    <w:r w:rsidRPr="000925A8">
      <w:t xml:space="preserve">     </w:t>
    </w:r>
    <w:r w:rsidRPr="000925A8">
      <w:rPr>
        <w:rStyle w:val="SidhuvudUtskott"/>
      </w:rPr>
      <w:t>2001/02:BoU8</w:t>
    </w:r>
  </w:p>
  <w:p w14:paraId="0A50EB85" w14:textId="77777777" w:rsidR="00241093" w:rsidRPr="000925A8" w:rsidRDefault="00241093">
    <w:pPr>
      <w:pStyle w:val="SidhuvudKantUdda"/>
      <w:framePr w:w="8732" w:h="567" w:hRule="exact" w:vSpace="0" w:wrap="around" w:vAnchor="page" w:y="341" w:anchorLock="0"/>
    </w:pPr>
  </w:p>
  <w:p w14:paraId="5D6805BC" w14:textId="77777777" w:rsidR="00241093" w:rsidRPr="000925A8" w:rsidRDefault="0024109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9F1E" w14:textId="77777777" w:rsidR="00241093" w:rsidRPr="000925A8" w:rsidRDefault="00241093">
    <w:pPr>
      <w:pStyle w:val="SidhuvudKantUdda"/>
      <w:framePr w:w="8732" w:h="567" w:hRule="exact" w:vSpace="0" w:wrap="around" w:vAnchor="page" w:y="341" w:anchorLock="0"/>
    </w:pPr>
    <w:r w:rsidRPr="000925A8">
      <w:t xml:space="preserve">  </w:t>
    </w:r>
    <w:r w:rsidRPr="000925A8">
      <w:rPr>
        <w:rStyle w:val="SidhuvudUtskott"/>
      </w:rPr>
      <w:t>2001/02:BoU8</w:t>
    </w:r>
  </w:p>
  <w:p w14:paraId="6A6B21CE" w14:textId="77777777" w:rsidR="00241093" w:rsidRPr="000925A8" w:rsidRDefault="00241093">
    <w:pPr>
      <w:pStyle w:val="SidhuvudKantUdda"/>
      <w:framePr w:w="8732" w:h="567" w:hRule="exact" w:vSpace="0" w:wrap="around" w:vAnchor="page" w:y="341" w:anchorLock="0"/>
    </w:pPr>
  </w:p>
  <w:p w14:paraId="2AFCC8DC" w14:textId="77777777" w:rsidR="00241093" w:rsidRPr="000925A8" w:rsidRDefault="0024109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856E" w14:textId="77777777" w:rsidR="00241093" w:rsidRPr="000925A8" w:rsidRDefault="00241093">
    <w:pPr>
      <w:pStyle w:val="SidhuvudKantUdda"/>
      <w:framePr w:w="8732" w:h="567" w:hRule="exact" w:vSpace="0" w:wrap="around" w:vAnchor="page" w:y="341" w:anchorLock="0"/>
    </w:pPr>
    <w:r w:rsidRPr="000925A8">
      <w:t xml:space="preserve"> </w:t>
    </w:r>
  </w:p>
  <w:p w14:paraId="2F7DC153" w14:textId="77777777" w:rsidR="00241093" w:rsidRPr="000925A8" w:rsidRDefault="0024109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98F2" w14:textId="77777777" w:rsidR="00241093" w:rsidRPr="000925A8" w:rsidRDefault="00241093">
    <w:pPr>
      <w:pStyle w:val="SidhuvudKantJmn"/>
      <w:framePr w:w="8732" w:h="567" w:hRule="exact" w:vSpace="0" w:wrap="around" w:vAnchor="page" w:y="341" w:anchorLock="0"/>
    </w:pPr>
    <w:r w:rsidRPr="000925A8">
      <w:rPr>
        <w:rStyle w:val="SidhuvudUtskott"/>
      </w:rPr>
      <w:fldChar w:fldCharType="begin" w:fldLock="1"/>
    </w:r>
    <w:r w:rsidRPr="000925A8">
      <w:rPr>
        <w:rStyle w:val="SidhuvudUtskott"/>
      </w:rPr>
      <w:instrText xml:space="preserve"> DOCPROPERTY BetänkandeÅr</w:instrText>
    </w:r>
    <w:r w:rsidRPr="000925A8">
      <w:rPr>
        <w:rStyle w:val="SidhuvudUtskott"/>
      </w:rPr>
      <w:fldChar w:fldCharType="separate"/>
    </w:r>
    <w:r w:rsidRPr="000925A8">
      <w:rPr>
        <w:rStyle w:val="SidhuvudUtskott"/>
      </w:rPr>
      <w:t>2001/02</w:t>
    </w:r>
    <w:r w:rsidRPr="000925A8">
      <w:rPr>
        <w:rStyle w:val="SidhuvudUtskott"/>
      </w:rPr>
      <w:fldChar w:fldCharType="end"/>
    </w:r>
    <w:r w:rsidRPr="000925A8">
      <w:rPr>
        <w:rStyle w:val="SidhuvudUtskott"/>
      </w:rPr>
      <w:t>:</w:t>
    </w:r>
    <w:r w:rsidRPr="000925A8">
      <w:rPr>
        <w:rStyle w:val="SidhuvudUtskott"/>
      </w:rPr>
      <w:fldChar w:fldCharType="begin" w:fldLock="1"/>
    </w:r>
    <w:r w:rsidRPr="000925A8">
      <w:rPr>
        <w:rStyle w:val="SidhuvudUtskott"/>
      </w:rPr>
      <w:instrText xml:space="preserve"> DOCPROPERTY Utskott</w:instrText>
    </w:r>
    <w:r w:rsidRPr="000925A8">
      <w:rPr>
        <w:rStyle w:val="SidhuvudUtskott"/>
      </w:rPr>
      <w:fldChar w:fldCharType="separate"/>
    </w:r>
    <w:r w:rsidRPr="000925A8">
      <w:rPr>
        <w:rStyle w:val="SidhuvudUtskott"/>
      </w:rPr>
      <w:t>BoU</w:t>
    </w:r>
    <w:r w:rsidRPr="000925A8">
      <w:rPr>
        <w:rStyle w:val="SidhuvudUtskott"/>
      </w:rPr>
      <w:fldChar w:fldCharType="end"/>
    </w:r>
    <w:r w:rsidRPr="000925A8">
      <w:rPr>
        <w:rStyle w:val="SidhuvudUtskott"/>
      </w:rPr>
      <w:fldChar w:fldCharType="begin" w:fldLock="1"/>
    </w:r>
    <w:r w:rsidRPr="000925A8">
      <w:rPr>
        <w:rStyle w:val="SidhuvudUtskott"/>
      </w:rPr>
      <w:instrText xml:space="preserve"> DOCPROPERTY BetänkandeNr</w:instrText>
    </w:r>
    <w:r w:rsidRPr="000925A8">
      <w:rPr>
        <w:rStyle w:val="SidhuvudUtskott"/>
      </w:rPr>
      <w:fldChar w:fldCharType="separate"/>
    </w:r>
    <w:r w:rsidRPr="000925A8">
      <w:rPr>
        <w:rStyle w:val="SidhuvudUtskott"/>
      </w:rPr>
      <w:t>8</w:t>
    </w:r>
    <w:r w:rsidRPr="000925A8">
      <w:rPr>
        <w:rStyle w:val="SidhuvudUtskott"/>
      </w:rPr>
      <w:fldChar w:fldCharType="end"/>
    </w:r>
    <w:r w:rsidRPr="000925A8">
      <w:t xml:space="preserve">     </w:t>
    </w:r>
    <w:r w:rsidRPr="000925A8">
      <w:rPr>
        <w:rStyle w:val="SidhuvudBilaga"/>
      </w:rPr>
      <w:t xml:space="preserve"> </w:t>
    </w:r>
    <w:r w:rsidRPr="000925A8">
      <w:rPr>
        <w:rStyle w:val="SidhuvudRubrikReferens"/>
      </w:rPr>
      <w:fldChar w:fldCharType="begin" w:fldLock="1"/>
    </w:r>
    <w:r w:rsidRPr="000925A8">
      <w:rPr>
        <w:rStyle w:val="SidhuvudRubrikReferens"/>
      </w:rPr>
      <w:instrText xml:space="preserve"> StyleREF "Rubrik 1" </w:instrText>
    </w:r>
    <w:r w:rsidRPr="000925A8">
      <w:rPr>
        <w:rStyle w:val="SidhuvudRubrikReferens"/>
      </w:rPr>
      <w:fldChar w:fldCharType="separate"/>
    </w:r>
    <w:r w:rsidRPr="000925A8">
      <w:rPr>
        <w:rStyle w:val="SidhuvudRubrikReferens"/>
      </w:rPr>
      <w:t>Sammanfattning</w:t>
    </w:r>
    <w:r w:rsidRPr="000925A8">
      <w:rPr>
        <w:rStyle w:val="SidhuvudRubrikReferens"/>
      </w:rPr>
      <w:fldChar w:fldCharType="end"/>
    </w:r>
  </w:p>
  <w:p w14:paraId="0CE53E01" w14:textId="77777777" w:rsidR="00241093" w:rsidRPr="000925A8" w:rsidRDefault="00241093">
    <w:pPr>
      <w:pStyle w:val="SidhuvudKantJmn"/>
      <w:framePr w:w="8732" w:h="567" w:hRule="exact" w:vSpace="0" w:wrap="around" w:vAnchor="page" w:y="341" w:anchorLock="0"/>
    </w:pPr>
    <w:r w:rsidRPr="000925A8">
      <w:rPr>
        <w:rStyle w:val="SidhuvudUtskott"/>
      </w:rPr>
      <w:fldChar w:fldCharType="begin" w:fldLock="1"/>
    </w:r>
    <w:r w:rsidRPr="000925A8">
      <w:rPr>
        <w:rStyle w:val="SidhuvudUtskott"/>
      </w:rPr>
      <w:instrText xml:space="preserve"> DOCPROPERTY Status</w:instrText>
    </w:r>
    <w:r w:rsidRPr="000925A8">
      <w:rPr>
        <w:rStyle w:val="SidhuvudUtskott"/>
      </w:rPr>
      <w:fldChar w:fldCharType="end"/>
    </w:r>
    <w:r w:rsidRPr="000925A8">
      <w:rPr>
        <w:rStyle w:val="SidhuvudUtskott"/>
      </w:rPr>
      <w:fldChar w:fldCharType="begin" w:fldLock="1"/>
    </w:r>
    <w:r w:rsidRPr="000925A8">
      <w:rPr>
        <w:rStyle w:val="SidhuvudUtskott"/>
      </w:rPr>
      <w:instrText xml:space="preserve"> if </w:instrText>
    </w:r>
    <w:r w:rsidRPr="000925A8">
      <w:rPr>
        <w:rStyle w:val="SidhuvudUtskott"/>
      </w:rPr>
      <w:fldChar w:fldCharType="begin" w:fldLock="1"/>
    </w:r>
    <w:r w:rsidRPr="000925A8">
      <w:rPr>
        <w:rStyle w:val="SidhuvudUtskott"/>
      </w:rPr>
      <w:instrText xml:space="preserve"> DOCPROPERTY "UtkastDatum"</w:instrText>
    </w:r>
    <w:r w:rsidRPr="000925A8">
      <w:rPr>
        <w:rStyle w:val="SidhuvudUtskott"/>
      </w:rPr>
      <w:fldChar w:fldCharType="separate"/>
    </w:r>
    <w:r w:rsidRPr="000925A8">
      <w:rPr>
        <w:rStyle w:val="SidhuvudUtskott"/>
      </w:rPr>
      <w:instrText>Nej</w:instrText>
    </w:r>
    <w:r w:rsidRPr="000925A8">
      <w:rPr>
        <w:rStyle w:val="SidhuvudUtskott"/>
      </w:rPr>
      <w:fldChar w:fldCharType="end"/>
    </w:r>
    <w:r w:rsidRPr="000925A8">
      <w:rPr>
        <w:rStyle w:val="SidhuvudUtskott"/>
      </w:rPr>
      <w:instrText xml:space="preserve"> = "Ja" "    </w:instrText>
    </w:r>
    <w:r w:rsidRPr="000925A8">
      <w:rPr>
        <w:rStyle w:val="SidhuvudUtskott"/>
      </w:rPr>
      <w:fldChar w:fldCharType="begin" w:fldLock="1"/>
    </w:r>
    <w:r w:rsidRPr="000925A8">
      <w:rPr>
        <w:rStyle w:val="SidhuvudUtskott"/>
      </w:rPr>
      <w:instrText xml:space="preserve"> PRINTDATE \@ "yyyy-MM-dd HH.mm" </w:instrText>
    </w:r>
    <w:r w:rsidRPr="000925A8">
      <w:rPr>
        <w:rStyle w:val="SidhuvudUtskott"/>
      </w:rPr>
      <w:fldChar w:fldCharType="separate"/>
    </w:r>
    <w:r w:rsidRPr="000925A8">
      <w:rPr>
        <w:rStyle w:val="SidhuvudUtskott"/>
      </w:rPr>
      <w:instrText>2000-08-11 16.42</w:instrText>
    </w:r>
    <w:r w:rsidRPr="000925A8">
      <w:rPr>
        <w:rStyle w:val="SidhuvudUtskott"/>
      </w:rPr>
      <w:fldChar w:fldCharType="end"/>
    </w:r>
    <w:r w:rsidRPr="000925A8">
      <w:rPr>
        <w:rStyle w:val="SidhuvudUtskott"/>
      </w:rPr>
      <w:instrText xml:space="preserve">" </w:instrText>
    </w:r>
    <w:r w:rsidRPr="000925A8">
      <w:rPr>
        <w:rStyle w:val="SidhuvudUtskott"/>
      </w:rPr>
      <w:fldChar w:fldCharType="end"/>
    </w:r>
  </w:p>
  <w:p w14:paraId="518867C8" w14:textId="77777777" w:rsidR="00241093" w:rsidRPr="000925A8" w:rsidRDefault="0024109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6017" w14:textId="77777777" w:rsidR="00241093" w:rsidRPr="000925A8" w:rsidRDefault="00241093">
    <w:pPr>
      <w:pStyle w:val="SidhuvudKantUdda"/>
      <w:framePr w:w="8732" w:h="567" w:hRule="exact" w:vSpace="0" w:wrap="around" w:vAnchor="page" w:y="341" w:anchorLock="0"/>
    </w:pPr>
    <w:r w:rsidRPr="000925A8">
      <w:rPr>
        <w:rStyle w:val="SidhuvudRubrikReferens"/>
      </w:rPr>
      <w:t>Innehållsförteckning</w:t>
    </w:r>
    <w:r w:rsidRPr="000925A8">
      <w:rPr>
        <w:rStyle w:val="SidhuvudBilaga"/>
      </w:rPr>
      <w:t xml:space="preserve"> </w:t>
    </w:r>
    <w:r w:rsidRPr="000925A8">
      <w:t xml:space="preserve">     </w:t>
    </w:r>
    <w:r w:rsidRPr="000925A8">
      <w:rPr>
        <w:rStyle w:val="SidhuvudUtskott"/>
      </w:rPr>
      <w:t>2001/02:BoU8</w:t>
    </w:r>
  </w:p>
  <w:p w14:paraId="6885485E" w14:textId="77777777" w:rsidR="00241093" w:rsidRPr="000925A8" w:rsidRDefault="00241093">
    <w:pPr>
      <w:pStyle w:val="SidhuvudKantUdda"/>
      <w:framePr w:w="8732" w:h="567" w:hRule="exact" w:vSpace="0" w:wrap="around" w:vAnchor="page" w:y="341" w:anchorLock="0"/>
    </w:pPr>
  </w:p>
  <w:p w14:paraId="5C361B35" w14:textId="77777777" w:rsidR="00241093" w:rsidRPr="000925A8" w:rsidRDefault="0024109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55BD" w14:textId="77777777" w:rsidR="00241093" w:rsidRPr="000925A8" w:rsidRDefault="00241093">
    <w:pPr>
      <w:pStyle w:val="SidhuvudKantJmn"/>
      <w:framePr w:w="8732" w:h="567" w:hRule="exact" w:vSpace="0" w:wrap="around" w:vAnchor="page" w:y="341" w:anchorLock="0"/>
    </w:pPr>
    <w:r w:rsidRPr="000925A8">
      <w:rPr>
        <w:rStyle w:val="SidhuvudUtskott"/>
      </w:rPr>
      <w:t>2001/02:BoU8</w:t>
    </w:r>
    <w:r w:rsidRPr="000925A8">
      <w:t xml:space="preserve">    </w:t>
    </w:r>
  </w:p>
  <w:p w14:paraId="369CEBDB" w14:textId="77777777" w:rsidR="00241093" w:rsidRPr="000925A8" w:rsidRDefault="00241093">
    <w:pPr>
      <w:pStyle w:val="SidhuvudKantJmn"/>
      <w:framePr w:w="8732" w:h="567" w:hRule="exact" w:vSpace="0" w:wrap="around" w:vAnchor="page" w:y="341" w:anchorLock="0"/>
    </w:pPr>
  </w:p>
  <w:p w14:paraId="3D11133D" w14:textId="77777777" w:rsidR="00241093" w:rsidRPr="000925A8" w:rsidRDefault="00241093">
    <w:pPr>
      <w:pStyle w:val="SidhuvudKantUdda"/>
      <w:framePr w:w="8732" w:h="567" w:hRule="exact" w:vSpace="0" w:wrap="around" w:vAnchor="page" w:y="341" w:anchorLock="0"/>
    </w:pPr>
    <w:r w:rsidRPr="000925A8">
      <w:rPr>
        <w:rStyle w:val="SidhuvudRubrikReferens"/>
        <w:smallCaps w:val="0"/>
        <w:spacing w:val="0"/>
        <w:sz w:val="19"/>
      </w:rPr>
      <w:t xml:space="preserve"> </w:t>
    </w:r>
  </w:p>
  <w:p w14:paraId="531BED77" w14:textId="77777777" w:rsidR="00241093" w:rsidRPr="000925A8" w:rsidRDefault="0024109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CD3C" w14:textId="77777777" w:rsidR="00241093" w:rsidRPr="000925A8" w:rsidRDefault="00241093">
    <w:pPr>
      <w:pStyle w:val="SidhuvudKantJmn"/>
      <w:framePr w:w="8732" w:h="567" w:hRule="exact" w:vSpace="0" w:wrap="around" w:vAnchor="page" w:y="341" w:anchorLock="0"/>
    </w:pPr>
    <w:r w:rsidRPr="000925A8">
      <w:rPr>
        <w:rStyle w:val="SidhuvudUtskott"/>
      </w:rPr>
      <w:t>2001/02:BoU8</w:t>
    </w:r>
    <w:r w:rsidRPr="000925A8">
      <w:t xml:space="preserve">     </w:t>
    </w:r>
    <w:r w:rsidRPr="000925A8">
      <w:rPr>
        <w:rStyle w:val="SidhuvudBilaga"/>
      </w:rPr>
      <w:t xml:space="preserve"> </w:t>
    </w:r>
    <w:r w:rsidRPr="000925A8">
      <w:rPr>
        <w:rStyle w:val="SidhuvudRubrikReferens"/>
      </w:rPr>
      <w:t>Utskottets förslag till riksdagsbeslut</w:t>
    </w:r>
  </w:p>
  <w:p w14:paraId="31345ECC" w14:textId="77777777" w:rsidR="00241093" w:rsidRPr="000925A8" w:rsidRDefault="00241093">
    <w:pPr>
      <w:pStyle w:val="SidhuvudKantJmn"/>
      <w:framePr w:w="8732" w:h="567" w:hRule="exact" w:vSpace="0" w:wrap="around" w:vAnchor="page" w:y="341" w:anchorLock="0"/>
    </w:pPr>
  </w:p>
  <w:p w14:paraId="41259672" w14:textId="77777777" w:rsidR="00241093" w:rsidRPr="000925A8" w:rsidRDefault="0024109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5D1C" w14:textId="77777777" w:rsidR="00241093" w:rsidRPr="000925A8" w:rsidRDefault="00241093">
    <w:pPr>
      <w:pStyle w:val="SidhuvudKantUdda"/>
      <w:framePr w:w="8732" w:h="567" w:hRule="exact" w:vSpace="0" w:wrap="around" w:vAnchor="page" w:y="341" w:anchorLock="0"/>
    </w:pPr>
    <w:r w:rsidRPr="000925A8">
      <w:rPr>
        <w:rStyle w:val="SidhuvudRubrikReferens"/>
      </w:rPr>
      <w:t>Utskottets förslag till riksdagsbeslut</w:t>
    </w:r>
    <w:r w:rsidRPr="000925A8">
      <w:rPr>
        <w:rStyle w:val="SidhuvudBilaga"/>
      </w:rPr>
      <w:t xml:space="preserve"> </w:t>
    </w:r>
    <w:r w:rsidRPr="000925A8">
      <w:t xml:space="preserve">     </w:t>
    </w:r>
    <w:r w:rsidRPr="000925A8">
      <w:rPr>
        <w:rStyle w:val="SidhuvudUtskott"/>
      </w:rPr>
      <w:t>2001/02:BoU8</w:t>
    </w:r>
  </w:p>
  <w:p w14:paraId="6B1AB983" w14:textId="77777777" w:rsidR="00241093" w:rsidRPr="000925A8" w:rsidRDefault="00241093">
    <w:pPr>
      <w:pStyle w:val="SidhuvudKantUdda"/>
      <w:framePr w:w="8732" w:h="567" w:hRule="exact" w:vSpace="0" w:wrap="around" w:vAnchor="page" w:y="341" w:anchorLock="0"/>
    </w:pPr>
  </w:p>
  <w:p w14:paraId="7B4BB539" w14:textId="77777777" w:rsidR="00241093" w:rsidRPr="000925A8" w:rsidRDefault="0024109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69BE" w14:textId="77777777" w:rsidR="00241093" w:rsidRPr="000925A8" w:rsidRDefault="00241093">
    <w:pPr>
      <w:pStyle w:val="SidhuvudKantJmn"/>
      <w:framePr w:w="8732" w:h="567" w:hRule="exact" w:vSpace="0" w:wrap="around" w:vAnchor="page" w:y="341" w:anchorLock="0"/>
    </w:pPr>
    <w:r w:rsidRPr="000925A8">
      <w:rPr>
        <w:rStyle w:val="SidhuvudUtskott"/>
      </w:rPr>
      <w:t>2001/02:BoU8</w:t>
    </w:r>
    <w:r w:rsidRPr="000925A8">
      <w:t xml:space="preserve">    </w:t>
    </w:r>
  </w:p>
  <w:p w14:paraId="126E7B89" w14:textId="77777777" w:rsidR="00241093" w:rsidRPr="000925A8" w:rsidRDefault="00241093">
    <w:pPr>
      <w:pStyle w:val="SidhuvudKantJmn"/>
      <w:framePr w:w="8732" w:h="567" w:hRule="exact" w:vSpace="0" w:wrap="around" w:vAnchor="page" w:y="341" w:anchorLock="0"/>
    </w:pPr>
  </w:p>
  <w:p w14:paraId="3386049F" w14:textId="77777777" w:rsidR="00241093" w:rsidRPr="000925A8" w:rsidRDefault="00241093">
    <w:pPr>
      <w:pStyle w:val="SidhuvudKantUdda"/>
      <w:framePr w:w="8732" w:h="567" w:hRule="exact" w:vSpace="0" w:wrap="around" w:vAnchor="page" w:y="341" w:anchorLock="0"/>
    </w:pPr>
    <w:r w:rsidRPr="000925A8">
      <w:rPr>
        <w:rStyle w:val="SidhuvudRubrikReferens"/>
        <w:smallCaps w:val="0"/>
        <w:spacing w:val="0"/>
        <w:sz w:val="19"/>
      </w:rPr>
      <w:t xml:space="preserve"> </w:t>
    </w:r>
  </w:p>
  <w:p w14:paraId="376C1709" w14:textId="77777777" w:rsidR="00241093" w:rsidRPr="000925A8" w:rsidRDefault="0024109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AE7F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D69E2"/>
    <w:multiLevelType w:val="singleLevel"/>
    <w:tmpl w:val="40CE6F5E"/>
    <w:lvl w:ilvl="0">
      <w:start w:val="8"/>
      <w:numFmt w:val="decimal"/>
      <w:lvlText w:val="%1"/>
      <w:lvlJc w:val="left"/>
      <w:pPr>
        <w:tabs>
          <w:tab w:val="num" w:pos="360"/>
        </w:tabs>
        <w:ind w:left="360" w:hanging="360"/>
      </w:pPr>
      <w:rPr>
        <w:rFonts w:hint="default"/>
      </w:rPr>
    </w:lvl>
  </w:abstractNum>
  <w:abstractNum w:abstractNumId="3" w15:restartNumberingAfterBreak="0">
    <w:nsid w:val="04915EA2"/>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052F1830"/>
    <w:multiLevelType w:val="singleLevel"/>
    <w:tmpl w:val="40B28294"/>
    <w:lvl w:ilvl="0">
      <w:start w:val="3"/>
      <w:numFmt w:val="bullet"/>
      <w:lvlText w:val="–"/>
      <w:lvlJc w:val="left"/>
      <w:pPr>
        <w:tabs>
          <w:tab w:val="num" w:pos="360"/>
        </w:tabs>
        <w:ind w:left="360" w:hanging="360"/>
      </w:pPr>
      <w:rPr>
        <w:rFonts w:hint="default"/>
      </w:rPr>
    </w:lvl>
  </w:abstractNum>
  <w:abstractNum w:abstractNumId="5" w15:restartNumberingAfterBreak="0">
    <w:nsid w:val="05B46FA8"/>
    <w:multiLevelType w:val="singleLevel"/>
    <w:tmpl w:val="B7DC1004"/>
    <w:lvl w:ilvl="0">
      <w:start w:val="1"/>
      <w:numFmt w:val="lowerLetter"/>
      <w:lvlText w:val="%1)"/>
      <w:lvlJc w:val="left"/>
      <w:pPr>
        <w:tabs>
          <w:tab w:val="num" w:pos="-774"/>
        </w:tabs>
        <w:ind w:left="-774" w:hanging="360"/>
      </w:pPr>
      <w:rPr>
        <w:rFonts w:hint="default"/>
        <w:i/>
      </w:rPr>
    </w:lvl>
  </w:abstractNum>
  <w:abstractNum w:abstractNumId="6" w15:restartNumberingAfterBreak="0">
    <w:nsid w:val="06824EDB"/>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069949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AA6142"/>
    <w:multiLevelType w:val="singleLevel"/>
    <w:tmpl w:val="CD1096B6"/>
    <w:lvl w:ilvl="0">
      <w:start w:val="3"/>
      <w:numFmt w:val="decimal"/>
      <w:lvlText w:val="%1"/>
      <w:lvlJc w:val="left"/>
      <w:pPr>
        <w:tabs>
          <w:tab w:val="num" w:pos="360"/>
        </w:tabs>
        <w:ind w:left="360" w:hanging="360"/>
      </w:pPr>
      <w:rPr>
        <w:rFonts w:ascii="Arial" w:hAnsi="Arial" w:hint="default"/>
        <w:b/>
        <w:i w:val="0"/>
      </w:rPr>
    </w:lvl>
  </w:abstractNum>
  <w:abstractNum w:abstractNumId="9" w15:restartNumberingAfterBreak="0">
    <w:nsid w:val="06B45DA8"/>
    <w:multiLevelType w:val="singleLevel"/>
    <w:tmpl w:val="40B28294"/>
    <w:lvl w:ilvl="0">
      <w:start w:val="3"/>
      <w:numFmt w:val="bullet"/>
      <w:lvlText w:val="–"/>
      <w:lvlJc w:val="left"/>
      <w:pPr>
        <w:tabs>
          <w:tab w:val="num" w:pos="360"/>
        </w:tabs>
        <w:ind w:left="360" w:hanging="360"/>
      </w:pPr>
      <w:rPr>
        <w:rFonts w:hint="default"/>
      </w:rPr>
    </w:lvl>
  </w:abstractNum>
  <w:abstractNum w:abstractNumId="10" w15:restartNumberingAfterBreak="0">
    <w:nsid w:val="07D11431"/>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08A14B88"/>
    <w:multiLevelType w:val="singleLevel"/>
    <w:tmpl w:val="986E4DEA"/>
    <w:lvl w:ilvl="0">
      <w:numFmt w:val="bullet"/>
      <w:lvlText w:val="-"/>
      <w:lvlJc w:val="left"/>
      <w:pPr>
        <w:tabs>
          <w:tab w:val="num" w:pos="360"/>
        </w:tabs>
        <w:ind w:left="360" w:hanging="360"/>
      </w:pPr>
      <w:rPr>
        <w:rFonts w:hint="default"/>
      </w:rPr>
    </w:lvl>
  </w:abstractNum>
  <w:abstractNum w:abstractNumId="12" w15:restartNumberingAfterBreak="0">
    <w:nsid w:val="097879E8"/>
    <w:multiLevelType w:val="singleLevel"/>
    <w:tmpl w:val="539288B8"/>
    <w:lvl w:ilvl="0">
      <w:start w:val="1"/>
      <w:numFmt w:val="lowerLetter"/>
      <w:lvlText w:val="%1)"/>
      <w:lvlJc w:val="left"/>
      <w:pPr>
        <w:tabs>
          <w:tab w:val="num" w:pos="-414"/>
        </w:tabs>
        <w:ind w:left="-414" w:hanging="360"/>
      </w:pPr>
      <w:rPr>
        <w:rFonts w:hint="default"/>
      </w:rPr>
    </w:lvl>
  </w:abstractNum>
  <w:abstractNum w:abstractNumId="13" w15:restartNumberingAfterBreak="0">
    <w:nsid w:val="09AD55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9EF4E98"/>
    <w:multiLevelType w:val="singleLevel"/>
    <w:tmpl w:val="041D0017"/>
    <w:lvl w:ilvl="0">
      <w:start w:val="1"/>
      <w:numFmt w:val="lowerLetter"/>
      <w:lvlText w:val="%1)"/>
      <w:lvlJc w:val="left"/>
      <w:pPr>
        <w:tabs>
          <w:tab w:val="num" w:pos="360"/>
        </w:tabs>
        <w:ind w:left="360" w:hanging="360"/>
      </w:pPr>
    </w:lvl>
  </w:abstractNum>
  <w:abstractNum w:abstractNumId="15" w15:restartNumberingAfterBreak="0">
    <w:nsid w:val="09FD4FB2"/>
    <w:multiLevelType w:val="singleLevel"/>
    <w:tmpl w:val="40CE6F5E"/>
    <w:lvl w:ilvl="0">
      <w:start w:val="8"/>
      <w:numFmt w:val="decimal"/>
      <w:lvlText w:val="%1"/>
      <w:lvlJc w:val="left"/>
      <w:pPr>
        <w:tabs>
          <w:tab w:val="num" w:pos="360"/>
        </w:tabs>
        <w:ind w:left="360" w:hanging="360"/>
      </w:pPr>
      <w:rPr>
        <w:rFonts w:hint="default"/>
      </w:rPr>
    </w:lvl>
  </w:abstractNum>
  <w:abstractNum w:abstractNumId="16" w15:restartNumberingAfterBreak="0">
    <w:nsid w:val="0BA906F3"/>
    <w:multiLevelType w:val="singleLevel"/>
    <w:tmpl w:val="A228782E"/>
    <w:lvl w:ilvl="0">
      <w:start w:val="8"/>
      <w:numFmt w:val="decimal"/>
      <w:lvlText w:val="%1"/>
      <w:lvlJc w:val="left"/>
      <w:pPr>
        <w:tabs>
          <w:tab w:val="num" w:pos="0"/>
        </w:tabs>
        <w:ind w:left="0" w:hanging="360"/>
      </w:pPr>
      <w:rPr>
        <w:rFonts w:hint="default"/>
      </w:rPr>
    </w:lvl>
  </w:abstractNum>
  <w:abstractNum w:abstractNumId="17" w15:restartNumberingAfterBreak="0">
    <w:nsid w:val="0BCC5369"/>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0BE3391A"/>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0D8442A4"/>
    <w:multiLevelType w:val="singleLevel"/>
    <w:tmpl w:val="40B28294"/>
    <w:lvl w:ilvl="0">
      <w:start w:val="3"/>
      <w:numFmt w:val="bullet"/>
      <w:lvlText w:val="–"/>
      <w:lvlJc w:val="left"/>
      <w:pPr>
        <w:tabs>
          <w:tab w:val="num" w:pos="360"/>
        </w:tabs>
        <w:ind w:left="360" w:hanging="360"/>
      </w:pPr>
      <w:rPr>
        <w:rFonts w:hint="default"/>
      </w:rPr>
    </w:lvl>
  </w:abstractNum>
  <w:abstractNum w:abstractNumId="20" w15:restartNumberingAfterBreak="0">
    <w:nsid w:val="0D936A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DA51FFD"/>
    <w:multiLevelType w:val="singleLevel"/>
    <w:tmpl w:val="40B28294"/>
    <w:lvl w:ilvl="0">
      <w:start w:val="3"/>
      <w:numFmt w:val="bullet"/>
      <w:lvlText w:val="–"/>
      <w:lvlJc w:val="left"/>
      <w:pPr>
        <w:tabs>
          <w:tab w:val="num" w:pos="360"/>
        </w:tabs>
        <w:ind w:left="360" w:hanging="360"/>
      </w:pPr>
      <w:rPr>
        <w:rFonts w:hint="default"/>
      </w:rPr>
    </w:lvl>
  </w:abstractNum>
  <w:abstractNum w:abstractNumId="22" w15:restartNumberingAfterBreak="0">
    <w:nsid w:val="0DD00584"/>
    <w:multiLevelType w:val="singleLevel"/>
    <w:tmpl w:val="40B28294"/>
    <w:lvl w:ilvl="0">
      <w:start w:val="3"/>
      <w:numFmt w:val="bullet"/>
      <w:lvlText w:val="–"/>
      <w:lvlJc w:val="left"/>
      <w:pPr>
        <w:tabs>
          <w:tab w:val="num" w:pos="360"/>
        </w:tabs>
        <w:ind w:left="360" w:hanging="360"/>
      </w:pPr>
      <w:rPr>
        <w:rFonts w:hint="default"/>
      </w:rPr>
    </w:lvl>
  </w:abstractNum>
  <w:abstractNum w:abstractNumId="23" w15:restartNumberingAfterBreak="0">
    <w:nsid w:val="0E0B6E0E"/>
    <w:multiLevelType w:val="singleLevel"/>
    <w:tmpl w:val="EA22A316"/>
    <w:lvl w:ilvl="0">
      <w:start w:val="7"/>
      <w:numFmt w:val="decimal"/>
      <w:lvlText w:val="%1"/>
      <w:lvlJc w:val="left"/>
      <w:pPr>
        <w:tabs>
          <w:tab w:val="num" w:pos="360"/>
        </w:tabs>
        <w:ind w:left="360" w:hanging="360"/>
      </w:pPr>
      <w:rPr>
        <w:rFonts w:hint="default"/>
      </w:rPr>
    </w:lvl>
  </w:abstractNum>
  <w:abstractNum w:abstractNumId="24" w15:restartNumberingAfterBreak="0">
    <w:nsid w:val="0E7959F5"/>
    <w:multiLevelType w:val="singleLevel"/>
    <w:tmpl w:val="041D000F"/>
    <w:lvl w:ilvl="0">
      <w:start w:val="1"/>
      <w:numFmt w:val="decimal"/>
      <w:lvlText w:val="%1."/>
      <w:lvlJc w:val="left"/>
      <w:pPr>
        <w:tabs>
          <w:tab w:val="num" w:pos="360"/>
        </w:tabs>
        <w:ind w:left="360" w:hanging="360"/>
      </w:pPr>
    </w:lvl>
  </w:abstractNum>
  <w:abstractNum w:abstractNumId="25" w15:restartNumberingAfterBreak="0">
    <w:nsid w:val="0E9475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ED076AF"/>
    <w:multiLevelType w:val="singleLevel"/>
    <w:tmpl w:val="40B28294"/>
    <w:lvl w:ilvl="0">
      <w:start w:val="3"/>
      <w:numFmt w:val="bullet"/>
      <w:lvlText w:val="–"/>
      <w:lvlJc w:val="left"/>
      <w:pPr>
        <w:tabs>
          <w:tab w:val="num" w:pos="360"/>
        </w:tabs>
        <w:ind w:left="360" w:hanging="360"/>
      </w:pPr>
      <w:rPr>
        <w:rFonts w:hint="default"/>
      </w:rPr>
    </w:lvl>
  </w:abstractNum>
  <w:abstractNum w:abstractNumId="27" w15:restartNumberingAfterBreak="0">
    <w:nsid w:val="102933D3"/>
    <w:multiLevelType w:val="singleLevel"/>
    <w:tmpl w:val="40B28294"/>
    <w:lvl w:ilvl="0">
      <w:start w:val="3"/>
      <w:numFmt w:val="bullet"/>
      <w:lvlText w:val="–"/>
      <w:lvlJc w:val="left"/>
      <w:pPr>
        <w:tabs>
          <w:tab w:val="num" w:pos="360"/>
        </w:tabs>
        <w:ind w:left="360" w:hanging="360"/>
      </w:pPr>
      <w:rPr>
        <w:rFonts w:hint="default"/>
      </w:rPr>
    </w:lvl>
  </w:abstractNum>
  <w:abstractNum w:abstractNumId="28" w15:restartNumberingAfterBreak="0">
    <w:nsid w:val="108040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153576F"/>
    <w:multiLevelType w:val="singleLevel"/>
    <w:tmpl w:val="539288B8"/>
    <w:lvl w:ilvl="0">
      <w:start w:val="1"/>
      <w:numFmt w:val="lowerLetter"/>
      <w:lvlText w:val="%1)"/>
      <w:lvlJc w:val="left"/>
      <w:pPr>
        <w:tabs>
          <w:tab w:val="num" w:pos="-414"/>
        </w:tabs>
        <w:ind w:left="-414" w:hanging="360"/>
      </w:pPr>
      <w:rPr>
        <w:rFonts w:hint="default"/>
      </w:rPr>
    </w:lvl>
  </w:abstractNum>
  <w:abstractNum w:abstractNumId="30" w15:restartNumberingAfterBreak="0">
    <w:nsid w:val="11C97CA3"/>
    <w:multiLevelType w:val="singleLevel"/>
    <w:tmpl w:val="ABA2D126"/>
    <w:lvl w:ilvl="0">
      <w:start w:val="2"/>
      <w:numFmt w:val="lowerLetter"/>
      <w:lvlText w:val="%1)"/>
      <w:lvlJc w:val="left"/>
      <w:pPr>
        <w:tabs>
          <w:tab w:val="num" w:pos="-450"/>
        </w:tabs>
        <w:ind w:left="-450" w:hanging="360"/>
      </w:pPr>
      <w:rPr>
        <w:rFonts w:hint="default"/>
      </w:rPr>
    </w:lvl>
  </w:abstractNum>
  <w:abstractNum w:abstractNumId="31" w15:restartNumberingAfterBreak="0">
    <w:nsid w:val="12980E8D"/>
    <w:multiLevelType w:val="singleLevel"/>
    <w:tmpl w:val="986E4DEA"/>
    <w:lvl w:ilvl="0">
      <w:numFmt w:val="bullet"/>
      <w:lvlText w:val="-"/>
      <w:lvlJc w:val="left"/>
      <w:pPr>
        <w:tabs>
          <w:tab w:val="num" w:pos="360"/>
        </w:tabs>
        <w:ind w:left="360" w:hanging="360"/>
      </w:pPr>
      <w:rPr>
        <w:rFonts w:hint="default"/>
      </w:rPr>
    </w:lvl>
  </w:abstractNum>
  <w:abstractNum w:abstractNumId="32" w15:restartNumberingAfterBreak="0">
    <w:nsid w:val="14BD49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4"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35" w15:restartNumberingAfterBreak="0">
    <w:nsid w:val="165E52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69336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6EC0C9E"/>
    <w:multiLevelType w:val="singleLevel"/>
    <w:tmpl w:val="40B28294"/>
    <w:lvl w:ilvl="0">
      <w:start w:val="3"/>
      <w:numFmt w:val="bullet"/>
      <w:lvlText w:val="–"/>
      <w:lvlJc w:val="left"/>
      <w:pPr>
        <w:tabs>
          <w:tab w:val="num" w:pos="360"/>
        </w:tabs>
        <w:ind w:left="360" w:hanging="360"/>
      </w:pPr>
      <w:rPr>
        <w:rFonts w:hint="default"/>
      </w:rPr>
    </w:lvl>
  </w:abstractNum>
  <w:abstractNum w:abstractNumId="38" w15:restartNumberingAfterBreak="0">
    <w:nsid w:val="173D3199"/>
    <w:multiLevelType w:val="singleLevel"/>
    <w:tmpl w:val="041D000F"/>
    <w:lvl w:ilvl="0">
      <w:start w:val="1"/>
      <w:numFmt w:val="decimal"/>
      <w:lvlText w:val="%1."/>
      <w:lvlJc w:val="left"/>
      <w:pPr>
        <w:tabs>
          <w:tab w:val="num" w:pos="360"/>
        </w:tabs>
        <w:ind w:left="360" w:hanging="360"/>
      </w:pPr>
    </w:lvl>
  </w:abstractNum>
  <w:abstractNum w:abstractNumId="39" w15:restartNumberingAfterBreak="0">
    <w:nsid w:val="17443F4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17CB07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17EE2C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181F1EF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187E4819"/>
    <w:multiLevelType w:val="singleLevel"/>
    <w:tmpl w:val="40B28294"/>
    <w:lvl w:ilvl="0">
      <w:start w:val="3"/>
      <w:numFmt w:val="bullet"/>
      <w:lvlText w:val="–"/>
      <w:lvlJc w:val="left"/>
      <w:pPr>
        <w:tabs>
          <w:tab w:val="num" w:pos="360"/>
        </w:tabs>
        <w:ind w:left="360" w:hanging="360"/>
      </w:pPr>
      <w:rPr>
        <w:rFonts w:hint="default"/>
      </w:rPr>
    </w:lvl>
  </w:abstractNum>
  <w:abstractNum w:abstractNumId="44" w15:restartNumberingAfterBreak="0">
    <w:nsid w:val="189E0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19D94DF4"/>
    <w:multiLevelType w:val="singleLevel"/>
    <w:tmpl w:val="986E4DEA"/>
    <w:lvl w:ilvl="0">
      <w:numFmt w:val="bullet"/>
      <w:lvlText w:val="-"/>
      <w:lvlJc w:val="left"/>
      <w:pPr>
        <w:tabs>
          <w:tab w:val="num" w:pos="360"/>
        </w:tabs>
        <w:ind w:left="360" w:hanging="360"/>
      </w:pPr>
      <w:rPr>
        <w:rFonts w:hint="default"/>
      </w:rPr>
    </w:lvl>
  </w:abstractNum>
  <w:abstractNum w:abstractNumId="46" w15:restartNumberingAfterBreak="0">
    <w:nsid w:val="1B2D52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B456E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1B6401F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1C3005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1D0047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1DA444C7"/>
    <w:multiLevelType w:val="singleLevel"/>
    <w:tmpl w:val="40B28294"/>
    <w:lvl w:ilvl="0">
      <w:numFmt w:val="bullet"/>
      <w:lvlText w:val="–"/>
      <w:lvlJc w:val="left"/>
      <w:pPr>
        <w:tabs>
          <w:tab w:val="num" w:pos="360"/>
        </w:tabs>
        <w:ind w:left="360" w:hanging="360"/>
      </w:pPr>
      <w:rPr>
        <w:rFonts w:hint="default"/>
      </w:rPr>
    </w:lvl>
  </w:abstractNum>
  <w:abstractNum w:abstractNumId="52" w15:restartNumberingAfterBreak="0">
    <w:nsid w:val="1E0A2936"/>
    <w:multiLevelType w:val="singleLevel"/>
    <w:tmpl w:val="40B28294"/>
    <w:lvl w:ilvl="0">
      <w:start w:val="3"/>
      <w:numFmt w:val="bullet"/>
      <w:lvlText w:val="–"/>
      <w:lvlJc w:val="left"/>
      <w:pPr>
        <w:tabs>
          <w:tab w:val="num" w:pos="360"/>
        </w:tabs>
        <w:ind w:left="360" w:hanging="360"/>
      </w:pPr>
      <w:rPr>
        <w:rFonts w:hint="default"/>
      </w:rPr>
    </w:lvl>
  </w:abstractNum>
  <w:abstractNum w:abstractNumId="53" w15:restartNumberingAfterBreak="0">
    <w:nsid w:val="1E9F7348"/>
    <w:multiLevelType w:val="singleLevel"/>
    <w:tmpl w:val="041D000F"/>
    <w:lvl w:ilvl="0">
      <w:start w:val="1"/>
      <w:numFmt w:val="decimal"/>
      <w:lvlText w:val="%1."/>
      <w:lvlJc w:val="left"/>
      <w:pPr>
        <w:tabs>
          <w:tab w:val="num" w:pos="360"/>
        </w:tabs>
        <w:ind w:left="360" w:hanging="360"/>
      </w:pPr>
    </w:lvl>
  </w:abstractNum>
  <w:abstractNum w:abstractNumId="54" w15:restartNumberingAfterBreak="0">
    <w:nsid w:val="1EC35E9C"/>
    <w:multiLevelType w:val="singleLevel"/>
    <w:tmpl w:val="7F7AD3C6"/>
    <w:lvl w:ilvl="0">
      <w:start w:val="3"/>
      <w:numFmt w:val="lowerLetter"/>
      <w:lvlText w:val="%1)"/>
      <w:lvlJc w:val="left"/>
      <w:pPr>
        <w:tabs>
          <w:tab w:val="num" w:pos="-774"/>
        </w:tabs>
        <w:ind w:left="-774" w:hanging="360"/>
      </w:pPr>
      <w:rPr>
        <w:rFonts w:hint="default"/>
      </w:rPr>
    </w:lvl>
  </w:abstractNum>
  <w:abstractNum w:abstractNumId="55" w15:restartNumberingAfterBreak="0">
    <w:nsid w:val="1F326E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57" w15:restartNumberingAfterBreak="0">
    <w:nsid w:val="1FB22A02"/>
    <w:multiLevelType w:val="singleLevel"/>
    <w:tmpl w:val="99E42C2C"/>
    <w:lvl w:ilvl="0">
      <w:start w:val="4"/>
      <w:numFmt w:val="decimal"/>
      <w:lvlText w:val="%1"/>
      <w:lvlJc w:val="left"/>
      <w:pPr>
        <w:tabs>
          <w:tab w:val="num" w:pos="0"/>
        </w:tabs>
        <w:ind w:left="0" w:hanging="360"/>
      </w:pPr>
      <w:rPr>
        <w:rFonts w:hint="default"/>
      </w:rPr>
    </w:lvl>
  </w:abstractNum>
  <w:abstractNum w:abstractNumId="58" w15:restartNumberingAfterBreak="0">
    <w:nsid w:val="200C11BD"/>
    <w:multiLevelType w:val="singleLevel"/>
    <w:tmpl w:val="041D000F"/>
    <w:lvl w:ilvl="0">
      <w:start w:val="1"/>
      <w:numFmt w:val="decimal"/>
      <w:lvlText w:val="%1."/>
      <w:lvlJc w:val="left"/>
      <w:pPr>
        <w:tabs>
          <w:tab w:val="num" w:pos="360"/>
        </w:tabs>
        <w:ind w:left="360" w:hanging="360"/>
      </w:pPr>
    </w:lvl>
  </w:abstractNum>
  <w:abstractNum w:abstractNumId="59" w15:restartNumberingAfterBreak="0">
    <w:nsid w:val="204406A7"/>
    <w:multiLevelType w:val="singleLevel"/>
    <w:tmpl w:val="041D000F"/>
    <w:lvl w:ilvl="0">
      <w:start w:val="1"/>
      <w:numFmt w:val="decimal"/>
      <w:lvlText w:val="%1."/>
      <w:lvlJc w:val="left"/>
      <w:pPr>
        <w:tabs>
          <w:tab w:val="num" w:pos="360"/>
        </w:tabs>
        <w:ind w:left="360" w:hanging="360"/>
      </w:pPr>
    </w:lvl>
  </w:abstractNum>
  <w:abstractNum w:abstractNumId="60" w15:restartNumberingAfterBreak="0">
    <w:nsid w:val="20B86514"/>
    <w:multiLevelType w:val="singleLevel"/>
    <w:tmpl w:val="EA22A316"/>
    <w:lvl w:ilvl="0">
      <w:start w:val="7"/>
      <w:numFmt w:val="decimal"/>
      <w:lvlText w:val="%1"/>
      <w:lvlJc w:val="left"/>
      <w:pPr>
        <w:tabs>
          <w:tab w:val="num" w:pos="360"/>
        </w:tabs>
        <w:ind w:left="360" w:hanging="360"/>
      </w:pPr>
      <w:rPr>
        <w:rFonts w:hint="default"/>
      </w:rPr>
    </w:lvl>
  </w:abstractNum>
  <w:abstractNum w:abstractNumId="61" w15:restartNumberingAfterBreak="0">
    <w:nsid w:val="21126F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215B51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21765FF2"/>
    <w:multiLevelType w:val="singleLevel"/>
    <w:tmpl w:val="431AB982"/>
    <w:lvl w:ilvl="0">
      <w:start w:val="1"/>
      <w:numFmt w:val="lowerLetter"/>
      <w:lvlText w:val="%1)"/>
      <w:lvlJc w:val="left"/>
      <w:pPr>
        <w:tabs>
          <w:tab w:val="num" w:pos="-491"/>
        </w:tabs>
        <w:ind w:left="-491" w:hanging="360"/>
      </w:pPr>
      <w:rPr>
        <w:rFonts w:hint="default"/>
      </w:rPr>
    </w:lvl>
  </w:abstractNum>
  <w:abstractNum w:abstractNumId="64" w15:restartNumberingAfterBreak="0">
    <w:nsid w:val="22490CE0"/>
    <w:multiLevelType w:val="singleLevel"/>
    <w:tmpl w:val="041D0017"/>
    <w:lvl w:ilvl="0">
      <w:start w:val="1"/>
      <w:numFmt w:val="lowerLetter"/>
      <w:lvlText w:val="%1)"/>
      <w:lvlJc w:val="left"/>
      <w:pPr>
        <w:tabs>
          <w:tab w:val="num" w:pos="360"/>
        </w:tabs>
        <w:ind w:left="360" w:hanging="360"/>
      </w:pPr>
      <w:rPr>
        <w:rFonts w:hint="default"/>
      </w:rPr>
    </w:lvl>
  </w:abstractNum>
  <w:abstractNum w:abstractNumId="65" w15:restartNumberingAfterBreak="0">
    <w:nsid w:val="24E478F4"/>
    <w:multiLevelType w:val="singleLevel"/>
    <w:tmpl w:val="EA22A316"/>
    <w:lvl w:ilvl="0">
      <w:start w:val="7"/>
      <w:numFmt w:val="decimal"/>
      <w:lvlText w:val="%1"/>
      <w:lvlJc w:val="left"/>
      <w:pPr>
        <w:tabs>
          <w:tab w:val="num" w:pos="360"/>
        </w:tabs>
        <w:ind w:left="360" w:hanging="360"/>
      </w:pPr>
      <w:rPr>
        <w:rFonts w:hint="default"/>
      </w:rPr>
    </w:lvl>
  </w:abstractNum>
  <w:abstractNum w:abstractNumId="66" w15:restartNumberingAfterBreak="0">
    <w:nsid w:val="262D4D26"/>
    <w:multiLevelType w:val="singleLevel"/>
    <w:tmpl w:val="041D000F"/>
    <w:lvl w:ilvl="0">
      <w:start w:val="1"/>
      <w:numFmt w:val="decimal"/>
      <w:lvlText w:val="%1."/>
      <w:lvlJc w:val="left"/>
      <w:pPr>
        <w:tabs>
          <w:tab w:val="num" w:pos="360"/>
        </w:tabs>
        <w:ind w:left="360" w:hanging="360"/>
      </w:pPr>
    </w:lvl>
  </w:abstractNum>
  <w:abstractNum w:abstractNumId="67" w15:restartNumberingAfterBreak="0">
    <w:nsid w:val="26331FEB"/>
    <w:multiLevelType w:val="singleLevel"/>
    <w:tmpl w:val="6BA63726"/>
    <w:lvl w:ilvl="0">
      <w:start w:val="3"/>
      <w:numFmt w:val="bullet"/>
      <w:lvlText w:val="-"/>
      <w:lvlJc w:val="left"/>
      <w:pPr>
        <w:tabs>
          <w:tab w:val="num" w:pos="360"/>
        </w:tabs>
        <w:ind w:left="360" w:hanging="360"/>
      </w:pPr>
      <w:rPr>
        <w:rFonts w:hint="default"/>
      </w:rPr>
    </w:lvl>
  </w:abstractNum>
  <w:abstractNum w:abstractNumId="68" w15:restartNumberingAfterBreak="0">
    <w:nsid w:val="264C5BC3"/>
    <w:multiLevelType w:val="singleLevel"/>
    <w:tmpl w:val="986E4DEA"/>
    <w:lvl w:ilvl="0">
      <w:numFmt w:val="bullet"/>
      <w:lvlText w:val="-"/>
      <w:lvlJc w:val="left"/>
      <w:pPr>
        <w:tabs>
          <w:tab w:val="num" w:pos="360"/>
        </w:tabs>
        <w:ind w:left="360" w:hanging="360"/>
      </w:pPr>
      <w:rPr>
        <w:rFonts w:hint="default"/>
      </w:rPr>
    </w:lvl>
  </w:abstractNum>
  <w:abstractNum w:abstractNumId="69" w15:restartNumberingAfterBreak="0">
    <w:nsid w:val="26F3657F"/>
    <w:multiLevelType w:val="singleLevel"/>
    <w:tmpl w:val="041D000F"/>
    <w:lvl w:ilvl="0">
      <w:start w:val="1"/>
      <w:numFmt w:val="decimal"/>
      <w:lvlText w:val="%1."/>
      <w:lvlJc w:val="left"/>
      <w:pPr>
        <w:tabs>
          <w:tab w:val="num" w:pos="360"/>
        </w:tabs>
        <w:ind w:left="360" w:hanging="360"/>
      </w:pPr>
    </w:lvl>
  </w:abstractNum>
  <w:abstractNum w:abstractNumId="70" w15:restartNumberingAfterBreak="0">
    <w:nsid w:val="27E822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28032FB2"/>
    <w:multiLevelType w:val="singleLevel"/>
    <w:tmpl w:val="40CE6F5E"/>
    <w:lvl w:ilvl="0">
      <w:start w:val="8"/>
      <w:numFmt w:val="decimal"/>
      <w:lvlText w:val="%1"/>
      <w:lvlJc w:val="left"/>
      <w:pPr>
        <w:tabs>
          <w:tab w:val="num" w:pos="360"/>
        </w:tabs>
        <w:ind w:left="360" w:hanging="360"/>
      </w:pPr>
      <w:rPr>
        <w:rFonts w:hint="default"/>
      </w:rPr>
    </w:lvl>
  </w:abstractNum>
  <w:abstractNum w:abstractNumId="72" w15:restartNumberingAfterBreak="0">
    <w:nsid w:val="283D73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28E33CE4"/>
    <w:multiLevelType w:val="singleLevel"/>
    <w:tmpl w:val="40B28294"/>
    <w:lvl w:ilvl="0">
      <w:start w:val="3"/>
      <w:numFmt w:val="bullet"/>
      <w:lvlText w:val="–"/>
      <w:lvlJc w:val="left"/>
      <w:pPr>
        <w:tabs>
          <w:tab w:val="num" w:pos="360"/>
        </w:tabs>
        <w:ind w:left="360" w:hanging="360"/>
      </w:pPr>
      <w:rPr>
        <w:rFonts w:hint="default"/>
      </w:rPr>
    </w:lvl>
  </w:abstractNum>
  <w:abstractNum w:abstractNumId="74" w15:restartNumberingAfterBreak="0">
    <w:nsid w:val="2A4B45A1"/>
    <w:multiLevelType w:val="singleLevel"/>
    <w:tmpl w:val="40B28294"/>
    <w:lvl w:ilvl="0">
      <w:start w:val="3"/>
      <w:numFmt w:val="bullet"/>
      <w:lvlText w:val="–"/>
      <w:lvlJc w:val="left"/>
      <w:pPr>
        <w:tabs>
          <w:tab w:val="num" w:pos="360"/>
        </w:tabs>
        <w:ind w:left="360" w:hanging="360"/>
      </w:pPr>
      <w:rPr>
        <w:rFonts w:hint="default"/>
      </w:rPr>
    </w:lvl>
  </w:abstractNum>
  <w:abstractNum w:abstractNumId="75" w15:restartNumberingAfterBreak="0">
    <w:nsid w:val="2B7F53FE"/>
    <w:multiLevelType w:val="singleLevel"/>
    <w:tmpl w:val="40B28294"/>
    <w:lvl w:ilvl="0">
      <w:start w:val="3"/>
      <w:numFmt w:val="bullet"/>
      <w:lvlText w:val="–"/>
      <w:lvlJc w:val="left"/>
      <w:pPr>
        <w:tabs>
          <w:tab w:val="num" w:pos="360"/>
        </w:tabs>
        <w:ind w:left="360" w:hanging="360"/>
      </w:pPr>
      <w:rPr>
        <w:rFonts w:hint="default"/>
      </w:rPr>
    </w:lvl>
  </w:abstractNum>
  <w:abstractNum w:abstractNumId="76" w15:restartNumberingAfterBreak="0">
    <w:nsid w:val="2BFE6926"/>
    <w:multiLevelType w:val="singleLevel"/>
    <w:tmpl w:val="5A72195A"/>
    <w:lvl w:ilvl="0">
      <w:start w:val="1"/>
      <w:numFmt w:val="lowerLetter"/>
      <w:lvlText w:val="%1)"/>
      <w:lvlJc w:val="left"/>
      <w:pPr>
        <w:tabs>
          <w:tab w:val="num" w:pos="-774"/>
        </w:tabs>
        <w:ind w:left="-774" w:hanging="360"/>
      </w:pPr>
      <w:rPr>
        <w:rFonts w:hint="default"/>
      </w:rPr>
    </w:lvl>
  </w:abstractNum>
  <w:abstractNum w:abstractNumId="77" w15:restartNumberingAfterBreak="0">
    <w:nsid w:val="2C5040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2CA72FF9"/>
    <w:multiLevelType w:val="singleLevel"/>
    <w:tmpl w:val="7C9A839E"/>
    <w:lvl w:ilvl="0">
      <w:numFmt w:val="bullet"/>
      <w:lvlText w:val="–"/>
      <w:lvlJc w:val="left"/>
      <w:pPr>
        <w:tabs>
          <w:tab w:val="num" w:pos="360"/>
        </w:tabs>
        <w:ind w:left="360" w:hanging="360"/>
      </w:pPr>
      <w:rPr>
        <w:rFonts w:hint="default"/>
      </w:rPr>
    </w:lvl>
  </w:abstractNum>
  <w:abstractNum w:abstractNumId="79" w15:restartNumberingAfterBreak="0">
    <w:nsid w:val="2E7D3D80"/>
    <w:multiLevelType w:val="singleLevel"/>
    <w:tmpl w:val="041D0017"/>
    <w:lvl w:ilvl="0">
      <w:start w:val="2"/>
      <w:numFmt w:val="lowerLetter"/>
      <w:lvlText w:val="%1)"/>
      <w:lvlJc w:val="left"/>
      <w:pPr>
        <w:tabs>
          <w:tab w:val="num" w:pos="360"/>
        </w:tabs>
        <w:ind w:left="360" w:hanging="360"/>
      </w:pPr>
      <w:rPr>
        <w:rFonts w:hint="default"/>
      </w:rPr>
    </w:lvl>
  </w:abstractNum>
  <w:abstractNum w:abstractNumId="80" w15:restartNumberingAfterBreak="0">
    <w:nsid w:val="2E8B3731"/>
    <w:multiLevelType w:val="singleLevel"/>
    <w:tmpl w:val="40B28294"/>
    <w:lvl w:ilvl="0">
      <w:start w:val="3"/>
      <w:numFmt w:val="bullet"/>
      <w:lvlText w:val="–"/>
      <w:lvlJc w:val="left"/>
      <w:pPr>
        <w:tabs>
          <w:tab w:val="num" w:pos="360"/>
        </w:tabs>
        <w:ind w:left="360" w:hanging="360"/>
      </w:pPr>
      <w:rPr>
        <w:rFonts w:hint="default"/>
      </w:rPr>
    </w:lvl>
  </w:abstractNum>
  <w:abstractNum w:abstractNumId="81" w15:restartNumberingAfterBreak="0">
    <w:nsid w:val="2FEA56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2FFD42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313D35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3225781C"/>
    <w:multiLevelType w:val="singleLevel"/>
    <w:tmpl w:val="23920666"/>
    <w:lvl w:ilvl="0">
      <w:start w:val="1"/>
      <w:numFmt w:val="lowerLetter"/>
      <w:lvlText w:val="%1)"/>
      <w:lvlJc w:val="left"/>
      <w:pPr>
        <w:tabs>
          <w:tab w:val="num" w:pos="-349"/>
        </w:tabs>
        <w:ind w:left="-349" w:hanging="360"/>
      </w:pPr>
      <w:rPr>
        <w:rFonts w:hint="default"/>
      </w:rPr>
    </w:lvl>
  </w:abstractNum>
  <w:abstractNum w:abstractNumId="86" w15:restartNumberingAfterBreak="0">
    <w:nsid w:val="327F65F2"/>
    <w:multiLevelType w:val="singleLevel"/>
    <w:tmpl w:val="5F56C8B2"/>
    <w:lvl w:ilvl="0">
      <w:start w:val="3"/>
      <w:numFmt w:val="bullet"/>
      <w:lvlText w:val="-"/>
      <w:lvlJc w:val="left"/>
      <w:pPr>
        <w:tabs>
          <w:tab w:val="num" w:pos="1080"/>
        </w:tabs>
        <w:ind w:left="1080" w:hanging="360"/>
      </w:pPr>
      <w:rPr>
        <w:rFonts w:hint="default"/>
      </w:rPr>
    </w:lvl>
  </w:abstractNum>
  <w:abstractNum w:abstractNumId="87" w15:restartNumberingAfterBreak="0">
    <w:nsid w:val="32AF206B"/>
    <w:multiLevelType w:val="singleLevel"/>
    <w:tmpl w:val="041D000F"/>
    <w:lvl w:ilvl="0">
      <w:start w:val="1"/>
      <w:numFmt w:val="decimal"/>
      <w:lvlText w:val="%1."/>
      <w:lvlJc w:val="left"/>
      <w:pPr>
        <w:tabs>
          <w:tab w:val="num" w:pos="360"/>
        </w:tabs>
        <w:ind w:left="360" w:hanging="360"/>
      </w:pPr>
    </w:lvl>
  </w:abstractNum>
  <w:abstractNum w:abstractNumId="88" w15:restartNumberingAfterBreak="0">
    <w:nsid w:val="32DF653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9" w15:restartNumberingAfterBreak="0">
    <w:nsid w:val="33D24FAE"/>
    <w:multiLevelType w:val="singleLevel"/>
    <w:tmpl w:val="041D0011"/>
    <w:lvl w:ilvl="0">
      <w:start w:val="1"/>
      <w:numFmt w:val="decimal"/>
      <w:lvlText w:val="%1)"/>
      <w:lvlJc w:val="left"/>
      <w:pPr>
        <w:tabs>
          <w:tab w:val="num" w:pos="360"/>
        </w:tabs>
        <w:ind w:left="360" w:hanging="360"/>
      </w:pPr>
    </w:lvl>
  </w:abstractNum>
  <w:abstractNum w:abstractNumId="90" w15:restartNumberingAfterBreak="0">
    <w:nsid w:val="33EF0FA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91" w15:restartNumberingAfterBreak="0">
    <w:nsid w:val="34975589"/>
    <w:multiLevelType w:val="singleLevel"/>
    <w:tmpl w:val="041D0017"/>
    <w:lvl w:ilvl="0">
      <w:start w:val="1"/>
      <w:numFmt w:val="lowerLetter"/>
      <w:lvlText w:val="%1)"/>
      <w:lvlJc w:val="left"/>
      <w:pPr>
        <w:tabs>
          <w:tab w:val="num" w:pos="360"/>
        </w:tabs>
        <w:ind w:left="360" w:hanging="360"/>
      </w:pPr>
    </w:lvl>
  </w:abstractNum>
  <w:abstractNum w:abstractNumId="92" w15:restartNumberingAfterBreak="0">
    <w:nsid w:val="37073F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373357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3873533C"/>
    <w:multiLevelType w:val="singleLevel"/>
    <w:tmpl w:val="40CE6F5E"/>
    <w:lvl w:ilvl="0">
      <w:start w:val="8"/>
      <w:numFmt w:val="decimal"/>
      <w:lvlText w:val="%1"/>
      <w:lvlJc w:val="left"/>
      <w:pPr>
        <w:tabs>
          <w:tab w:val="num" w:pos="360"/>
        </w:tabs>
        <w:ind w:left="360" w:hanging="360"/>
      </w:pPr>
      <w:rPr>
        <w:rFonts w:hint="default"/>
      </w:rPr>
    </w:lvl>
  </w:abstractNum>
  <w:abstractNum w:abstractNumId="95" w15:restartNumberingAfterBreak="0">
    <w:nsid w:val="38CC2D73"/>
    <w:multiLevelType w:val="singleLevel"/>
    <w:tmpl w:val="40B28294"/>
    <w:lvl w:ilvl="0">
      <w:start w:val="3"/>
      <w:numFmt w:val="bullet"/>
      <w:lvlText w:val="–"/>
      <w:lvlJc w:val="left"/>
      <w:pPr>
        <w:tabs>
          <w:tab w:val="num" w:pos="360"/>
        </w:tabs>
        <w:ind w:left="360" w:hanging="360"/>
      </w:pPr>
      <w:rPr>
        <w:rFonts w:hint="default"/>
      </w:rPr>
    </w:lvl>
  </w:abstractNum>
  <w:abstractNum w:abstractNumId="96" w15:restartNumberingAfterBreak="0">
    <w:nsid w:val="3A35532B"/>
    <w:multiLevelType w:val="singleLevel"/>
    <w:tmpl w:val="041D000F"/>
    <w:lvl w:ilvl="0">
      <w:start w:val="1"/>
      <w:numFmt w:val="decimal"/>
      <w:lvlText w:val="%1."/>
      <w:lvlJc w:val="left"/>
      <w:pPr>
        <w:tabs>
          <w:tab w:val="num" w:pos="360"/>
        </w:tabs>
        <w:ind w:left="360" w:hanging="360"/>
      </w:pPr>
    </w:lvl>
  </w:abstractNum>
  <w:abstractNum w:abstractNumId="97" w15:restartNumberingAfterBreak="0">
    <w:nsid w:val="3B377ADA"/>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98" w15:restartNumberingAfterBreak="0">
    <w:nsid w:val="3E4A5216"/>
    <w:multiLevelType w:val="singleLevel"/>
    <w:tmpl w:val="40B28294"/>
    <w:lvl w:ilvl="0">
      <w:start w:val="3"/>
      <w:numFmt w:val="bullet"/>
      <w:lvlText w:val="–"/>
      <w:lvlJc w:val="left"/>
      <w:pPr>
        <w:tabs>
          <w:tab w:val="num" w:pos="360"/>
        </w:tabs>
        <w:ind w:left="360" w:hanging="360"/>
      </w:pPr>
      <w:rPr>
        <w:rFonts w:hint="default"/>
      </w:rPr>
    </w:lvl>
  </w:abstractNum>
  <w:abstractNum w:abstractNumId="99" w15:restartNumberingAfterBreak="0">
    <w:nsid w:val="3F8646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3FE14CCD"/>
    <w:multiLevelType w:val="singleLevel"/>
    <w:tmpl w:val="40B28294"/>
    <w:lvl w:ilvl="0">
      <w:start w:val="3"/>
      <w:numFmt w:val="bullet"/>
      <w:lvlText w:val="–"/>
      <w:lvlJc w:val="left"/>
      <w:pPr>
        <w:tabs>
          <w:tab w:val="num" w:pos="360"/>
        </w:tabs>
        <w:ind w:left="360" w:hanging="360"/>
      </w:pPr>
      <w:rPr>
        <w:rFonts w:hint="default"/>
      </w:rPr>
    </w:lvl>
  </w:abstractNum>
  <w:abstractNum w:abstractNumId="101" w15:restartNumberingAfterBreak="0">
    <w:nsid w:val="40D44BF0"/>
    <w:multiLevelType w:val="singleLevel"/>
    <w:tmpl w:val="40B28294"/>
    <w:lvl w:ilvl="0">
      <w:start w:val="3"/>
      <w:numFmt w:val="bullet"/>
      <w:lvlText w:val="–"/>
      <w:lvlJc w:val="left"/>
      <w:pPr>
        <w:tabs>
          <w:tab w:val="num" w:pos="360"/>
        </w:tabs>
        <w:ind w:left="360" w:hanging="360"/>
      </w:pPr>
      <w:rPr>
        <w:rFonts w:hint="default"/>
      </w:rPr>
    </w:lvl>
  </w:abstractNum>
  <w:abstractNum w:abstractNumId="102" w15:restartNumberingAfterBreak="0">
    <w:nsid w:val="40FC5645"/>
    <w:multiLevelType w:val="singleLevel"/>
    <w:tmpl w:val="C1F202C4"/>
    <w:lvl w:ilvl="0">
      <w:start w:val="1"/>
      <w:numFmt w:val="decimal"/>
      <w:lvlText w:val="%1."/>
      <w:lvlJc w:val="left"/>
      <w:pPr>
        <w:tabs>
          <w:tab w:val="num" w:pos="-491"/>
        </w:tabs>
        <w:ind w:left="-491" w:hanging="360"/>
      </w:pPr>
      <w:rPr>
        <w:rFonts w:hint="default"/>
      </w:rPr>
    </w:lvl>
  </w:abstractNum>
  <w:abstractNum w:abstractNumId="103" w15:restartNumberingAfterBreak="0">
    <w:nsid w:val="419B1C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41D36C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4343270C"/>
    <w:multiLevelType w:val="singleLevel"/>
    <w:tmpl w:val="EA22A316"/>
    <w:lvl w:ilvl="0">
      <w:start w:val="7"/>
      <w:numFmt w:val="decimal"/>
      <w:lvlText w:val="%1"/>
      <w:lvlJc w:val="left"/>
      <w:pPr>
        <w:tabs>
          <w:tab w:val="num" w:pos="360"/>
        </w:tabs>
        <w:ind w:left="360" w:hanging="360"/>
      </w:pPr>
      <w:rPr>
        <w:rFonts w:hint="default"/>
      </w:rPr>
    </w:lvl>
  </w:abstractNum>
  <w:abstractNum w:abstractNumId="106" w15:restartNumberingAfterBreak="0">
    <w:nsid w:val="434A1EF2"/>
    <w:multiLevelType w:val="singleLevel"/>
    <w:tmpl w:val="40B28294"/>
    <w:lvl w:ilvl="0">
      <w:start w:val="3"/>
      <w:numFmt w:val="bullet"/>
      <w:lvlText w:val="–"/>
      <w:lvlJc w:val="left"/>
      <w:pPr>
        <w:tabs>
          <w:tab w:val="num" w:pos="360"/>
        </w:tabs>
        <w:ind w:left="360" w:hanging="360"/>
      </w:pPr>
      <w:rPr>
        <w:rFonts w:hint="default"/>
      </w:rPr>
    </w:lvl>
  </w:abstractNum>
  <w:abstractNum w:abstractNumId="107" w15:restartNumberingAfterBreak="0">
    <w:nsid w:val="43F834AA"/>
    <w:multiLevelType w:val="singleLevel"/>
    <w:tmpl w:val="EA22A316"/>
    <w:lvl w:ilvl="0">
      <w:start w:val="7"/>
      <w:numFmt w:val="decimal"/>
      <w:lvlText w:val="%1"/>
      <w:lvlJc w:val="left"/>
      <w:pPr>
        <w:tabs>
          <w:tab w:val="num" w:pos="360"/>
        </w:tabs>
        <w:ind w:left="360" w:hanging="360"/>
      </w:pPr>
      <w:rPr>
        <w:rFonts w:hint="default"/>
      </w:rPr>
    </w:lvl>
  </w:abstractNum>
  <w:abstractNum w:abstractNumId="108" w15:restartNumberingAfterBreak="0">
    <w:nsid w:val="443E4104"/>
    <w:multiLevelType w:val="singleLevel"/>
    <w:tmpl w:val="40B28294"/>
    <w:lvl w:ilvl="0">
      <w:start w:val="3"/>
      <w:numFmt w:val="bullet"/>
      <w:lvlText w:val="–"/>
      <w:lvlJc w:val="left"/>
      <w:pPr>
        <w:tabs>
          <w:tab w:val="num" w:pos="360"/>
        </w:tabs>
        <w:ind w:left="360" w:hanging="360"/>
      </w:pPr>
      <w:rPr>
        <w:rFonts w:hint="default"/>
      </w:rPr>
    </w:lvl>
  </w:abstractNum>
  <w:abstractNum w:abstractNumId="109" w15:restartNumberingAfterBreak="0">
    <w:nsid w:val="4559223E"/>
    <w:multiLevelType w:val="singleLevel"/>
    <w:tmpl w:val="986E4DEA"/>
    <w:lvl w:ilvl="0">
      <w:numFmt w:val="bullet"/>
      <w:lvlText w:val="-"/>
      <w:lvlJc w:val="left"/>
      <w:pPr>
        <w:tabs>
          <w:tab w:val="num" w:pos="360"/>
        </w:tabs>
        <w:ind w:left="360" w:hanging="360"/>
      </w:pPr>
      <w:rPr>
        <w:rFonts w:hint="default"/>
      </w:rPr>
    </w:lvl>
  </w:abstractNum>
  <w:abstractNum w:abstractNumId="110" w15:restartNumberingAfterBreak="0">
    <w:nsid w:val="47024E73"/>
    <w:multiLevelType w:val="singleLevel"/>
    <w:tmpl w:val="C0564AAA"/>
    <w:lvl w:ilvl="0">
      <w:numFmt w:val="bullet"/>
      <w:lvlText w:val="—"/>
      <w:lvlJc w:val="left"/>
      <w:pPr>
        <w:tabs>
          <w:tab w:val="num" w:pos="360"/>
        </w:tabs>
        <w:ind w:left="360" w:hanging="360"/>
      </w:pPr>
      <w:rPr>
        <w:rFonts w:hint="default"/>
      </w:rPr>
    </w:lvl>
  </w:abstractNum>
  <w:abstractNum w:abstractNumId="111" w15:restartNumberingAfterBreak="0">
    <w:nsid w:val="47834142"/>
    <w:multiLevelType w:val="singleLevel"/>
    <w:tmpl w:val="041D0017"/>
    <w:lvl w:ilvl="0">
      <w:start w:val="1"/>
      <w:numFmt w:val="lowerLetter"/>
      <w:lvlText w:val="%1)"/>
      <w:lvlJc w:val="left"/>
      <w:pPr>
        <w:tabs>
          <w:tab w:val="num" w:pos="360"/>
        </w:tabs>
        <w:ind w:left="360" w:hanging="360"/>
      </w:pPr>
    </w:lvl>
  </w:abstractNum>
  <w:abstractNum w:abstractNumId="112" w15:restartNumberingAfterBreak="0">
    <w:nsid w:val="48923B03"/>
    <w:multiLevelType w:val="singleLevel"/>
    <w:tmpl w:val="539288B8"/>
    <w:lvl w:ilvl="0">
      <w:start w:val="1"/>
      <w:numFmt w:val="lowerLetter"/>
      <w:lvlText w:val="%1)"/>
      <w:lvlJc w:val="left"/>
      <w:pPr>
        <w:tabs>
          <w:tab w:val="num" w:pos="-414"/>
        </w:tabs>
        <w:ind w:left="-414" w:hanging="360"/>
      </w:pPr>
      <w:rPr>
        <w:rFonts w:hint="default"/>
      </w:rPr>
    </w:lvl>
  </w:abstractNum>
  <w:abstractNum w:abstractNumId="113" w15:restartNumberingAfterBreak="0">
    <w:nsid w:val="48FB7830"/>
    <w:multiLevelType w:val="singleLevel"/>
    <w:tmpl w:val="E13EC680"/>
    <w:lvl w:ilvl="0">
      <w:start w:val="1"/>
      <w:numFmt w:val="bullet"/>
      <w:lvlText w:val=""/>
      <w:lvlJc w:val="left"/>
      <w:pPr>
        <w:tabs>
          <w:tab w:val="num" w:pos="360"/>
        </w:tabs>
        <w:ind w:left="360" w:hanging="360"/>
      </w:pPr>
      <w:rPr>
        <w:rFonts w:ascii="Wingdings" w:hAnsi="Wingdings" w:hint="default"/>
        <w:sz w:val="16"/>
      </w:rPr>
    </w:lvl>
  </w:abstractNum>
  <w:abstractNum w:abstractNumId="114" w15:restartNumberingAfterBreak="0">
    <w:nsid w:val="49950E54"/>
    <w:multiLevelType w:val="singleLevel"/>
    <w:tmpl w:val="40B28294"/>
    <w:lvl w:ilvl="0">
      <w:start w:val="3"/>
      <w:numFmt w:val="bullet"/>
      <w:lvlText w:val="–"/>
      <w:lvlJc w:val="left"/>
      <w:pPr>
        <w:tabs>
          <w:tab w:val="num" w:pos="360"/>
        </w:tabs>
        <w:ind w:left="360" w:hanging="360"/>
      </w:pPr>
      <w:rPr>
        <w:rFonts w:hint="default"/>
      </w:rPr>
    </w:lvl>
  </w:abstractNum>
  <w:abstractNum w:abstractNumId="115" w15:restartNumberingAfterBreak="0">
    <w:nsid w:val="49C25268"/>
    <w:multiLevelType w:val="singleLevel"/>
    <w:tmpl w:val="40B28294"/>
    <w:lvl w:ilvl="0">
      <w:start w:val="3"/>
      <w:numFmt w:val="bullet"/>
      <w:lvlText w:val="–"/>
      <w:lvlJc w:val="left"/>
      <w:pPr>
        <w:tabs>
          <w:tab w:val="num" w:pos="360"/>
        </w:tabs>
        <w:ind w:left="360" w:hanging="360"/>
      </w:pPr>
      <w:rPr>
        <w:rFonts w:hint="default"/>
      </w:rPr>
    </w:lvl>
  </w:abstractNum>
  <w:abstractNum w:abstractNumId="116" w15:restartNumberingAfterBreak="0">
    <w:nsid w:val="4AEB5CD8"/>
    <w:multiLevelType w:val="singleLevel"/>
    <w:tmpl w:val="041D0017"/>
    <w:lvl w:ilvl="0">
      <w:start w:val="1"/>
      <w:numFmt w:val="lowerLetter"/>
      <w:lvlText w:val="%1)"/>
      <w:lvlJc w:val="left"/>
      <w:pPr>
        <w:tabs>
          <w:tab w:val="num" w:pos="360"/>
        </w:tabs>
        <w:ind w:left="360" w:hanging="360"/>
      </w:pPr>
      <w:rPr>
        <w:rFonts w:hint="default"/>
      </w:rPr>
    </w:lvl>
  </w:abstractNum>
  <w:abstractNum w:abstractNumId="117" w15:restartNumberingAfterBreak="0">
    <w:nsid w:val="4B0000CA"/>
    <w:multiLevelType w:val="singleLevel"/>
    <w:tmpl w:val="40CE6F5E"/>
    <w:lvl w:ilvl="0">
      <w:start w:val="8"/>
      <w:numFmt w:val="decimal"/>
      <w:lvlText w:val="%1"/>
      <w:lvlJc w:val="left"/>
      <w:pPr>
        <w:tabs>
          <w:tab w:val="num" w:pos="360"/>
        </w:tabs>
        <w:ind w:left="360" w:hanging="360"/>
      </w:pPr>
      <w:rPr>
        <w:rFonts w:hint="default"/>
      </w:rPr>
    </w:lvl>
  </w:abstractNum>
  <w:abstractNum w:abstractNumId="118" w15:restartNumberingAfterBreak="0">
    <w:nsid w:val="4B054F55"/>
    <w:multiLevelType w:val="singleLevel"/>
    <w:tmpl w:val="041D0001"/>
    <w:lvl w:ilvl="0">
      <w:start w:val="7"/>
      <w:numFmt w:val="bullet"/>
      <w:lvlText w:val=""/>
      <w:lvlJc w:val="left"/>
      <w:pPr>
        <w:tabs>
          <w:tab w:val="num" w:pos="360"/>
        </w:tabs>
        <w:ind w:left="360" w:hanging="360"/>
      </w:pPr>
      <w:rPr>
        <w:rFonts w:ascii="Symbol" w:hAnsi="Symbol" w:hint="default"/>
      </w:rPr>
    </w:lvl>
  </w:abstractNum>
  <w:abstractNum w:abstractNumId="119" w15:restartNumberingAfterBreak="0">
    <w:nsid w:val="4C3C53AF"/>
    <w:multiLevelType w:val="singleLevel"/>
    <w:tmpl w:val="398278C2"/>
    <w:lvl w:ilvl="0">
      <w:start w:val="1"/>
      <w:numFmt w:val="lowerLetter"/>
      <w:lvlText w:val="%1)"/>
      <w:lvlJc w:val="left"/>
      <w:pPr>
        <w:tabs>
          <w:tab w:val="num" w:pos="-491"/>
        </w:tabs>
        <w:ind w:left="-491" w:hanging="360"/>
      </w:pPr>
      <w:rPr>
        <w:rFonts w:hint="default"/>
      </w:rPr>
    </w:lvl>
  </w:abstractNum>
  <w:abstractNum w:abstractNumId="120" w15:restartNumberingAfterBreak="0">
    <w:nsid w:val="4DAC0A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4E931DBA"/>
    <w:multiLevelType w:val="singleLevel"/>
    <w:tmpl w:val="40B28294"/>
    <w:lvl w:ilvl="0">
      <w:start w:val="3"/>
      <w:numFmt w:val="bullet"/>
      <w:lvlText w:val="–"/>
      <w:lvlJc w:val="left"/>
      <w:pPr>
        <w:tabs>
          <w:tab w:val="num" w:pos="360"/>
        </w:tabs>
        <w:ind w:left="360" w:hanging="360"/>
      </w:pPr>
      <w:rPr>
        <w:rFonts w:hint="default"/>
      </w:rPr>
    </w:lvl>
  </w:abstractNum>
  <w:abstractNum w:abstractNumId="122" w15:restartNumberingAfterBreak="0">
    <w:nsid w:val="4EBE0BA6"/>
    <w:multiLevelType w:val="singleLevel"/>
    <w:tmpl w:val="40B28294"/>
    <w:lvl w:ilvl="0">
      <w:start w:val="3"/>
      <w:numFmt w:val="bullet"/>
      <w:lvlText w:val="–"/>
      <w:lvlJc w:val="left"/>
      <w:pPr>
        <w:tabs>
          <w:tab w:val="num" w:pos="360"/>
        </w:tabs>
        <w:ind w:left="360" w:hanging="360"/>
      </w:pPr>
      <w:rPr>
        <w:rFonts w:hint="default"/>
      </w:rPr>
    </w:lvl>
  </w:abstractNum>
  <w:abstractNum w:abstractNumId="123" w15:restartNumberingAfterBreak="0">
    <w:nsid w:val="4F2921D4"/>
    <w:multiLevelType w:val="singleLevel"/>
    <w:tmpl w:val="041D000F"/>
    <w:lvl w:ilvl="0">
      <w:start w:val="1"/>
      <w:numFmt w:val="decimal"/>
      <w:lvlText w:val="%1."/>
      <w:lvlJc w:val="left"/>
      <w:pPr>
        <w:tabs>
          <w:tab w:val="num" w:pos="360"/>
        </w:tabs>
        <w:ind w:left="360" w:hanging="360"/>
      </w:pPr>
    </w:lvl>
  </w:abstractNum>
  <w:abstractNum w:abstractNumId="124" w15:restartNumberingAfterBreak="0">
    <w:nsid w:val="4F4375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5" w15:restartNumberingAfterBreak="0">
    <w:nsid w:val="50FC0E87"/>
    <w:multiLevelType w:val="singleLevel"/>
    <w:tmpl w:val="40B28294"/>
    <w:lvl w:ilvl="0">
      <w:start w:val="3"/>
      <w:numFmt w:val="bullet"/>
      <w:lvlText w:val="–"/>
      <w:lvlJc w:val="left"/>
      <w:pPr>
        <w:tabs>
          <w:tab w:val="num" w:pos="360"/>
        </w:tabs>
        <w:ind w:left="360" w:hanging="360"/>
      </w:pPr>
      <w:rPr>
        <w:rFonts w:hint="default"/>
      </w:rPr>
    </w:lvl>
  </w:abstractNum>
  <w:abstractNum w:abstractNumId="126" w15:restartNumberingAfterBreak="0">
    <w:nsid w:val="51E575C8"/>
    <w:multiLevelType w:val="singleLevel"/>
    <w:tmpl w:val="40B28294"/>
    <w:lvl w:ilvl="0">
      <w:start w:val="3"/>
      <w:numFmt w:val="bullet"/>
      <w:lvlText w:val="–"/>
      <w:lvlJc w:val="left"/>
      <w:pPr>
        <w:tabs>
          <w:tab w:val="num" w:pos="360"/>
        </w:tabs>
        <w:ind w:left="360" w:hanging="360"/>
      </w:pPr>
      <w:rPr>
        <w:rFonts w:hint="default"/>
      </w:rPr>
    </w:lvl>
  </w:abstractNum>
  <w:abstractNum w:abstractNumId="127" w15:restartNumberingAfterBreak="0">
    <w:nsid w:val="523922F3"/>
    <w:multiLevelType w:val="singleLevel"/>
    <w:tmpl w:val="40B28294"/>
    <w:lvl w:ilvl="0">
      <w:numFmt w:val="bullet"/>
      <w:lvlText w:val="–"/>
      <w:lvlJc w:val="left"/>
      <w:pPr>
        <w:tabs>
          <w:tab w:val="num" w:pos="360"/>
        </w:tabs>
        <w:ind w:left="360" w:hanging="360"/>
      </w:pPr>
      <w:rPr>
        <w:rFonts w:hint="default"/>
      </w:rPr>
    </w:lvl>
  </w:abstractNum>
  <w:abstractNum w:abstractNumId="128" w15:restartNumberingAfterBreak="0">
    <w:nsid w:val="52E3275C"/>
    <w:multiLevelType w:val="singleLevel"/>
    <w:tmpl w:val="40B28294"/>
    <w:lvl w:ilvl="0">
      <w:start w:val="3"/>
      <w:numFmt w:val="bullet"/>
      <w:lvlText w:val="–"/>
      <w:lvlJc w:val="left"/>
      <w:pPr>
        <w:tabs>
          <w:tab w:val="num" w:pos="360"/>
        </w:tabs>
        <w:ind w:left="360" w:hanging="360"/>
      </w:pPr>
      <w:rPr>
        <w:rFonts w:hint="default"/>
      </w:rPr>
    </w:lvl>
  </w:abstractNum>
  <w:abstractNum w:abstractNumId="129" w15:restartNumberingAfterBreak="0">
    <w:nsid w:val="53455704"/>
    <w:multiLevelType w:val="singleLevel"/>
    <w:tmpl w:val="40B28294"/>
    <w:lvl w:ilvl="0">
      <w:start w:val="3"/>
      <w:numFmt w:val="bullet"/>
      <w:lvlText w:val="–"/>
      <w:lvlJc w:val="left"/>
      <w:pPr>
        <w:tabs>
          <w:tab w:val="num" w:pos="360"/>
        </w:tabs>
        <w:ind w:left="360" w:hanging="360"/>
      </w:pPr>
      <w:rPr>
        <w:rFonts w:hint="default"/>
      </w:rPr>
    </w:lvl>
  </w:abstractNum>
  <w:abstractNum w:abstractNumId="130" w15:restartNumberingAfterBreak="0">
    <w:nsid w:val="53CF63A3"/>
    <w:multiLevelType w:val="singleLevel"/>
    <w:tmpl w:val="40B28294"/>
    <w:lvl w:ilvl="0">
      <w:start w:val="3"/>
      <w:numFmt w:val="bullet"/>
      <w:lvlText w:val="–"/>
      <w:lvlJc w:val="left"/>
      <w:pPr>
        <w:tabs>
          <w:tab w:val="num" w:pos="360"/>
        </w:tabs>
        <w:ind w:left="360" w:hanging="360"/>
      </w:pPr>
      <w:rPr>
        <w:rFonts w:hint="default"/>
      </w:rPr>
    </w:lvl>
  </w:abstractNum>
  <w:abstractNum w:abstractNumId="131" w15:restartNumberingAfterBreak="0">
    <w:nsid w:val="547020D8"/>
    <w:multiLevelType w:val="singleLevel"/>
    <w:tmpl w:val="40B28294"/>
    <w:lvl w:ilvl="0">
      <w:start w:val="3"/>
      <w:numFmt w:val="bullet"/>
      <w:lvlText w:val="–"/>
      <w:lvlJc w:val="left"/>
      <w:pPr>
        <w:tabs>
          <w:tab w:val="num" w:pos="360"/>
        </w:tabs>
        <w:ind w:left="360" w:hanging="360"/>
      </w:pPr>
      <w:rPr>
        <w:rFonts w:hint="default"/>
      </w:rPr>
    </w:lvl>
  </w:abstractNum>
  <w:abstractNum w:abstractNumId="132" w15:restartNumberingAfterBreak="0">
    <w:nsid w:val="558467C0"/>
    <w:multiLevelType w:val="singleLevel"/>
    <w:tmpl w:val="71229CEE"/>
    <w:lvl w:ilvl="0">
      <w:start w:val="1"/>
      <w:numFmt w:val="decimal"/>
      <w:lvlText w:val="%1."/>
      <w:lvlJc w:val="left"/>
      <w:pPr>
        <w:tabs>
          <w:tab w:val="num" w:pos="360"/>
        </w:tabs>
        <w:ind w:left="360" w:hanging="360"/>
      </w:pPr>
      <w:rPr>
        <w:rFonts w:hint="default"/>
      </w:rPr>
    </w:lvl>
  </w:abstractNum>
  <w:abstractNum w:abstractNumId="133" w15:restartNumberingAfterBreak="0">
    <w:nsid w:val="562B7C61"/>
    <w:multiLevelType w:val="singleLevel"/>
    <w:tmpl w:val="986E4DEA"/>
    <w:lvl w:ilvl="0">
      <w:numFmt w:val="bullet"/>
      <w:lvlText w:val="-"/>
      <w:lvlJc w:val="left"/>
      <w:pPr>
        <w:tabs>
          <w:tab w:val="num" w:pos="360"/>
        </w:tabs>
        <w:ind w:left="360" w:hanging="360"/>
      </w:pPr>
      <w:rPr>
        <w:rFonts w:hint="default"/>
      </w:rPr>
    </w:lvl>
  </w:abstractNum>
  <w:abstractNum w:abstractNumId="134" w15:restartNumberingAfterBreak="0">
    <w:nsid w:val="56E83FBB"/>
    <w:multiLevelType w:val="singleLevel"/>
    <w:tmpl w:val="40CE6F5E"/>
    <w:lvl w:ilvl="0">
      <w:start w:val="8"/>
      <w:numFmt w:val="decimal"/>
      <w:lvlText w:val="%1"/>
      <w:lvlJc w:val="left"/>
      <w:pPr>
        <w:tabs>
          <w:tab w:val="num" w:pos="360"/>
        </w:tabs>
        <w:ind w:left="360" w:hanging="360"/>
      </w:pPr>
      <w:rPr>
        <w:rFonts w:hint="default"/>
      </w:rPr>
    </w:lvl>
  </w:abstractNum>
  <w:abstractNum w:abstractNumId="135" w15:restartNumberingAfterBreak="0">
    <w:nsid w:val="57551102"/>
    <w:multiLevelType w:val="singleLevel"/>
    <w:tmpl w:val="041D000F"/>
    <w:lvl w:ilvl="0">
      <w:start w:val="1"/>
      <w:numFmt w:val="decimal"/>
      <w:lvlText w:val="%1."/>
      <w:lvlJc w:val="left"/>
      <w:pPr>
        <w:tabs>
          <w:tab w:val="num" w:pos="360"/>
        </w:tabs>
        <w:ind w:left="360" w:hanging="360"/>
      </w:pPr>
    </w:lvl>
  </w:abstractNum>
  <w:abstractNum w:abstractNumId="136" w15:restartNumberingAfterBreak="0">
    <w:nsid w:val="577B4C9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7" w15:restartNumberingAfterBreak="0">
    <w:nsid w:val="57D664FF"/>
    <w:multiLevelType w:val="singleLevel"/>
    <w:tmpl w:val="041D0017"/>
    <w:lvl w:ilvl="0">
      <w:start w:val="1"/>
      <w:numFmt w:val="lowerLetter"/>
      <w:lvlText w:val="%1)"/>
      <w:lvlJc w:val="left"/>
      <w:pPr>
        <w:tabs>
          <w:tab w:val="num" w:pos="360"/>
        </w:tabs>
        <w:ind w:left="360" w:hanging="360"/>
      </w:pPr>
    </w:lvl>
  </w:abstractNum>
  <w:abstractNum w:abstractNumId="138" w15:restartNumberingAfterBreak="0">
    <w:nsid w:val="58E2171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9" w15:restartNumberingAfterBreak="0">
    <w:nsid w:val="59752297"/>
    <w:multiLevelType w:val="singleLevel"/>
    <w:tmpl w:val="041D0017"/>
    <w:lvl w:ilvl="0">
      <w:start w:val="1"/>
      <w:numFmt w:val="lowerLetter"/>
      <w:lvlText w:val="%1)"/>
      <w:lvlJc w:val="left"/>
      <w:pPr>
        <w:tabs>
          <w:tab w:val="num" w:pos="360"/>
        </w:tabs>
        <w:ind w:left="360" w:hanging="360"/>
      </w:pPr>
    </w:lvl>
  </w:abstractNum>
  <w:abstractNum w:abstractNumId="140" w15:restartNumberingAfterBreak="0">
    <w:nsid w:val="59AF6A38"/>
    <w:multiLevelType w:val="singleLevel"/>
    <w:tmpl w:val="7BC48432"/>
    <w:lvl w:ilvl="0">
      <w:start w:val="1"/>
      <w:numFmt w:val="decimal"/>
      <w:lvlText w:val="(%1)"/>
      <w:lvlJc w:val="left"/>
      <w:pPr>
        <w:tabs>
          <w:tab w:val="num" w:pos="360"/>
        </w:tabs>
        <w:ind w:left="360" w:hanging="360"/>
      </w:pPr>
      <w:rPr>
        <w:rFonts w:hint="default"/>
      </w:rPr>
    </w:lvl>
  </w:abstractNum>
  <w:abstractNum w:abstractNumId="141" w15:restartNumberingAfterBreak="0">
    <w:nsid w:val="5A0F4AF8"/>
    <w:multiLevelType w:val="singleLevel"/>
    <w:tmpl w:val="40B28294"/>
    <w:lvl w:ilvl="0">
      <w:start w:val="3"/>
      <w:numFmt w:val="bullet"/>
      <w:lvlText w:val="–"/>
      <w:lvlJc w:val="left"/>
      <w:pPr>
        <w:tabs>
          <w:tab w:val="num" w:pos="360"/>
        </w:tabs>
        <w:ind w:left="360" w:hanging="360"/>
      </w:pPr>
      <w:rPr>
        <w:rFonts w:hint="default"/>
      </w:rPr>
    </w:lvl>
  </w:abstractNum>
  <w:abstractNum w:abstractNumId="142" w15:restartNumberingAfterBreak="0">
    <w:nsid w:val="5AAD798F"/>
    <w:multiLevelType w:val="singleLevel"/>
    <w:tmpl w:val="539288B8"/>
    <w:lvl w:ilvl="0">
      <w:start w:val="1"/>
      <w:numFmt w:val="lowerLetter"/>
      <w:lvlText w:val="%1)"/>
      <w:lvlJc w:val="left"/>
      <w:pPr>
        <w:tabs>
          <w:tab w:val="num" w:pos="-414"/>
        </w:tabs>
        <w:ind w:left="-414" w:hanging="360"/>
      </w:pPr>
      <w:rPr>
        <w:rFonts w:hint="default"/>
      </w:rPr>
    </w:lvl>
  </w:abstractNum>
  <w:abstractNum w:abstractNumId="143" w15:restartNumberingAfterBreak="0">
    <w:nsid w:val="5AC154A1"/>
    <w:multiLevelType w:val="singleLevel"/>
    <w:tmpl w:val="40B28294"/>
    <w:lvl w:ilvl="0">
      <w:start w:val="3"/>
      <w:numFmt w:val="bullet"/>
      <w:lvlText w:val="–"/>
      <w:lvlJc w:val="left"/>
      <w:pPr>
        <w:tabs>
          <w:tab w:val="num" w:pos="360"/>
        </w:tabs>
        <w:ind w:left="360" w:hanging="360"/>
      </w:pPr>
      <w:rPr>
        <w:rFonts w:hint="default"/>
      </w:rPr>
    </w:lvl>
  </w:abstractNum>
  <w:abstractNum w:abstractNumId="144" w15:restartNumberingAfterBreak="0">
    <w:nsid w:val="5B3543AB"/>
    <w:multiLevelType w:val="singleLevel"/>
    <w:tmpl w:val="6A1E76F2"/>
    <w:lvl w:ilvl="0">
      <w:start w:val="2"/>
      <w:numFmt w:val="lowerLetter"/>
      <w:lvlText w:val="%1)"/>
      <w:lvlJc w:val="left"/>
      <w:pPr>
        <w:tabs>
          <w:tab w:val="num" w:pos="-774"/>
        </w:tabs>
        <w:ind w:left="-774" w:hanging="360"/>
      </w:pPr>
      <w:rPr>
        <w:rFonts w:hint="default"/>
        <w:i/>
      </w:rPr>
    </w:lvl>
  </w:abstractNum>
  <w:abstractNum w:abstractNumId="145" w15:restartNumberingAfterBreak="0">
    <w:nsid w:val="5C3C43A1"/>
    <w:multiLevelType w:val="singleLevel"/>
    <w:tmpl w:val="041D000F"/>
    <w:lvl w:ilvl="0">
      <w:start w:val="1"/>
      <w:numFmt w:val="decimal"/>
      <w:lvlText w:val="%1."/>
      <w:lvlJc w:val="left"/>
      <w:pPr>
        <w:tabs>
          <w:tab w:val="num" w:pos="360"/>
        </w:tabs>
        <w:ind w:left="360" w:hanging="360"/>
      </w:pPr>
    </w:lvl>
  </w:abstractNum>
  <w:abstractNum w:abstractNumId="146" w15:restartNumberingAfterBreak="0">
    <w:nsid w:val="5E3447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5F45154C"/>
    <w:multiLevelType w:val="singleLevel"/>
    <w:tmpl w:val="041D0017"/>
    <w:lvl w:ilvl="0">
      <w:start w:val="1"/>
      <w:numFmt w:val="lowerLetter"/>
      <w:lvlText w:val="%1)"/>
      <w:lvlJc w:val="left"/>
      <w:pPr>
        <w:tabs>
          <w:tab w:val="num" w:pos="360"/>
        </w:tabs>
        <w:ind w:left="360" w:hanging="360"/>
      </w:pPr>
    </w:lvl>
  </w:abstractNum>
  <w:abstractNum w:abstractNumId="148" w15:restartNumberingAfterBreak="0">
    <w:nsid w:val="5F6F5FB8"/>
    <w:multiLevelType w:val="singleLevel"/>
    <w:tmpl w:val="041D000F"/>
    <w:lvl w:ilvl="0">
      <w:start w:val="1"/>
      <w:numFmt w:val="decimal"/>
      <w:lvlText w:val="%1."/>
      <w:lvlJc w:val="left"/>
      <w:pPr>
        <w:tabs>
          <w:tab w:val="num" w:pos="360"/>
        </w:tabs>
        <w:ind w:left="360" w:hanging="360"/>
      </w:pPr>
    </w:lvl>
  </w:abstractNum>
  <w:abstractNum w:abstractNumId="149" w15:restartNumberingAfterBreak="0">
    <w:nsid w:val="60E443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60F96981"/>
    <w:multiLevelType w:val="singleLevel"/>
    <w:tmpl w:val="40B28294"/>
    <w:lvl w:ilvl="0">
      <w:start w:val="3"/>
      <w:numFmt w:val="bullet"/>
      <w:lvlText w:val="–"/>
      <w:lvlJc w:val="left"/>
      <w:pPr>
        <w:tabs>
          <w:tab w:val="num" w:pos="360"/>
        </w:tabs>
        <w:ind w:left="360" w:hanging="360"/>
      </w:pPr>
      <w:rPr>
        <w:rFonts w:hint="default"/>
      </w:rPr>
    </w:lvl>
  </w:abstractNum>
  <w:abstractNum w:abstractNumId="151" w15:restartNumberingAfterBreak="0">
    <w:nsid w:val="61C21E7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61C51B48"/>
    <w:multiLevelType w:val="singleLevel"/>
    <w:tmpl w:val="40B28294"/>
    <w:lvl w:ilvl="0">
      <w:start w:val="3"/>
      <w:numFmt w:val="bullet"/>
      <w:lvlText w:val="–"/>
      <w:lvlJc w:val="left"/>
      <w:pPr>
        <w:tabs>
          <w:tab w:val="num" w:pos="360"/>
        </w:tabs>
        <w:ind w:left="360" w:hanging="360"/>
      </w:pPr>
      <w:rPr>
        <w:rFonts w:hint="default"/>
      </w:rPr>
    </w:lvl>
  </w:abstractNum>
  <w:abstractNum w:abstractNumId="153" w15:restartNumberingAfterBreak="0">
    <w:nsid w:val="620A5965"/>
    <w:multiLevelType w:val="multilevel"/>
    <w:tmpl w:val="32845A26"/>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4" w15:restartNumberingAfterBreak="0">
    <w:nsid w:val="62312B2C"/>
    <w:multiLevelType w:val="singleLevel"/>
    <w:tmpl w:val="DE723E28"/>
    <w:lvl w:ilvl="0">
      <w:start w:val="2"/>
      <w:numFmt w:val="lowerLetter"/>
      <w:lvlText w:val="%1)"/>
      <w:lvlJc w:val="left"/>
      <w:pPr>
        <w:tabs>
          <w:tab w:val="num" w:pos="360"/>
        </w:tabs>
        <w:ind w:left="360" w:hanging="360"/>
      </w:pPr>
      <w:rPr>
        <w:rFonts w:hint="default"/>
        <w:i/>
      </w:rPr>
    </w:lvl>
  </w:abstractNum>
  <w:abstractNum w:abstractNumId="155" w15:restartNumberingAfterBreak="0">
    <w:nsid w:val="630E55E3"/>
    <w:multiLevelType w:val="singleLevel"/>
    <w:tmpl w:val="415A92C8"/>
    <w:lvl w:ilvl="0">
      <w:start w:val="1"/>
      <w:numFmt w:val="lowerLetter"/>
      <w:lvlText w:val="%1)"/>
      <w:lvlJc w:val="left"/>
      <w:pPr>
        <w:tabs>
          <w:tab w:val="num" w:pos="-774"/>
        </w:tabs>
        <w:ind w:left="-774" w:hanging="360"/>
      </w:pPr>
      <w:rPr>
        <w:rFonts w:hint="default"/>
        <w:i/>
      </w:rPr>
    </w:lvl>
  </w:abstractNum>
  <w:abstractNum w:abstractNumId="156"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7" w15:restartNumberingAfterBreak="0">
    <w:nsid w:val="63EA4217"/>
    <w:multiLevelType w:val="singleLevel"/>
    <w:tmpl w:val="041D0017"/>
    <w:lvl w:ilvl="0">
      <w:start w:val="1"/>
      <w:numFmt w:val="lowerLetter"/>
      <w:lvlText w:val="%1)"/>
      <w:lvlJc w:val="left"/>
      <w:pPr>
        <w:tabs>
          <w:tab w:val="num" w:pos="360"/>
        </w:tabs>
        <w:ind w:left="360" w:hanging="360"/>
      </w:pPr>
    </w:lvl>
  </w:abstractNum>
  <w:abstractNum w:abstractNumId="158" w15:restartNumberingAfterBreak="0">
    <w:nsid w:val="64887FDD"/>
    <w:multiLevelType w:val="singleLevel"/>
    <w:tmpl w:val="5F56C8B2"/>
    <w:lvl w:ilvl="0">
      <w:start w:val="3"/>
      <w:numFmt w:val="bullet"/>
      <w:lvlText w:val="-"/>
      <w:lvlJc w:val="left"/>
      <w:pPr>
        <w:tabs>
          <w:tab w:val="num" w:pos="1080"/>
        </w:tabs>
        <w:ind w:left="1080" w:hanging="360"/>
      </w:pPr>
      <w:rPr>
        <w:rFonts w:hint="default"/>
      </w:rPr>
    </w:lvl>
  </w:abstractNum>
  <w:abstractNum w:abstractNumId="159" w15:restartNumberingAfterBreak="0">
    <w:nsid w:val="65036E79"/>
    <w:multiLevelType w:val="singleLevel"/>
    <w:tmpl w:val="D4E26D3E"/>
    <w:lvl w:ilvl="0">
      <w:start w:val="3"/>
      <w:numFmt w:val="bullet"/>
      <w:lvlText w:val="-"/>
      <w:lvlJc w:val="left"/>
      <w:pPr>
        <w:tabs>
          <w:tab w:val="num" w:pos="360"/>
        </w:tabs>
        <w:ind w:left="360" w:hanging="360"/>
      </w:pPr>
      <w:rPr>
        <w:rFonts w:hint="default"/>
      </w:rPr>
    </w:lvl>
  </w:abstractNum>
  <w:abstractNum w:abstractNumId="160" w15:restartNumberingAfterBreak="0">
    <w:nsid w:val="662029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66BC0D16"/>
    <w:multiLevelType w:val="singleLevel"/>
    <w:tmpl w:val="EA22A316"/>
    <w:lvl w:ilvl="0">
      <w:start w:val="7"/>
      <w:numFmt w:val="decimal"/>
      <w:lvlText w:val="%1"/>
      <w:lvlJc w:val="left"/>
      <w:pPr>
        <w:tabs>
          <w:tab w:val="num" w:pos="360"/>
        </w:tabs>
        <w:ind w:left="360" w:hanging="360"/>
      </w:pPr>
      <w:rPr>
        <w:rFonts w:hint="default"/>
      </w:rPr>
    </w:lvl>
  </w:abstractNum>
  <w:abstractNum w:abstractNumId="162" w15:restartNumberingAfterBreak="0">
    <w:nsid w:val="66C26EBF"/>
    <w:multiLevelType w:val="singleLevel"/>
    <w:tmpl w:val="986E4DEA"/>
    <w:lvl w:ilvl="0">
      <w:numFmt w:val="bullet"/>
      <w:lvlText w:val="-"/>
      <w:lvlJc w:val="left"/>
      <w:pPr>
        <w:tabs>
          <w:tab w:val="num" w:pos="360"/>
        </w:tabs>
        <w:ind w:left="360" w:hanging="360"/>
      </w:pPr>
      <w:rPr>
        <w:rFonts w:hint="default"/>
      </w:rPr>
    </w:lvl>
  </w:abstractNum>
  <w:abstractNum w:abstractNumId="163" w15:restartNumberingAfterBreak="0">
    <w:nsid w:val="66F817CE"/>
    <w:multiLevelType w:val="singleLevel"/>
    <w:tmpl w:val="FD565200"/>
    <w:lvl w:ilvl="0">
      <w:start w:val="4"/>
      <w:numFmt w:val="decimal"/>
      <w:lvlText w:val="%1"/>
      <w:lvlJc w:val="left"/>
      <w:pPr>
        <w:tabs>
          <w:tab w:val="num" w:pos="0"/>
        </w:tabs>
        <w:ind w:left="0" w:hanging="360"/>
      </w:pPr>
      <w:rPr>
        <w:rFonts w:hint="default"/>
      </w:rPr>
    </w:lvl>
  </w:abstractNum>
  <w:abstractNum w:abstractNumId="164" w15:restartNumberingAfterBreak="0">
    <w:nsid w:val="686A000E"/>
    <w:multiLevelType w:val="singleLevel"/>
    <w:tmpl w:val="40B28294"/>
    <w:lvl w:ilvl="0">
      <w:start w:val="3"/>
      <w:numFmt w:val="bullet"/>
      <w:lvlText w:val="–"/>
      <w:lvlJc w:val="left"/>
      <w:pPr>
        <w:tabs>
          <w:tab w:val="num" w:pos="360"/>
        </w:tabs>
        <w:ind w:left="360" w:hanging="360"/>
      </w:pPr>
      <w:rPr>
        <w:rFonts w:hint="default"/>
      </w:rPr>
    </w:lvl>
  </w:abstractNum>
  <w:abstractNum w:abstractNumId="165" w15:restartNumberingAfterBreak="0">
    <w:nsid w:val="688915D7"/>
    <w:multiLevelType w:val="multilevel"/>
    <w:tmpl w:val="3048A08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6" w15:restartNumberingAfterBreak="0">
    <w:nsid w:val="6B2256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6B3F1BED"/>
    <w:multiLevelType w:val="singleLevel"/>
    <w:tmpl w:val="041D000F"/>
    <w:lvl w:ilvl="0">
      <w:start w:val="1"/>
      <w:numFmt w:val="decimal"/>
      <w:lvlText w:val="%1."/>
      <w:lvlJc w:val="left"/>
      <w:pPr>
        <w:tabs>
          <w:tab w:val="num" w:pos="360"/>
        </w:tabs>
        <w:ind w:left="360" w:hanging="360"/>
      </w:pPr>
    </w:lvl>
  </w:abstractNum>
  <w:abstractNum w:abstractNumId="168" w15:restartNumberingAfterBreak="0">
    <w:nsid w:val="6BBE3340"/>
    <w:multiLevelType w:val="singleLevel"/>
    <w:tmpl w:val="041D000F"/>
    <w:lvl w:ilvl="0">
      <w:start w:val="1"/>
      <w:numFmt w:val="decimal"/>
      <w:lvlText w:val="%1."/>
      <w:lvlJc w:val="left"/>
      <w:pPr>
        <w:tabs>
          <w:tab w:val="num" w:pos="360"/>
        </w:tabs>
        <w:ind w:left="360" w:hanging="360"/>
      </w:pPr>
    </w:lvl>
  </w:abstractNum>
  <w:abstractNum w:abstractNumId="169" w15:restartNumberingAfterBreak="0">
    <w:nsid w:val="6C041BD6"/>
    <w:multiLevelType w:val="singleLevel"/>
    <w:tmpl w:val="40B28294"/>
    <w:lvl w:ilvl="0">
      <w:start w:val="3"/>
      <w:numFmt w:val="bullet"/>
      <w:lvlText w:val="–"/>
      <w:lvlJc w:val="left"/>
      <w:pPr>
        <w:tabs>
          <w:tab w:val="num" w:pos="360"/>
        </w:tabs>
        <w:ind w:left="360" w:hanging="360"/>
      </w:pPr>
      <w:rPr>
        <w:rFonts w:hint="default"/>
      </w:rPr>
    </w:lvl>
  </w:abstractNum>
  <w:abstractNum w:abstractNumId="170" w15:restartNumberingAfterBreak="0">
    <w:nsid w:val="6C9C7B38"/>
    <w:multiLevelType w:val="singleLevel"/>
    <w:tmpl w:val="EA22A316"/>
    <w:lvl w:ilvl="0">
      <w:start w:val="7"/>
      <w:numFmt w:val="decimal"/>
      <w:lvlText w:val="%1"/>
      <w:lvlJc w:val="left"/>
      <w:pPr>
        <w:tabs>
          <w:tab w:val="num" w:pos="360"/>
        </w:tabs>
        <w:ind w:left="360" w:hanging="360"/>
      </w:pPr>
      <w:rPr>
        <w:rFonts w:hint="default"/>
      </w:rPr>
    </w:lvl>
  </w:abstractNum>
  <w:abstractNum w:abstractNumId="171" w15:restartNumberingAfterBreak="0">
    <w:nsid w:val="6CFA12E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2" w15:restartNumberingAfterBreak="0">
    <w:nsid w:val="6DC624CE"/>
    <w:multiLevelType w:val="singleLevel"/>
    <w:tmpl w:val="40B28294"/>
    <w:lvl w:ilvl="0">
      <w:start w:val="3"/>
      <w:numFmt w:val="bullet"/>
      <w:lvlText w:val="–"/>
      <w:lvlJc w:val="left"/>
      <w:pPr>
        <w:tabs>
          <w:tab w:val="num" w:pos="360"/>
        </w:tabs>
        <w:ind w:left="360" w:hanging="360"/>
      </w:pPr>
      <w:rPr>
        <w:rFonts w:hint="default"/>
      </w:rPr>
    </w:lvl>
  </w:abstractNum>
  <w:abstractNum w:abstractNumId="173" w15:restartNumberingAfterBreak="0">
    <w:nsid w:val="6E7D1331"/>
    <w:multiLevelType w:val="singleLevel"/>
    <w:tmpl w:val="40B28294"/>
    <w:lvl w:ilvl="0">
      <w:start w:val="3"/>
      <w:numFmt w:val="bullet"/>
      <w:lvlText w:val="–"/>
      <w:lvlJc w:val="left"/>
      <w:pPr>
        <w:tabs>
          <w:tab w:val="num" w:pos="360"/>
        </w:tabs>
        <w:ind w:left="360" w:hanging="360"/>
      </w:pPr>
      <w:rPr>
        <w:rFonts w:hint="default"/>
      </w:rPr>
    </w:lvl>
  </w:abstractNum>
  <w:abstractNum w:abstractNumId="174" w15:restartNumberingAfterBreak="0">
    <w:nsid w:val="70CA542A"/>
    <w:multiLevelType w:val="singleLevel"/>
    <w:tmpl w:val="40B28294"/>
    <w:lvl w:ilvl="0">
      <w:start w:val="3"/>
      <w:numFmt w:val="bullet"/>
      <w:lvlText w:val="–"/>
      <w:lvlJc w:val="left"/>
      <w:pPr>
        <w:tabs>
          <w:tab w:val="num" w:pos="360"/>
        </w:tabs>
        <w:ind w:left="360" w:hanging="360"/>
      </w:pPr>
      <w:rPr>
        <w:rFonts w:hint="default"/>
      </w:rPr>
    </w:lvl>
  </w:abstractNum>
  <w:abstractNum w:abstractNumId="175" w15:restartNumberingAfterBreak="0">
    <w:nsid w:val="70E667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71663850"/>
    <w:multiLevelType w:val="singleLevel"/>
    <w:tmpl w:val="7BC48432"/>
    <w:lvl w:ilvl="0">
      <w:start w:val="1"/>
      <w:numFmt w:val="decimal"/>
      <w:lvlText w:val="(%1)"/>
      <w:lvlJc w:val="left"/>
      <w:pPr>
        <w:tabs>
          <w:tab w:val="num" w:pos="360"/>
        </w:tabs>
        <w:ind w:left="360" w:hanging="360"/>
      </w:pPr>
      <w:rPr>
        <w:rFonts w:hint="default"/>
      </w:rPr>
    </w:lvl>
  </w:abstractNum>
  <w:abstractNum w:abstractNumId="177" w15:restartNumberingAfterBreak="0">
    <w:nsid w:val="719D53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71F8105D"/>
    <w:multiLevelType w:val="singleLevel"/>
    <w:tmpl w:val="041D000F"/>
    <w:lvl w:ilvl="0">
      <w:start w:val="1"/>
      <w:numFmt w:val="decimal"/>
      <w:lvlText w:val="%1."/>
      <w:lvlJc w:val="left"/>
      <w:pPr>
        <w:tabs>
          <w:tab w:val="num" w:pos="360"/>
        </w:tabs>
        <w:ind w:left="360" w:hanging="360"/>
      </w:pPr>
    </w:lvl>
  </w:abstractNum>
  <w:abstractNum w:abstractNumId="179" w15:restartNumberingAfterBreak="0">
    <w:nsid w:val="72190C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736E1C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73D9272E"/>
    <w:multiLevelType w:val="singleLevel"/>
    <w:tmpl w:val="71229CEE"/>
    <w:lvl w:ilvl="0">
      <w:start w:val="1"/>
      <w:numFmt w:val="decimal"/>
      <w:lvlText w:val="%1."/>
      <w:lvlJc w:val="left"/>
      <w:pPr>
        <w:tabs>
          <w:tab w:val="num" w:pos="360"/>
        </w:tabs>
        <w:ind w:left="360" w:hanging="360"/>
      </w:pPr>
    </w:lvl>
  </w:abstractNum>
  <w:abstractNum w:abstractNumId="182" w15:restartNumberingAfterBreak="0">
    <w:nsid w:val="74327C34"/>
    <w:multiLevelType w:val="singleLevel"/>
    <w:tmpl w:val="986E4DEA"/>
    <w:lvl w:ilvl="0">
      <w:numFmt w:val="bullet"/>
      <w:lvlText w:val="-"/>
      <w:lvlJc w:val="left"/>
      <w:pPr>
        <w:tabs>
          <w:tab w:val="num" w:pos="360"/>
        </w:tabs>
        <w:ind w:left="360" w:hanging="360"/>
      </w:pPr>
      <w:rPr>
        <w:rFonts w:hint="default"/>
      </w:rPr>
    </w:lvl>
  </w:abstractNum>
  <w:abstractNum w:abstractNumId="183" w15:restartNumberingAfterBreak="0">
    <w:nsid w:val="74454439"/>
    <w:multiLevelType w:val="singleLevel"/>
    <w:tmpl w:val="40B28294"/>
    <w:lvl w:ilvl="0">
      <w:start w:val="3"/>
      <w:numFmt w:val="bullet"/>
      <w:lvlText w:val="–"/>
      <w:lvlJc w:val="left"/>
      <w:pPr>
        <w:tabs>
          <w:tab w:val="num" w:pos="360"/>
        </w:tabs>
        <w:ind w:left="360" w:hanging="360"/>
      </w:pPr>
      <w:rPr>
        <w:rFonts w:hint="default"/>
      </w:rPr>
    </w:lvl>
  </w:abstractNum>
  <w:abstractNum w:abstractNumId="184" w15:restartNumberingAfterBreak="0">
    <w:nsid w:val="746522BA"/>
    <w:multiLevelType w:val="singleLevel"/>
    <w:tmpl w:val="5F56C8B2"/>
    <w:lvl w:ilvl="0">
      <w:start w:val="3"/>
      <w:numFmt w:val="bullet"/>
      <w:lvlText w:val="-"/>
      <w:lvlJc w:val="left"/>
      <w:pPr>
        <w:tabs>
          <w:tab w:val="num" w:pos="1080"/>
        </w:tabs>
        <w:ind w:left="1080" w:hanging="360"/>
      </w:pPr>
      <w:rPr>
        <w:rFonts w:hint="default"/>
      </w:rPr>
    </w:lvl>
  </w:abstractNum>
  <w:abstractNum w:abstractNumId="185" w15:restartNumberingAfterBreak="0">
    <w:nsid w:val="74702C3E"/>
    <w:multiLevelType w:val="singleLevel"/>
    <w:tmpl w:val="40B28294"/>
    <w:lvl w:ilvl="0">
      <w:start w:val="3"/>
      <w:numFmt w:val="bullet"/>
      <w:lvlText w:val="–"/>
      <w:lvlJc w:val="left"/>
      <w:pPr>
        <w:tabs>
          <w:tab w:val="num" w:pos="360"/>
        </w:tabs>
        <w:ind w:left="360" w:hanging="360"/>
      </w:pPr>
      <w:rPr>
        <w:rFonts w:hint="default"/>
      </w:rPr>
    </w:lvl>
  </w:abstractNum>
  <w:abstractNum w:abstractNumId="186" w15:restartNumberingAfterBreak="0">
    <w:nsid w:val="74890911"/>
    <w:multiLevelType w:val="singleLevel"/>
    <w:tmpl w:val="12F0CBDC"/>
    <w:lvl w:ilvl="0">
      <w:start w:val="2"/>
      <w:numFmt w:val="lowerLetter"/>
      <w:lvlText w:val="%1)"/>
      <w:lvlJc w:val="left"/>
      <w:pPr>
        <w:tabs>
          <w:tab w:val="num" w:pos="-360"/>
        </w:tabs>
        <w:ind w:left="-360" w:hanging="360"/>
      </w:pPr>
      <w:rPr>
        <w:rFonts w:hint="default"/>
      </w:rPr>
    </w:lvl>
  </w:abstractNum>
  <w:abstractNum w:abstractNumId="187" w15:restartNumberingAfterBreak="0">
    <w:nsid w:val="762A70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76A61F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794F1A9F"/>
    <w:multiLevelType w:val="singleLevel"/>
    <w:tmpl w:val="041D000F"/>
    <w:lvl w:ilvl="0">
      <w:start w:val="1"/>
      <w:numFmt w:val="decimal"/>
      <w:lvlText w:val="%1."/>
      <w:lvlJc w:val="left"/>
      <w:pPr>
        <w:tabs>
          <w:tab w:val="num" w:pos="360"/>
        </w:tabs>
        <w:ind w:left="360" w:hanging="360"/>
      </w:pPr>
    </w:lvl>
  </w:abstractNum>
  <w:abstractNum w:abstractNumId="190" w15:restartNumberingAfterBreak="0">
    <w:nsid w:val="798C4F7C"/>
    <w:multiLevelType w:val="singleLevel"/>
    <w:tmpl w:val="539288B8"/>
    <w:lvl w:ilvl="0">
      <w:start w:val="1"/>
      <w:numFmt w:val="lowerLetter"/>
      <w:lvlText w:val="%1)"/>
      <w:lvlJc w:val="left"/>
      <w:pPr>
        <w:tabs>
          <w:tab w:val="num" w:pos="-414"/>
        </w:tabs>
        <w:ind w:left="-414" w:hanging="360"/>
      </w:pPr>
      <w:rPr>
        <w:rFonts w:hint="default"/>
      </w:rPr>
    </w:lvl>
  </w:abstractNum>
  <w:abstractNum w:abstractNumId="191" w15:restartNumberingAfterBreak="0">
    <w:nsid w:val="79B0309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7A2C417C"/>
    <w:multiLevelType w:val="singleLevel"/>
    <w:tmpl w:val="041D0017"/>
    <w:lvl w:ilvl="0">
      <w:start w:val="1"/>
      <w:numFmt w:val="lowerLetter"/>
      <w:lvlText w:val="%1)"/>
      <w:lvlJc w:val="left"/>
      <w:pPr>
        <w:tabs>
          <w:tab w:val="num" w:pos="360"/>
        </w:tabs>
        <w:ind w:left="360" w:hanging="360"/>
      </w:pPr>
      <w:rPr>
        <w:rFonts w:hint="default"/>
      </w:rPr>
    </w:lvl>
  </w:abstractNum>
  <w:abstractNum w:abstractNumId="193" w15:restartNumberingAfterBreak="0">
    <w:nsid w:val="7C940A30"/>
    <w:multiLevelType w:val="singleLevel"/>
    <w:tmpl w:val="041D000F"/>
    <w:lvl w:ilvl="0">
      <w:start w:val="1"/>
      <w:numFmt w:val="decimal"/>
      <w:lvlText w:val="%1."/>
      <w:lvlJc w:val="left"/>
      <w:pPr>
        <w:tabs>
          <w:tab w:val="num" w:pos="360"/>
        </w:tabs>
        <w:ind w:left="360" w:hanging="360"/>
      </w:pPr>
    </w:lvl>
  </w:abstractNum>
  <w:abstractNum w:abstractNumId="194" w15:restartNumberingAfterBreak="0">
    <w:nsid w:val="7CAF0D85"/>
    <w:multiLevelType w:val="singleLevel"/>
    <w:tmpl w:val="40B28294"/>
    <w:lvl w:ilvl="0">
      <w:start w:val="3"/>
      <w:numFmt w:val="bullet"/>
      <w:lvlText w:val="–"/>
      <w:lvlJc w:val="left"/>
      <w:pPr>
        <w:tabs>
          <w:tab w:val="num" w:pos="360"/>
        </w:tabs>
        <w:ind w:left="360" w:hanging="360"/>
      </w:pPr>
      <w:rPr>
        <w:rFonts w:hint="default"/>
      </w:rPr>
    </w:lvl>
  </w:abstractNum>
  <w:abstractNum w:abstractNumId="195" w15:restartNumberingAfterBreak="0">
    <w:nsid w:val="7D9D48DE"/>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714811986">
    <w:abstractNumId w:val="33"/>
  </w:num>
  <w:num w:numId="2" w16cid:durableId="1024865950">
    <w:abstractNumId w:val="42"/>
  </w:num>
  <w:num w:numId="3" w16cid:durableId="108084156">
    <w:abstractNumId w:val="124"/>
  </w:num>
  <w:num w:numId="4" w16cid:durableId="1425147610">
    <w:abstractNumId w:val="136"/>
  </w:num>
  <w:num w:numId="5" w16cid:durableId="2128498080">
    <w:abstractNumId w:val="138"/>
  </w:num>
  <w:num w:numId="6" w16cid:durableId="1257978622">
    <w:abstractNumId w:val="171"/>
  </w:num>
  <w:num w:numId="7" w16cid:durableId="1541014025">
    <w:abstractNumId w:val="156"/>
  </w:num>
  <w:num w:numId="8" w16cid:durableId="902179360">
    <w:abstractNumId w:val="56"/>
  </w:num>
  <w:num w:numId="9" w16cid:durableId="1247150685">
    <w:abstractNumId w:val="34"/>
  </w:num>
  <w:num w:numId="10" w16cid:durableId="1510945763">
    <w:abstractNumId w:val="165"/>
  </w:num>
  <w:num w:numId="11" w16cid:durableId="1053694153">
    <w:abstractNumId w:val="66"/>
  </w:num>
  <w:num w:numId="12" w16cid:durableId="251359847">
    <w:abstractNumId w:val="134"/>
  </w:num>
  <w:num w:numId="13" w16cid:durableId="542906500">
    <w:abstractNumId w:val="41"/>
  </w:num>
  <w:num w:numId="14" w16cid:durableId="728462461">
    <w:abstractNumId w:val="110"/>
  </w:num>
  <w:num w:numId="15" w16cid:durableId="1113944114">
    <w:abstractNumId w:val="127"/>
  </w:num>
  <w:num w:numId="16" w16cid:durableId="203295191">
    <w:abstractNumId w:val="172"/>
  </w:num>
  <w:num w:numId="17" w16cid:durableId="547959641">
    <w:abstractNumId w:val="51"/>
  </w:num>
  <w:num w:numId="18" w16cid:durableId="249195161">
    <w:abstractNumId w:val="131"/>
  </w:num>
  <w:num w:numId="19" w16cid:durableId="768546048">
    <w:abstractNumId w:val="101"/>
  </w:num>
  <w:num w:numId="20" w16cid:durableId="1265845204">
    <w:abstractNumId w:val="169"/>
  </w:num>
  <w:num w:numId="21" w16cid:durableId="1596129973">
    <w:abstractNumId w:val="21"/>
  </w:num>
  <w:num w:numId="22" w16cid:durableId="308217247">
    <w:abstractNumId w:val="173"/>
  </w:num>
  <w:num w:numId="23" w16cid:durableId="1589852437">
    <w:abstractNumId w:val="183"/>
  </w:num>
  <w:num w:numId="24" w16cid:durableId="443960197">
    <w:abstractNumId w:val="4"/>
  </w:num>
  <w:num w:numId="25" w16cid:durableId="1818373301">
    <w:abstractNumId w:val="19"/>
  </w:num>
  <w:num w:numId="26" w16cid:durableId="1546143050">
    <w:abstractNumId w:val="143"/>
  </w:num>
  <w:num w:numId="27" w16cid:durableId="1946228281">
    <w:abstractNumId w:val="32"/>
  </w:num>
  <w:num w:numId="28" w16cid:durableId="1059207843">
    <w:abstractNumId w:val="179"/>
  </w:num>
  <w:num w:numId="29" w16cid:durableId="1217663061">
    <w:abstractNumId w:val="47"/>
  </w:num>
  <w:num w:numId="30" w16cid:durableId="1020276264">
    <w:abstractNumId w:val="103"/>
  </w:num>
  <w:num w:numId="31" w16cid:durableId="1787312444">
    <w:abstractNumId w:val="13"/>
  </w:num>
  <w:num w:numId="32" w16cid:durableId="1677151503">
    <w:abstractNumId w:val="77"/>
  </w:num>
  <w:num w:numId="33" w16cid:durableId="244657229">
    <w:abstractNumId w:val="25"/>
  </w:num>
  <w:num w:numId="34" w16cid:durableId="1148395509">
    <w:abstractNumId w:val="160"/>
  </w:num>
  <w:num w:numId="35" w16cid:durableId="1067994644">
    <w:abstractNumId w:val="192"/>
  </w:num>
  <w:num w:numId="36" w16cid:durableId="755858528">
    <w:abstractNumId w:val="70"/>
  </w:num>
  <w:num w:numId="37" w16cid:durableId="1367176178">
    <w:abstractNumId w:val="175"/>
  </w:num>
  <w:num w:numId="38" w16cid:durableId="1246691526">
    <w:abstractNumId w:val="28"/>
  </w:num>
  <w:num w:numId="39" w16cid:durableId="1706756087">
    <w:abstractNumId w:val="99"/>
  </w:num>
  <w:num w:numId="40" w16cid:durableId="1199054033">
    <w:abstractNumId w:val="75"/>
  </w:num>
  <w:num w:numId="41" w16cid:durableId="828446756">
    <w:abstractNumId w:val="26"/>
  </w:num>
  <w:num w:numId="42" w16cid:durableId="1309826348">
    <w:abstractNumId w:val="164"/>
  </w:num>
  <w:num w:numId="43" w16cid:durableId="484664069">
    <w:abstractNumId w:val="126"/>
  </w:num>
  <w:num w:numId="44" w16cid:durableId="149298937">
    <w:abstractNumId w:val="125"/>
  </w:num>
  <w:num w:numId="45" w16cid:durableId="1627849280">
    <w:abstractNumId w:val="185"/>
  </w:num>
  <w:num w:numId="46" w16cid:durableId="248125976">
    <w:abstractNumId w:val="2"/>
  </w:num>
  <w:num w:numId="47" w16cid:durableId="1242327401">
    <w:abstractNumId w:val="141"/>
  </w:num>
  <w:num w:numId="48" w16cid:durableId="566574341">
    <w:abstractNumId w:val="121"/>
  </w:num>
  <w:num w:numId="49" w16cid:durableId="532116503">
    <w:abstractNumId w:val="46"/>
  </w:num>
  <w:num w:numId="50" w16cid:durableId="1953395686">
    <w:abstractNumId w:val="116"/>
  </w:num>
  <w:num w:numId="51" w16cid:durableId="514728226">
    <w:abstractNumId w:val="3"/>
  </w:num>
  <w:num w:numId="52" w16cid:durableId="1622178081">
    <w:abstractNumId w:val="64"/>
  </w:num>
  <w:num w:numId="53" w16cid:durableId="905336337">
    <w:abstractNumId w:val="60"/>
  </w:num>
  <w:num w:numId="54" w16cid:durableId="367535527">
    <w:abstractNumId w:val="161"/>
  </w:num>
  <w:num w:numId="55" w16cid:durableId="1089545143">
    <w:abstractNumId w:val="123"/>
  </w:num>
  <w:num w:numId="56" w16cid:durableId="1271469097">
    <w:abstractNumId w:val="157"/>
  </w:num>
  <w:num w:numId="57" w16cid:durableId="205800198">
    <w:abstractNumId w:val="91"/>
  </w:num>
  <w:num w:numId="58" w16cid:durableId="2053537553">
    <w:abstractNumId w:val="65"/>
  </w:num>
  <w:num w:numId="59" w16cid:durableId="175267648">
    <w:abstractNumId w:val="23"/>
  </w:num>
  <w:num w:numId="60" w16cid:durableId="1489402814">
    <w:abstractNumId w:val="170"/>
  </w:num>
  <w:num w:numId="61" w16cid:durableId="2084526210">
    <w:abstractNumId w:val="105"/>
  </w:num>
  <w:num w:numId="62" w16cid:durableId="989791784">
    <w:abstractNumId w:val="107"/>
  </w:num>
  <w:num w:numId="63" w16cid:durableId="1437554928">
    <w:abstractNumId w:val="62"/>
  </w:num>
  <w:num w:numId="64" w16cid:durableId="1092627156">
    <w:abstractNumId w:val="53"/>
  </w:num>
  <w:num w:numId="65" w16cid:durableId="1145006124">
    <w:abstractNumId w:val="135"/>
  </w:num>
  <w:num w:numId="66" w16cid:durableId="620527609">
    <w:abstractNumId w:val="55"/>
  </w:num>
  <w:num w:numId="67" w16cid:durableId="917403472">
    <w:abstractNumId w:val="178"/>
  </w:num>
  <w:num w:numId="68" w16cid:durableId="399064691">
    <w:abstractNumId w:val="78"/>
  </w:num>
  <w:num w:numId="69" w16cid:durableId="136148561">
    <w:abstractNumId w:val="71"/>
  </w:num>
  <w:num w:numId="70" w16cid:durableId="1623917980">
    <w:abstractNumId w:val="15"/>
  </w:num>
  <w:num w:numId="71" w16cid:durableId="1396270702">
    <w:abstractNumId w:val="94"/>
  </w:num>
  <w:num w:numId="72" w16cid:durableId="1281573069">
    <w:abstractNumId w:val="180"/>
  </w:num>
  <w:num w:numId="73" w16cid:durableId="729883297">
    <w:abstractNumId w:val="72"/>
  </w:num>
  <w:num w:numId="74" w16cid:durableId="982736531">
    <w:abstractNumId w:val="152"/>
  </w:num>
  <w:num w:numId="75" w16cid:durableId="2136486041">
    <w:abstractNumId w:val="115"/>
  </w:num>
  <w:num w:numId="76" w16cid:durableId="234361554">
    <w:abstractNumId w:val="74"/>
  </w:num>
  <w:num w:numId="77" w16cid:durableId="843742365">
    <w:abstractNumId w:val="174"/>
  </w:num>
  <w:num w:numId="78" w16cid:durableId="1821850365">
    <w:abstractNumId w:val="43"/>
  </w:num>
  <w:num w:numId="79" w16cid:durableId="831799769">
    <w:abstractNumId w:val="22"/>
  </w:num>
  <w:num w:numId="80" w16cid:durableId="1954358114">
    <w:abstractNumId w:val="108"/>
  </w:num>
  <w:num w:numId="81" w16cid:durableId="496462212">
    <w:abstractNumId w:val="194"/>
  </w:num>
  <w:num w:numId="82" w16cid:durableId="1194272145">
    <w:abstractNumId w:val="129"/>
  </w:num>
  <w:num w:numId="83" w16cid:durableId="1672562249">
    <w:abstractNumId w:val="80"/>
  </w:num>
  <w:num w:numId="84" w16cid:durableId="401174477">
    <w:abstractNumId w:val="37"/>
  </w:num>
  <w:num w:numId="85" w16cid:durableId="1532769324">
    <w:abstractNumId w:val="104"/>
  </w:num>
  <w:num w:numId="86" w16cid:durableId="958951875">
    <w:abstractNumId w:val="117"/>
  </w:num>
  <w:num w:numId="87" w16cid:durableId="498695272">
    <w:abstractNumId w:val="9"/>
  </w:num>
  <w:num w:numId="88" w16cid:durableId="1767923023">
    <w:abstractNumId w:val="96"/>
  </w:num>
  <w:num w:numId="89" w16cid:durableId="1685208683">
    <w:abstractNumId w:val="122"/>
  </w:num>
  <w:num w:numId="90" w16cid:durableId="1254440156">
    <w:abstractNumId w:val="17"/>
  </w:num>
  <w:num w:numId="91" w16cid:durableId="71971614">
    <w:abstractNumId w:val="95"/>
  </w:num>
  <w:num w:numId="92" w16cid:durableId="1332369504">
    <w:abstractNumId w:val="100"/>
  </w:num>
  <w:num w:numId="93" w16cid:durableId="784807408">
    <w:abstractNumId w:val="52"/>
  </w:num>
  <w:num w:numId="94" w16cid:durableId="1889032058">
    <w:abstractNumId w:val="106"/>
  </w:num>
  <w:num w:numId="95" w16cid:durableId="950429636">
    <w:abstractNumId w:val="98"/>
  </w:num>
  <w:num w:numId="96" w16cid:durableId="240141257">
    <w:abstractNumId w:val="10"/>
  </w:num>
  <w:num w:numId="97" w16cid:durableId="898399798">
    <w:abstractNumId w:val="128"/>
  </w:num>
  <w:num w:numId="98" w16cid:durableId="842545436">
    <w:abstractNumId w:val="69"/>
  </w:num>
  <w:num w:numId="99" w16cid:durableId="402289851">
    <w:abstractNumId w:val="27"/>
  </w:num>
  <w:num w:numId="100" w16cid:durableId="1843542835">
    <w:abstractNumId w:val="114"/>
  </w:num>
  <w:num w:numId="101" w16cid:durableId="1566989559">
    <w:abstractNumId w:val="150"/>
  </w:num>
  <w:num w:numId="102" w16cid:durableId="1261765304">
    <w:abstractNumId w:val="130"/>
  </w:num>
  <w:num w:numId="103" w16cid:durableId="1761676175">
    <w:abstractNumId w:val="73"/>
  </w:num>
  <w:num w:numId="104" w16cid:durableId="300890896">
    <w:abstractNumId w:val="84"/>
  </w:num>
  <w:num w:numId="105" w16cid:durableId="207838481">
    <w:abstractNumId w:val="89"/>
  </w:num>
  <w:num w:numId="106" w16cid:durableId="570583156">
    <w:abstractNumId w:val="147"/>
  </w:num>
  <w:num w:numId="107" w16cid:durableId="1909530959">
    <w:abstractNumId w:val="24"/>
  </w:num>
  <w:num w:numId="108" w16cid:durableId="481389079">
    <w:abstractNumId w:val="68"/>
  </w:num>
  <w:num w:numId="109" w16cid:durableId="1313173231">
    <w:abstractNumId w:val="31"/>
  </w:num>
  <w:num w:numId="110" w16cid:durableId="89089625">
    <w:abstractNumId w:val="162"/>
  </w:num>
  <w:num w:numId="111" w16cid:durableId="1120957381">
    <w:abstractNumId w:val="11"/>
  </w:num>
  <w:num w:numId="112" w16cid:durableId="591667515">
    <w:abstractNumId w:val="133"/>
  </w:num>
  <w:num w:numId="113" w16cid:durableId="2139837130">
    <w:abstractNumId w:val="182"/>
  </w:num>
  <w:num w:numId="114" w16cid:durableId="1214348808">
    <w:abstractNumId w:val="45"/>
  </w:num>
  <w:num w:numId="115" w16cid:durableId="1071537429">
    <w:abstractNumId w:val="109"/>
  </w:num>
  <w:num w:numId="116" w16cid:durableId="1135875784">
    <w:abstractNumId w:val="81"/>
  </w:num>
  <w:num w:numId="117" w16cid:durableId="846359696">
    <w:abstractNumId w:val="38"/>
  </w:num>
  <w:num w:numId="118" w16cid:durableId="366033592">
    <w:abstractNumId w:val="166"/>
  </w:num>
  <w:num w:numId="119" w16cid:durableId="1785154498">
    <w:abstractNumId w:val="35"/>
  </w:num>
  <w:num w:numId="120" w16cid:durableId="65493244">
    <w:abstractNumId w:val="61"/>
  </w:num>
  <w:num w:numId="121" w16cid:durableId="1920140399">
    <w:abstractNumId w:val="140"/>
  </w:num>
  <w:num w:numId="122" w16cid:durableId="1375080310">
    <w:abstractNumId w:val="176"/>
  </w:num>
  <w:num w:numId="123" w16cid:durableId="1484276438">
    <w:abstractNumId w:val="8"/>
  </w:num>
  <w:num w:numId="124" w16cid:durableId="1178346887">
    <w:abstractNumId w:val="1"/>
  </w:num>
  <w:num w:numId="125" w16cid:durableId="1479881798">
    <w:abstractNumId w:val="181"/>
  </w:num>
  <w:num w:numId="126" w16cid:durableId="822046181">
    <w:abstractNumId w:val="132"/>
  </w:num>
  <w:num w:numId="127" w16cid:durableId="1113012118">
    <w:abstractNumId w:val="177"/>
  </w:num>
  <w:num w:numId="128" w16cid:durableId="1048990257">
    <w:abstractNumId w:val="44"/>
  </w:num>
  <w:num w:numId="129" w16cid:durableId="1514145866">
    <w:abstractNumId w:val="159"/>
  </w:num>
  <w:num w:numId="130" w16cid:durableId="1096560946">
    <w:abstractNumId w:val="92"/>
  </w:num>
  <w:num w:numId="131" w16cid:durableId="2113821103">
    <w:abstractNumId w:val="50"/>
  </w:num>
  <w:num w:numId="132" w16cid:durableId="1170561744">
    <w:abstractNumId w:val="187"/>
  </w:num>
  <w:num w:numId="133" w16cid:durableId="495852233">
    <w:abstractNumId w:val="86"/>
  </w:num>
  <w:num w:numId="134" w16cid:durableId="1063605430">
    <w:abstractNumId w:val="158"/>
  </w:num>
  <w:num w:numId="135" w16cid:durableId="370886442">
    <w:abstractNumId w:val="36"/>
  </w:num>
  <w:num w:numId="136" w16cid:durableId="1503006802">
    <w:abstractNumId w:val="146"/>
  </w:num>
  <w:num w:numId="137" w16cid:durableId="999426839">
    <w:abstractNumId w:val="184"/>
  </w:num>
  <w:num w:numId="138" w16cid:durableId="873036024">
    <w:abstractNumId w:val="195"/>
  </w:num>
  <w:num w:numId="139" w16cid:durableId="329986592">
    <w:abstractNumId w:val="93"/>
  </w:num>
  <w:num w:numId="140" w16cid:durableId="731973633">
    <w:abstractNumId w:val="113"/>
  </w:num>
  <w:num w:numId="141" w16cid:durableId="1064571031">
    <w:abstractNumId w:val="67"/>
  </w:num>
  <w:num w:numId="142" w16cid:durableId="518128310">
    <w:abstractNumId w:val="48"/>
  </w:num>
  <w:num w:numId="143" w16cid:durableId="1101071498">
    <w:abstractNumId w:val="90"/>
  </w:num>
  <w:num w:numId="144" w16cid:durableId="1096243906">
    <w:abstractNumId w:val="88"/>
  </w:num>
  <w:num w:numId="145" w16cid:durableId="114520138">
    <w:abstractNumId w:val="151"/>
  </w:num>
  <w:num w:numId="146" w16cid:durableId="437453244">
    <w:abstractNumId w:val="7"/>
  </w:num>
  <w:num w:numId="147" w16cid:durableId="1162309771">
    <w:abstractNumId w:val="40"/>
  </w:num>
  <w:num w:numId="148" w16cid:durableId="1575702223">
    <w:abstractNumId w:val="49"/>
  </w:num>
  <w:num w:numId="149" w16cid:durableId="694883854">
    <w:abstractNumId w:val="120"/>
  </w:num>
  <w:num w:numId="150" w16cid:durableId="1056248115">
    <w:abstractNumId w:val="153"/>
  </w:num>
  <w:num w:numId="151" w16cid:durableId="1950432558">
    <w:abstractNumId w:val="59"/>
  </w:num>
  <w:num w:numId="152" w16cid:durableId="1169298207">
    <w:abstractNumId w:val="139"/>
  </w:num>
  <w:num w:numId="153" w16cid:durableId="1166479164">
    <w:abstractNumId w:val="149"/>
  </w:num>
  <w:num w:numId="154" w16cid:durableId="348796904">
    <w:abstractNumId w:val="20"/>
  </w:num>
  <w:num w:numId="155" w16cid:durableId="1955288472">
    <w:abstractNumId w:val="137"/>
  </w:num>
  <w:num w:numId="156" w16cid:durableId="1587228744">
    <w:abstractNumId w:val="83"/>
  </w:num>
  <w:num w:numId="157" w16cid:durableId="1890648070">
    <w:abstractNumId w:val="14"/>
  </w:num>
  <w:num w:numId="158" w16cid:durableId="123621410">
    <w:abstractNumId w:val="118"/>
  </w:num>
  <w:num w:numId="159" w16cid:durableId="1566717172">
    <w:abstractNumId w:val="111"/>
  </w:num>
  <w:num w:numId="160" w16cid:durableId="738476762">
    <w:abstractNumId w:val="0"/>
  </w:num>
  <w:num w:numId="161" w16cid:durableId="2024042466">
    <w:abstractNumId w:val="188"/>
  </w:num>
  <w:num w:numId="162" w16cid:durableId="2041734667">
    <w:abstractNumId w:val="82"/>
  </w:num>
  <w:num w:numId="163" w16cid:durableId="224027918">
    <w:abstractNumId w:val="145"/>
  </w:num>
  <w:num w:numId="164" w16cid:durableId="401220599">
    <w:abstractNumId w:val="102"/>
  </w:num>
  <w:num w:numId="165" w16cid:durableId="2146435335">
    <w:abstractNumId w:val="119"/>
  </w:num>
  <w:num w:numId="166" w16cid:durableId="84571036">
    <w:abstractNumId w:val="63"/>
  </w:num>
  <w:num w:numId="167" w16cid:durableId="1758282455">
    <w:abstractNumId w:val="148"/>
  </w:num>
  <w:num w:numId="168" w16cid:durableId="2082632558">
    <w:abstractNumId w:val="58"/>
  </w:num>
  <w:num w:numId="169" w16cid:durableId="123088534">
    <w:abstractNumId w:val="76"/>
  </w:num>
  <w:num w:numId="170" w16cid:durableId="1834182637">
    <w:abstractNumId w:val="5"/>
  </w:num>
  <w:num w:numId="171" w16cid:durableId="1157067972">
    <w:abstractNumId w:val="144"/>
  </w:num>
  <w:num w:numId="172" w16cid:durableId="1648122361">
    <w:abstractNumId w:val="155"/>
  </w:num>
  <w:num w:numId="173" w16cid:durableId="1794207669">
    <w:abstractNumId w:val="6"/>
  </w:num>
  <w:num w:numId="174" w16cid:durableId="1268581531">
    <w:abstractNumId w:val="142"/>
  </w:num>
  <w:num w:numId="175" w16cid:durableId="1289432628">
    <w:abstractNumId w:val="112"/>
  </w:num>
  <w:num w:numId="176" w16cid:durableId="971134443">
    <w:abstractNumId w:val="29"/>
  </w:num>
  <w:num w:numId="177" w16cid:durableId="1792355919">
    <w:abstractNumId w:val="190"/>
  </w:num>
  <w:num w:numId="178" w16cid:durableId="1175270963">
    <w:abstractNumId w:val="12"/>
  </w:num>
  <w:num w:numId="179" w16cid:durableId="187372619">
    <w:abstractNumId w:val="193"/>
  </w:num>
  <w:num w:numId="180" w16cid:durableId="882450762">
    <w:abstractNumId w:val="189"/>
  </w:num>
  <w:num w:numId="181" w16cid:durableId="1480418745">
    <w:abstractNumId w:val="167"/>
  </w:num>
  <w:num w:numId="182" w16cid:durableId="632515732">
    <w:abstractNumId w:val="18"/>
  </w:num>
  <w:num w:numId="183" w16cid:durableId="958797983">
    <w:abstractNumId w:val="168"/>
  </w:num>
  <w:num w:numId="184" w16cid:durableId="1249385336">
    <w:abstractNumId w:val="186"/>
  </w:num>
  <w:num w:numId="185" w16cid:durableId="63532586">
    <w:abstractNumId w:val="79"/>
  </w:num>
  <w:num w:numId="186" w16cid:durableId="2127190567">
    <w:abstractNumId w:val="30"/>
  </w:num>
  <w:num w:numId="187" w16cid:durableId="1300719343">
    <w:abstractNumId w:val="54"/>
  </w:num>
  <w:num w:numId="188" w16cid:durableId="859077794">
    <w:abstractNumId w:val="97"/>
  </w:num>
  <w:num w:numId="189" w16cid:durableId="629242456">
    <w:abstractNumId w:val="85"/>
  </w:num>
  <w:num w:numId="190" w16cid:durableId="1549757231">
    <w:abstractNumId w:val="87"/>
  </w:num>
  <w:num w:numId="191" w16cid:durableId="1221014521">
    <w:abstractNumId w:val="154"/>
  </w:num>
  <w:num w:numId="192" w16cid:durableId="640774429">
    <w:abstractNumId w:val="163"/>
  </w:num>
  <w:num w:numId="193" w16cid:durableId="603460381">
    <w:abstractNumId w:val="57"/>
  </w:num>
  <w:num w:numId="194" w16cid:durableId="1770002518">
    <w:abstractNumId w:val="16"/>
  </w:num>
  <w:num w:numId="195" w16cid:durableId="1237596507">
    <w:abstractNumId w:val="191"/>
  </w:num>
  <w:num w:numId="196" w16cid:durableId="61205260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335B46"/>
    <w:rsid w:val="000925A8"/>
    <w:rsid w:val="00241093"/>
    <w:rsid w:val="00335B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1E98F"/>
  <w15:chartTrackingRefBased/>
  <w15:docId w15:val="{9D5DE7B5-031D-4BB1-B6E6-D2A9357C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NormalBeslutDnr">
    <w:name w:val="Normal.BeslutDnr"/>
    <w:next w:val="Normal"/>
    <w:pPr>
      <w:spacing w:before="125" w:line="250" w:lineRule="atLeast"/>
      <w:jc w:val="both"/>
    </w:pPr>
    <w:rPr>
      <w:sz w:val="19"/>
      <w:lang w:val="sv-SE" w:eastAsia="sv-SE"/>
    </w:rPr>
  </w:style>
  <w:style w:type="paragraph" w:customStyle="1" w:styleId="NormaltindragNormalindragNormalIndrag">
    <w:name w:val="Normalt indrag.Normal_indrag.Normal Indrag"/>
    <w:basedOn w:val="NormalBeslutDnr"/>
    <w:pPr>
      <w:ind w:left="1304"/>
    </w:pPr>
  </w:style>
  <w:style w:type="paragraph" w:styleId="Indragetstycke">
    <w:name w:val="Block Text"/>
    <w:basedOn w:val="Normal"/>
    <w:semiHidden/>
    <w:pPr>
      <w:spacing w:before="0" w:after="240" w:line="240" w:lineRule="auto"/>
      <w:ind w:left="426" w:right="707"/>
    </w:pPr>
    <w:rPr>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
    <w:name w:val="Body Text"/>
    <w:basedOn w:val="Normal"/>
    <w:semiHidden/>
    <w:pPr>
      <w:spacing w:before="0" w:after="240" w:line="240" w:lineRule="auto"/>
    </w:pPr>
    <w:rPr>
      <w:color w:val="FF0000"/>
      <w:sz w:val="24"/>
    </w:rPr>
  </w:style>
  <w:style w:type="paragraph" w:customStyle="1" w:styleId="Punkter">
    <w:name w:val="Punkter"/>
    <w:basedOn w:val="Normal"/>
    <w:pPr>
      <w:spacing w:before="0" w:line="240" w:lineRule="auto"/>
    </w:pPr>
    <w:rPr>
      <w:sz w:val="24"/>
    </w:rPr>
  </w:style>
  <w:style w:type="paragraph" w:styleId="Brdtextmedindrag">
    <w:name w:val="Body Text Indent"/>
    <w:basedOn w:val="Normal"/>
    <w:semiHidden/>
    <w:pPr>
      <w:widowControl w:val="0"/>
      <w:spacing w:before="0" w:line="240" w:lineRule="auto"/>
      <w:ind w:left="-1134"/>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3.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image" Target="media/image2.wmf"/><Relationship Id="rId58" Type="http://schemas.openxmlformats.org/officeDocument/2006/relationships/image" Target="media/image7.wmf"/><Relationship Id="rId66" Type="http://schemas.openxmlformats.org/officeDocument/2006/relationships/header" Target="header24.xml"/><Relationship Id="rId5" Type="http://schemas.openxmlformats.org/officeDocument/2006/relationships/footnotes" Target="footnotes.xml"/><Relationship Id="rId61" Type="http://schemas.openxmlformats.org/officeDocument/2006/relationships/image" Target="media/image10.wmf"/><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image" Target="media/image5.wmf"/><Relationship Id="rId64" Type="http://schemas.openxmlformats.org/officeDocument/2006/relationships/footer" Target="footer22.xml"/><Relationship Id="rId69" Type="http://schemas.openxmlformats.org/officeDocument/2006/relationships/theme" Target="theme/theme1.xml"/><Relationship Id="rId8" Type="http://schemas.openxmlformats.org/officeDocument/2006/relationships/header" Target="header1.xml"/><Relationship Id="rId51"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image" Target="media/image8.wmf"/><Relationship Id="rId67" Type="http://schemas.openxmlformats.org/officeDocument/2006/relationships/footer" Target="footer24.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image" Target="media/image3.wmf"/><Relationship Id="rId62"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image" Target="media/image6.wmf"/><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microsoft.com/office/2016/09/relationships/commentsIds" Target="commentsIds.xml"/><Relationship Id="rId60" Type="http://schemas.openxmlformats.org/officeDocument/2006/relationships/image" Target="media/image9.wmf"/><Relationship Id="rId65"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comments" Target="comments.xml"/><Relationship Id="rId55" Type="http://schemas.openxmlformats.org/officeDocument/2006/relationships/image" Target="media/image4.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44097</Words>
  <Characters>271640</Characters>
  <Application>Microsoft Office Word</Application>
  <DocSecurity>4</DocSecurity>
  <Lines>5659</Lines>
  <Paragraphs>2162</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Bostadsutskottets betänkande</vt:lpstr>
      <vt:lpstr>Sammanfattning</vt:lpstr>
      <vt:lpstr>Innehållsförteckning</vt:lpstr>
      <vt:lpstr>Utskottets förslag till riksdagsbeslut</vt:lpstr>
      <vt:lpstr>Redogörelse för ärendet</vt:lpstr>
      <vt:lpstr>Utskottets överväganden</vt:lpstr>
      <vt:lpstr>    Kommunala planer</vt:lpstr>
      <vt:lpstr>        Övergripande krav på planering</vt:lpstr>
      <vt:lpstr>        Barns inflytande</vt:lpstr>
      <vt:lpstr>        Regionala frågor</vt:lpstr>
      <vt:lpstr>        Agenda 21 och Habitatagendan</vt:lpstr>
      <vt:lpstr>        Planering för en tyst miljö </vt:lpstr>
      <vt:lpstr>        Brottsförebyggande planering</vt:lpstr>
      <vt:lpstr>        Planering vid översvämningsrisk</vt:lpstr>
      <vt:lpstr>        Handelsändamålet i detaljplan</vt:lpstr>
      <vt:lpstr>        Externa köpcentrum </vt:lpstr>
      <vt:lpstr>        Miljökonsekvensbeskrivningar vid vägplanering </vt:lpstr>
      <vt:lpstr>        Kommunala servicezoner</vt:lpstr>
      <vt:lpstr>        Den statliga kontrollen av kommunala planer</vt:lpstr>
      <vt:lpstr>    Vissa särskilda planeringsfrågor</vt:lpstr>
      <vt:lpstr>        Grönområden</vt:lpstr>
      <vt:lpstr>        Aktivitetsytor</vt:lpstr>
      <vt:lpstr>        Kulturhistoriskt värdefull bebyggelse</vt:lpstr>
      <vt:lpstr>        Yrkesmässig verksamhet i bostadsområden </vt:lpstr>
      <vt:lpstr>        Hästgårdar</vt:lpstr>
      <vt:lpstr>        Lokaler för religiösa ändamål</vt:lpstr>
      <vt:lpstr>        Rätten att använda offentlig plats</vt:lpstr>
      <vt:lpstr>Reservationer</vt:lpstr>
      <vt:lpstr>    1.	Övergripande krav på planering (punkt 1)</vt:lpstr>
      <vt:lpstr>    2.	Barns inflytande (punkt 2)</vt:lpstr>
      <vt:lpstr>    3.	Barns inflytande (punkt 2)</vt:lpstr>
      <vt:lpstr>    4.	Regionala frågor (punkt 3)</vt:lpstr>
      <vt:lpstr>    5.	Regionala frågor (punkt 3)</vt:lpstr>
      <vt:lpstr>    6.	Planering för en tyst miljö (punkt 5)</vt:lpstr>
      <vt:lpstr>    7.	Planering för en tyst miljö (punkt 5)</vt:lpstr>
      <vt:lpstr>    8.	Brottsförebyggande planering (punkt 6)</vt:lpstr>
      <vt:lpstr>    9.	Planering vid översvämningsrisk (punkt 7)</vt:lpstr>
      <vt:lpstr>    10.	Handelsändamålet i detaljplan (punkt 8)</vt:lpstr>
      <vt:lpstr>    11.	Externa köpcentrum (punkt 9, motiveringen)</vt:lpstr>
      <vt:lpstr>    12.	Externa köpcentrum (punkt 9)</vt:lpstr>
    </vt:vector>
  </TitlesOfParts>
  <Company>Riksdagen</Company>
  <LinksUpToDate>false</LinksUpToDate>
  <CharactersWithSpaces>313575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2002-03-26T09:15:00Z</cp:lastPrinted>
  <dcterms:created xsi:type="dcterms:W3CDTF">2025-12-16T00:03:00Z</dcterms:created>
  <dcterms:modified xsi:type="dcterms:W3CDTF">2025-12-16T00:03:00Z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