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DB0FBC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B0FBC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DB0FBC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D7FE6" w:rsidRPr="00DB0FBC" w:rsidTr="00CD7FE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CD7FE6" w:rsidRPr="00DB0FBC" w:rsidRDefault="00E05C7A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DB0FBC">
              <w:rPr>
                <w:rFonts w:ascii="TradeGothic" w:hAnsi="TradeGothic"/>
                <w:b/>
                <w:sz w:val="22"/>
              </w:rPr>
              <w:t xml:space="preserve">Annotering </w:t>
            </w:r>
          </w:p>
        </w:tc>
      </w:tr>
      <w:tr w:rsidR="006E4E11" w:rsidRPr="00DB0FBC" w:rsidTr="00CD7FE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DB0FBC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DB0FBC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B0FBC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B0FBC" w:rsidRDefault="00CD7FE6" w:rsidP="007242A3">
            <w:pPr>
              <w:framePr w:w="5035" w:h="1644" w:wrap="notBeside" w:vAnchor="page" w:hAnchor="page" w:x="6573" w:y="721"/>
            </w:pPr>
            <w:r w:rsidRPr="00DB0FBC">
              <w:t>2011-</w:t>
            </w:r>
            <w:r w:rsidR="00007978" w:rsidRPr="00DB0FBC">
              <w:t>10-2</w:t>
            </w:r>
            <w:r w:rsidR="00D46A0B" w:rsidRPr="00DB0FBC">
              <w:t>6</w:t>
            </w:r>
          </w:p>
        </w:tc>
        <w:tc>
          <w:tcPr>
            <w:tcW w:w="2999" w:type="dxa"/>
            <w:gridSpan w:val="2"/>
          </w:tcPr>
          <w:p w:rsidR="006E4E11" w:rsidRPr="00DB0FBC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DB0FBC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B0FBC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DB0FBC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DB0FB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0FBC" w:rsidRDefault="00CD7F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DB0FBC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DB0FB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0FB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B0FB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0FBC" w:rsidRDefault="0000797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B0FBC">
              <w:rPr>
                <w:bCs/>
                <w:iCs/>
              </w:rPr>
              <w:t>Enheten för processrätt och domstolsfrågor</w:t>
            </w:r>
          </w:p>
        </w:tc>
      </w:tr>
      <w:tr w:rsidR="006E4E11" w:rsidRPr="00DB0FB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0FB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B0FB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0FB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B0FB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0FB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B0FB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0FB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B0FB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0FB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B0FB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0FB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DB0FBC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CD7FE6" w:rsidRPr="00DB0FBC" w:rsidRDefault="00E05C7A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DB0FBC">
        <w:t xml:space="preserve">Annotering </w:t>
      </w:r>
      <w:r w:rsidR="00A264AF" w:rsidRPr="00DB0FBC">
        <w:t>inför RIF-r</w:t>
      </w:r>
      <w:r w:rsidR="0022536B" w:rsidRPr="00DB0FBC">
        <w:t>åd</w:t>
      </w:r>
      <w:r w:rsidR="00BA09DE" w:rsidRPr="00DB0FBC">
        <w:t>et</w:t>
      </w:r>
      <w:r w:rsidR="00007978" w:rsidRPr="00DB0FBC">
        <w:t xml:space="preserve"> </w:t>
      </w:r>
      <w:r w:rsidR="00CD7FE6" w:rsidRPr="00DB0FBC">
        <w:t xml:space="preserve">den </w:t>
      </w:r>
      <w:r w:rsidR="00D46A0B" w:rsidRPr="00DB0FBC">
        <w:t>27-</w:t>
      </w:r>
      <w:r w:rsidR="00007978" w:rsidRPr="00DB0FBC">
        <w:t>28 oktober 2011</w:t>
      </w:r>
    </w:p>
    <w:p w:rsidR="00CD7FE6" w:rsidRPr="00DB0FBC" w:rsidRDefault="00CD7FE6">
      <w:pPr>
        <w:pStyle w:val="RKnormal"/>
      </w:pPr>
    </w:p>
    <w:p w:rsidR="00CD7FE6" w:rsidRPr="00DB0FBC" w:rsidRDefault="00A264AF">
      <w:pPr>
        <w:pStyle w:val="RKnormal"/>
        <w:rPr>
          <w:b/>
        </w:rPr>
      </w:pPr>
      <w:r w:rsidRPr="00DB0FBC">
        <w:rPr>
          <w:b/>
        </w:rPr>
        <w:t>Syftet med behandlingen i rådet</w:t>
      </w:r>
    </w:p>
    <w:p w:rsidR="00CD7FE6" w:rsidRPr="00DB0FBC" w:rsidRDefault="00BA09DE">
      <w:pPr>
        <w:pStyle w:val="RKnormal"/>
        <w:rPr>
          <w:b/>
        </w:rPr>
      </w:pPr>
      <w:r w:rsidRPr="00DB0FBC">
        <w:t>R</w:t>
      </w:r>
      <w:r w:rsidR="00A264AF" w:rsidRPr="00DB0FBC">
        <w:t>ådsslutsatser om EU-rättslig utbildning ska antas</w:t>
      </w:r>
      <w:r w:rsidR="008610EE" w:rsidRPr="00DB0FBC">
        <w:t>.</w:t>
      </w:r>
    </w:p>
    <w:p w:rsidR="00A264AF" w:rsidRPr="00DB0FBC" w:rsidRDefault="00A264AF">
      <w:pPr>
        <w:pStyle w:val="RKnormal"/>
      </w:pPr>
    </w:p>
    <w:p w:rsidR="00E71A1B" w:rsidRPr="00DB0FBC" w:rsidRDefault="00CD7FE6">
      <w:pPr>
        <w:pStyle w:val="RKnormal"/>
        <w:rPr>
          <w:b/>
        </w:rPr>
      </w:pPr>
      <w:r w:rsidRPr="00DB0FBC">
        <w:rPr>
          <w:b/>
        </w:rPr>
        <w:t>Dokument:</w:t>
      </w:r>
      <w:r w:rsidR="00007978" w:rsidRPr="00DB0FBC">
        <w:rPr>
          <w:b/>
        </w:rPr>
        <w:t xml:space="preserve"> </w:t>
      </w:r>
    </w:p>
    <w:p w:rsidR="00CD7FE6" w:rsidRPr="00DB0FBC" w:rsidRDefault="00007978" w:rsidP="002806E6">
      <w:pPr>
        <w:pStyle w:val="RKnormal"/>
        <w:tabs>
          <w:tab w:val="left" w:pos="1843"/>
        </w:tabs>
        <w:rPr>
          <w:i/>
        </w:rPr>
      </w:pPr>
      <w:r w:rsidRPr="00DB0FBC">
        <w:t xml:space="preserve">15690/11 </w:t>
      </w:r>
      <w:r w:rsidR="00205991" w:rsidRPr="00DB0FBC">
        <w:t xml:space="preserve">JAI 743 JUSTPEN 8 JUSTCIV 272 </w:t>
      </w:r>
      <w:r w:rsidR="00B61DA6" w:rsidRPr="00DB0FBC">
        <w:t xml:space="preserve">Europeisk rättslig utbildning – rådets slutsatser </w:t>
      </w:r>
      <w:r w:rsidR="007247E3" w:rsidRPr="00DB0FBC">
        <w:t>(</w:t>
      </w:r>
      <w:r w:rsidR="007247E3" w:rsidRPr="00DB0FBC">
        <w:rPr>
          <w:i/>
        </w:rPr>
        <w:t>bifogas)</w:t>
      </w:r>
    </w:p>
    <w:p w:rsidR="00CD7FE6" w:rsidRPr="00DB0FBC" w:rsidRDefault="00CD7FE6">
      <w:pPr>
        <w:pStyle w:val="RKnormal"/>
      </w:pPr>
    </w:p>
    <w:p w:rsidR="008610EE" w:rsidRPr="00DB0FBC" w:rsidRDefault="008610EE">
      <w:pPr>
        <w:pStyle w:val="RKnormal"/>
        <w:rPr>
          <w:b/>
        </w:rPr>
      </w:pPr>
      <w:r w:rsidRPr="00DB0FBC">
        <w:rPr>
          <w:b/>
        </w:rPr>
        <w:t xml:space="preserve">Tidigare dokument </w:t>
      </w:r>
    </w:p>
    <w:p w:rsidR="00BA09DE" w:rsidRPr="00DB0FBC" w:rsidRDefault="007247E3" w:rsidP="00307B6B">
      <w:pPr>
        <w:pStyle w:val="RKnormal"/>
        <w:tabs>
          <w:tab w:val="left" w:pos="1276"/>
          <w:tab w:val="left" w:pos="1843"/>
          <w:tab w:val="right" w:pos="7938"/>
        </w:tabs>
        <w:ind w:right="-426"/>
        <w:rPr>
          <w:i/>
        </w:rPr>
      </w:pPr>
      <w:r w:rsidRPr="00DB0FBC">
        <w:t xml:space="preserve">14196/11 JAI 623 JUSTPEN 4 JUSTCIV 234 (Kommissionens meddelande om EU-rättslig utbildning)  </w:t>
      </w:r>
    </w:p>
    <w:p w:rsidR="008610EE" w:rsidRPr="00DB0FBC" w:rsidRDefault="008610EE">
      <w:pPr>
        <w:pStyle w:val="RKnormal"/>
        <w:rPr>
          <w:b/>
        </w:rPr>
      </w:pPr>
    </w:p>
    <w:p w:rsidR="002806E6" w:rsidRPr="00DB0FBC" w:rsidRDefault="00CD7FE6">
      <w:pPr>
        <w:pStyle w:val="RKnormal"/>
      </w:pPr>
      <w:r w:rsidRPr="00DB0FBC">
        <w:rPr>
          <w:b/>
        </w:rPr>
        <w:t>Tidigare behandlad vid samråd med EU-nämnden:</w:t>
      </w:r>
      <w:r w:rsidRPr="00DB0FBC">
        <w:t xml:space="preserve"> </w:t>
      </w:r>
    </w:p>
    <w:p w:rsidR="00BA09DE" w:rsidRPr="00DB0FBC" w:rsidRDefault="00871B63">
      <w:pPr>
        <w:pStyle w:val="RKnormal"/>
      </w:pPr>
      <w:r w:rsidRPr="00DB0FBC">
        <w:t xml:space="preserve">Rådsslutsatserna har inte behandlats i EU-nämnden. </w:t>
      </w:r>
    </w:p>
    <w:p w:rsidR="00B61DA6" w:rsidRPr="00DB0FBC" w:rsidRDefault="00B61DA6">
      <w:pPr>
        <w:pStyle w:val="RKnormal"/>
      </w:pPr>
    </w:p>
    <w:p w:rsidR="002806E6" w:rsidRPr="00DB0FBC" w:rsidRDefault="00BA09DE" w:rsidP="00871B63">
      <w:pPr>
        <w:pStyle w:val="RKnormal"/>
        <w:rPr>
          <w:b/>
        </w:rPr>
      </w:pPr>
      <w:r w:rsidRPr="00DB0FBC">
        <w:rPr>
          <w:b/>
        </w:rPr>
        <w:t xml:space="preserve">Tidigare behandlad i </w:t>
      </w:r>
      <w:r w:rsidR="00CD7FE6" w:rsidRPr="00DB0FBC">
        <w:rPr>
          <w:b/>
        </w:rPr>
        <w:t xml:space="preserve">riksdagsutskott: </w:t>
      </w:r>
    </w:p>
    <w:p w:rsidR="00BA09DE" w:rsidRPr="00DB0FBC" w:rsidRDefault="00871B63" w:rsidP="00BA09DE">
      <w:pPr>
        <w:pStyle w:val="RKnormal"/>
      </w:pPr>
      <w:r w:rsidRPr="00DB0FBC">
        <w:t>Rådsslutsatserna har inte behandlats i något riksdagsutskott.</w:t>
      </w:r>
      <w:r w:rsidR="00BA09DE" w:rsidRPr="00DB0FBC">
        <w:t xml:space="preserve"> </w:t>
      </w:r>
    </w:p>
    <w:p w:rsidR="00BA09DE" w:rsidRPr="00DB0FBC" w:rsidRDefault="00BA09DE" w:rsidP="003E08EA">
      <w:pPr>
        <w:ind w:right="-341"/>
      </w:pPr>
    </w:p>
    <w:p w:rsidR="00BA09DE" w:rsidRPr="00DB0FBC" w:rsidRDefault="00BA09DE" w:rsidP="003E08EA">
      <w:pPr>
        <w:ind w:right="-341"/>
        <w:rPr>
          <w:b/>
        </w:rPr>
      </w:pPr>
      <w:r w:rsidRPr="00DB0FBC">
        <w:rPr>
          <w:b/>
        </w:rPr>
        <w:t xml:space="preserve">Bakgrund </w:t>
      </w:r>
    </w:p>
    <w:p w:rsidR="003E08EA" w:rsidRPr="00DB0FBC" w:rsidRDefault="003E08EA" w:rsidP="003E08EA">
      <w:pPr>
        <w:ind w:right="-341"/>
      </w:pPr>
      <w:r w:rsidRPr="00DB0FBC">
        <w:t xml:space="preserve">Den 13 september 2011 lade kommissionen fram ett meddelande om EU-rättslig utbildning. I meddelandet beskriver kommissionen åtgärder som syftar till att vidareutveckla den EU-rättsliga utbildningen. Syftet är att förbättra förutsättningarna för ett europeiskt rättsligt område och att </w:t>
      </w:r>
    </w:p>
    <w:p w:rsidR="003E08EA" w:rsidRPr="00DB0FBC" w:rsidRDefault="003E08EA" w:rsidP="003E08EA">
      <w:pPr>
        <w:ind w:right="-341"/>
      </w:pPr>
      <w:r w:rsidRPr="00DB0FBC">
        <w:t xml:space="preserve">stärka det ömsesidiga förtroendet mellan medlemsstaterna. Målet är att bereda hälften av alla rättstillämpare inom EU möjlighet att delta i minst </w:t>
      </w:r>
    </w:p>
    <w:p w:rsidR="003E08EA" w:rsidRPr="00DB0FBC" w:rsidRDefault="003E08EA" w:rsidP="003E08EA">
      <w:pPr>
        <w:ind w:right="-341"/>
      </w:pPr>
      <w:r w:rsidRPr="00DB0FBC">
        <w:t xml:space="preserve">en EU-rättslig utbildning eller ett EU-rättsligt utbyte senast år 2020. </w:t>
      </w:r>
    </w:p>
    <w:p w:rsidR="00871B63" w:rsidRPr="00DB0FBC" w:rsidRDefault="00871B63" w:rsidP="003E08EA">
      <w:pPr>
        <w:ind w:right="-341"/>
      </w:pPr>
    </w:p>
    <w:p w:rsidR="003E08EA" w:rsidRPr="00DB0FBC" w:rsidRDefault="003E08EA" w:rsidP="003E08EA">
      <w:pPr>
        <w:ind w:right="-341"/>
      </w:pPr>
      <w:r w:rsidRPr="00DB0FBC">
        <w:t xml:space="preserve">Meddelandet presenterades </w:t>
      </w:r>
      <w:r w:rsidR="0022536B" w:rsidRPr="00DB0FBC">
        <w:t>på RIF-rådet</w:t>
      </w:r>
      <w:r w:rsidRPr="00DB0FBC">
        <w:t xml:space="preserve"> den </w:t>
      </w:r>
      <w:r w:rsidR="0022536B" w:rsidRPr="00DB0FBC">
        <w:t>2</w:t>
      </w:r>
      <w:r w:rsidRPr="00DB0FBC">
        <w:t xml:space="preserve">3 september 2011. </w:t>
      </w:r>
    </w:p>
    <w:p w:rsidR="003E08EA" w:rsidRPr="00DB0FBC" w:rsidRDefault="003E08EA" w:rsidP="003E08EA">
      <w:pPr>
        <w:ind w:right="-341"/>
      </w:pPr>
    </w:p>
    <w:p w:rsidR="00510EDB" w:rsidRPr="00DB0FBC" w:rsidRDefault="003E08EA" w:rsidP="00C25316">
      <w:r w:rsidRPr="00DB0FBC">
        <w:t>Den 30 september 2011 lade</w:t>
      </w:r>
      <w:r w:rsidR="0022536B" w:rsidRPr="00DB0FBC">
        <w:t>s</w:t>
      </w:r>
      <w:r w:rsidRPr="00DB0FBC">
        <w:t xml:space="preserve"> ett förslag till rådsslutsatser </w:t>
      </w:r>
      <w:r w:rsidR="007247E3" w:rsidRPr="00DB0FBC">
        <w:t xml:space="preserve">om EU-rättslig utbildning </w:t>
      </w:r>
      <w:r w:rsidR="0022536B" w:rsidRPr="00DB0FBC">
        <w:t xml:space="preserve">fram. Förslaget innehåller </w:t>
      </w:r>
      <w:r w:rsidR="00FC3C5A" w:rsidRPr="00DB0FBC">
        <w:t xml:space="preserve">allmänna </w:t>
      </w:r>
      <w:r w:rsidR="004C79D7" w:rsidRPr="00DB0FBC">
        <w:t>slutsatser</w:t>
      </w:r>
      <w:r w:rsidR="0022536B" w:rsidRPr="00DB0FBC">
        <w:t xml:space="preserve"> från rådet</w:t>
      </w:r>
      <w:r w:rsidR="00FC3C5A" w:rsidRPr="00DB0FBC">
        <w:t>, upp</w:t>
      </w:r>
      <w:r w:rsidR="00C25316" w:rsidRPr="00DB0FBC">
        <w:softHyphen/>
      </w:r>
      <w:r w:rsidR="00FC3C5A" w:rsidRPr="00DB0FBC">
        <w:t xml:space="preserve">maningar </w:t>
      </w:r>
      <w:r w:rsidR="0022536B" w:rsidRPr="00DB0FBC">
        <w:t xml:space="preserve">från rådet </w:t>
      </w:r>
      <w:r w:rsidR="00FC3C5A" w:rsidRPr="00DB0FBC">
        <w:t xml:space="preserve">till medlemsstaterna och </w:t>
      </w:r>
      <w:r w:rsidR="0022536B" w:rsidRPr="00DB0FBC">
        <w:t xml:space="preserve">rådets </w:t>
      </w:r>
      <w:r w:rsidR="00FC3C5A" w:rsidRPr="00DB0FBC">
        <w:t xml:space="preserve">uppmaningar </w:t>
      </w:r>
      <w:r w:rsidR="004C79D7" w:rsidRPr="00DB0FBC">
        <w:t xml:space="preserve">till kommissionen. </w:t>
      </w:r>
      <w:r w:rsidR="007247E3" w:rsidRPr="00DB0FBC">
        <w:t xml:space="preserve">Av rådets allmänna slutsatser framgår att rådet </w:t>
      </w:r>
      <w:r w:rsidR="00C25316" w:rsidRPr="00DB0FBC">
        <w:t>st</w:t>
      </w:r>
      <w:r w:rsidR="007247E3" w:rsidRPr="00DB0FBC">
        <w:t>a</w:t>
      </w:r>
      <w:r w:rsidR="00C25316" w:rsidRPr="00DB0FBC">
        <w:t>r</w:t>
      </w:r>
      <w:r w:rsidR="007247E3" w:rsidRPr="00DB0FBC">
        <w:t>kt stödjer ytter</w:t>
      </w:r>
      <w:r w:rsidR="007247E3" w:rsidRPr="00DB0FBC">
        <w:lastRenderedPageBreak/>
        <w:t>ligare insatser för ut</w:t>
      </w:r>
      <w:r w:rsidR="00C25316" w:rsidRPr="00DB0FBC">
        <w:softHyphen/>
      </w:r>
      <w:r w:rsidR="007247E3" w:rsidRPr="00DB0FBC">
        <w:t xml:space="preserve">bildning av </w:t>
      </w:r>
      <w:r w:rsidR="00510EDB" w:rsidRPr="00DB0FBC">
        <w:t xml:space="preserve">bl.a. </w:t>
      </w:r>
      <w:r w:rsidR="007247E3" w:rsidRPr="00DB0FBC">
        <w:t>doma</w:t>
      </w:r>
      <w:r w:rsidR="00510EDB" w:rsidRPr="00DB0FBC">
        <w:t xml:space="preserve">re och </w:t>
      </w:r>
      <w:r w:rsidR="007247E3" w:rsidRPr="00DB0FBC">
        <w:t>åklagare</w:t>
      </w:r>
      <w:r w:rsidR="00AF2578" w:rsidRPr="00DB0FBC">
        <w:t>.</w:t>
      </w:r>
      <w:r w:rsidR="007247E3" w:rsidRPr="00DB0FBC">
        <w:t xml:space="preserve"> </w:t>
      </w:r>
      <w:r w:rsidR="00AF2578" w:rsidRPr="00DB0FBC">
        <w:t>Det framgår också att rådet delar kommissionens uppfattning att det är kvalité på utbildning och priori</w:t>
      </w:r>
      <w:r w:rsidR="00205991" w:rsidRPr="00DB0FBC">
        <w:softHyphen/>
      </w:r>
      <w:r w:rsidR="00AF2578" w:rsidRPr="00DB0FBC">
        <w:t>terade områden som ska sättas främst samt att det är befintl</w:t>
      </w:r>
      <w:r w:rsidR="00205991" w:rsidRPr="00DB0FBC">
        <w:t xml:space="preserve">iga strukturer som ska </w:t>
      </w:r>
      <w:r w:rsidR="00AF2578" w:rsidRPr="00DB0FBC">
        <w:t>vidareutvecklas. I rådsslutsatserna upp</w:t>
      </w:r>
      <w:r w:rsidR="00205991" w:rsidRPr="00DB0FBC">
        <w:softHyphen/>
      </w:r>
      <w:r w:rsidR="00AF2578" w:rsidRPr="00DB0FBC">
        <w:t xml:space="preserve">manas </w:t>
      </w:r>
      <w:r w:rsidR="00510EDB" w:rsidRPr="00DB0FBC">
        <w:t xml:space="preserve">vidare </w:t>
      </w:r>
      <w:r w:rsidR="00AF2578" w:rsidRPr="00DB0FBC">
        <w:t>medlems</w:t>
      </w:r>
      <w:r w:rsidR="00205991" w:rsidRPr="00DB0FBC">
        <w:softHyphen/>
      </w:r>
      <w:r w:rsidR="00AF2578" w:rsidRPr="00DB0FBC">
        <w:t>staterna att kraftfull</w:t>
      </w:r>
      <w:r w:rsidR="00205991" w:rsidRPr="00DB0FBC">
        <w:t>t</w:t>
      </w:r>
      <w:r w:rsidR="00AF2578" w:rsidRPr="00DB0FBC">
        <w:t xml:space="preserve"> främja tillgängligheten av ut</w:t>
      </w:r>
      <w:r w:rsidR="00205991" w:rsidRPr="00DB0FBC">
        <w:softHyphen/>
      </w:r>
      <w:r w:rsidR="00AF2578" w:rsidRPr="00DB0FBC">
        <w:t>bildning i EU-rätt</w:t>
      </w:r>
      <w:r w:rsidR="00510EDB" w:rsidRPr="00DB0FBC">
        <w:t>,</w:t>
      </w:r>
      <w:r w:rsidR="00AF2578" w:rsidRPr="00DB0FBC">
        <w:t xml:space="preserve"> både i form av grundutbildning och vidareutbild</w:t>
      </w:r>
      <w:r w:rsidR="00205991" w:rsidRPr="00DB0FBC">
        <w:softHyphen/>
      </w:r>
      <w:r w:rsidR="00AF2578" w:rsidRPr="00DB0FBC">
        <w:t>ning. Medlems</w:t>
      </w:r>
      <w:r w:rsidR="00205991" w:rsidRPr="00DB0FBC">
        <w:softHyphen/>
      </w:r>
      <w:r w:rsidR="00AF2578" w:rsidRPr="00DB0FBC">
        <w:t>staterna upp</w:t>
      </w:r>
      <w:r w:rsidR="00205991" w:rsidRPr="00DB0FBC">
        <w:softHyphen/>
      </w:r>
      <w:r w:rsidR="00AF2578" w:rsidRPr="00DB0FBC">
        <w:t xml:space="preserve">manas </w:t>
      </w:r>
      <w:r w:rsidR="00510EDB" w:rsidRPr="00DB0FBC">
        <w:t>också</w:t>
      </w:r>
      <w:r w:rsidR="00AF2578" w:rsidRPr="00DB0FBC">
        <w:t xml:space="preserve"> att starkt främja att i synnerhet domare och åklagare</w:t>
      </w:r>
      <w:r w:rsidR="00510EDB" w:rsidRPr="00DB0FBC">
        <w:t xml:space="preserve"> ges möjlighet att delta i minst en veckas utbildning i EU-rätt under sitt yrkesliv. Dessutom uppmanas medlems</w:t>
      </w:r>
      <w:r w:rsidR="00C25316" w:rsidRPr="00DB0FBC">
        <w:softHyphen/>
      </w:r>
      <w:r w:rsidR="00510EDB" w:rsidRPr="00DB0FBC">
        <w:t>staterna att uppmana nationella utbildningsstrukturer och nationella juridiska samman</w:t>
      </w:r>
      <w:r w:rsidR="00205991" w:rsidRPr="00DB0FBC">
        <w:softHyphen/>
      </w:r>
      <w:r w:rsidR="00205991" w:rsidRPr="00DB0FBC">
        <w:softHyphen/>
      </w:r>
      <w:r w:rsidR="00510EDB" w:rsidRPr="00DB0FBC">
        <w:t>slutningar att informera kommissionen om tillgängliga utbild</w:t>
      </w:r>
      <w:r w:rsidR="00205991" w:rsidRPr="00DB0FBC">
        <w:softHyphen/>
      </w:r>
      <w:r w:rsidR="00510EDB" w:rsidRPr="00DB0FBC">
        <w:t>ningar, innehåll</w:t>
      </w:r>
      <w:r w:rsidR="00205991" w:rsidRPr="00DB0FBC">
        <w:t>et i utbildningarna</w:t>
      </w:r>
      <w:r w:rsidR="00510EDB" w:rsidRPr="00DB0FBC">
        <w:t xml:space="preserve"> och antalet personer som deltagit i utbild</w:t>
      </w:r>
      <w:r w:rsidR="00205991" w:rsidRPr="00DB0FBC">
        <w:softHyphen/>
      </w:r>
      <w:r w:rsidR="00510EDB" w:rsidRPr="00DB0FBC">
        <w:t xml:space="preserve">ningarna. </w:t>
      </w:r>
      <w:r w:rsidR="00205991" w:rsidRPr="00DB0FBC">
        <w:t xml:space="preserve">Kommissionen uppmanas </w:t>
      </w:r>
      <w:r w:rsidR="00C25316" w:rsidRPr="00DB0FBC">
        <w:t xml:space="preserve">att stödja utvecklingen av befintliga strukturer, aktörer och nätverk. Dessutom </w:t>
      </w:r>
      <w:r w:rsidR="00205991" w:rsidRPr="00DB0FBC">
        <w:t>uppmanas</w:t>
      </w:r>
      <w:r w:rsidR="00C25316" w:rsidRPr="00DB0FBC">
        <w:t xml:space="preserve"> kommissionen att inleda ett nytt utbytesprogram för nytillsatta domare och åklagare. Kommissionen </w:t>
      </w:r>
      <w:r w:rsidR="00205991" w:rsidRPr="00DB0FBC">
        <w:t xml:space="preserve">uppmanas även att </w:t>
      </w:r>
      <w:r w:rsidR="00C25316" w:rsidRPr="00DB0FBC">
        <w:t xml:space="preserve">förenkla de administrativa förfarandena för tillträde till europeiska finansieringsprogram och </w:t>
      </w:r>
      <w:r w:rsidR="00205991" w:rsidRPr="00DB0FBC">
        <w:t xml:space="preserve">att inom ramen för programmen </w:t>
      </w:r>
      <w:r w:rsidR="00C25316" w:rsidRPr="00DB0FBC">
        <w:t xml:space="preserve">tillgängliggöra ytterligare medel för EU-rättslig utbildning. </w:t>
      </w:r>
    </w:p>
    <w:p w:rsidR="00510EDB" w:rsidRPr="00DB0FBC" w:rsidRDefault="00510EDB" w:rsidP="003E08EA">
      <w:pPr>
        <w:ind w:right="-341"/>
      </w:pPr>
    </w:p>
    <w:p w:rsidR="007247E3" w:rsidRPr="00DB0FBC" w:rsidRDefault="007247E3" w:rsidP="003E08EA">
      <w:pPr>
        <w:ind w:right="-341"/>
      </w:pPr>
      <w:r w:rsidRPr="00DB0FBC">
        <w:t xml:space="preserve">Rådsslutsatser antas med enhällighet och de är inte rättsligt bindande. </w:t>
      </w:r>
    </w:p>
    <w:p w:rsidR="00BA09DE" w:rsidRPr="00DB0FBC" w:rsidRDefault="00BA09DE" w:rsidP="002806E6">
      <w:pPr>
        <w:pStyle w:val="RKnormal"/>
      </w:pPr>
    </w:p>
    <w:p w:rsidR="00CD7FE6" w:rsidRPr="00DB0FBC" w:rsidRDefault="00CD7FE6">
      <w:pPr>
        <w:pStyle w:val="RKnormal"/>
        <w:rPr>
          <w:i/>
          <w:iCs/>
        </w:rPr>
      </w:pPr>
    </w:p>
    <w:p w:rsidR="00CD7FE6" w:rsidRPr="00DB0FBC" w:rsidRDefault="00CD7FE6">
      <w:pPr>
        <w:pStyle w:val="RKnormal"/>
        <w:ind w:left="-1134"/>
      </w:pPr>
    </w:p>
    <w:p w:rsidR="00BA09DE" w:rsidRPr="00DB0FBC" w:rsidRDefault="00BA09DE">
      <w:pPr>
        <w:pStyle w:val="RKnormal"/>
        <w:ind w:left="-1134"/>
      </w:pPr>
    </w:p>
    <w:p w:rsidR="006E4E11" w:rsidRPr="00DB0FBC" w:rsidRDefault="006E4E11">
      <w:pPr>
        <w:pStyle w:val="RKrubrik"/>
        <w:spacing w:before="0" w:after="0"/>
      </w:pPr>
    </w:p>
    <w:p w:rsidR="006E4E11" w:rsidRPr="00DB0FBC" w:rsidRDefault="006E4E11">
      <w:pPr>
        <w:pStyle w:val="RKnormal"/>
      </w:pPr>
    </w:p>
    <w:p w:rsidR="00CD7FE6" w:rsidRPr="00DB0FBC" w:rsidRDefault="00CD7FE6">
      <w:pPr>
        <w:pStyle w:val="RKnormal"/>
      </w:pPr>
    </w:p>
    <w:sectPr w:rsidR="00CD7FE6" w:rsidRPr="00DB0FBC" w:rsidSect="00BA09DE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559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2D4" w:rsidRPr="00DB0FBC" w:rsidRDefault="00C352D4">
      <w:r w:rsidRPr="00DB0FBC">
        <w:separator/>
      </w:r>
    </w:p>
  </w:endnote>
  <w:endnote w:type="continuationSeparator" w:id="0">
    <w:p w:rsidR="00C352D4" w:rsidRPr="00DB0FBC" w:rsidRDefault="00C352D4">
      <w:r w:rsidRPr="00DB0F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2D4" w:rsidRPr="00DB0FBC" w:rsidRDefault="00C352D4">
      <w:r w:rsidRPr="00DB0FBC">
        <w:separator/>
      </w:r>
    </w:p>
  </w:footnote>
  <w:footnote w:type="continuationSeparator" w:id="0">
    <w:p w:rsidR="00C352D4" w:rsidRPr="00DB0FBC" w:rsidRDefault="00C352D4">
      <w:r w:rsidRPr="00DB0F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A23" w:rsidRPr="00DB0FBC" w:rsidRDefault="00433A23">
    <w:pPr>
      <w:pStyle w:val="Sidhuvud"/>
      <w:framePr w:wrap="around" w:vAnchor="text" w:hAnchor="margin" w:xAlign="right" w:y="1"/>
      <w:rPr>
        <w:rStyle w:val="Sidnummer"/>
      </w:rPr>
    </w:pPr>
    <w:r w:rsidRPr="00DB0FBC">
      <w:rPr>
        <w:rStyle w:val="Sidnummer"/>
      </w:rPr>
      <w:fldChar w:fldCharType="begin" w:fldLock="1"/>
    </w:r>
    <w:r w:rsidRPr="00DB0FBC">
      <w:rPr>
        <w:rStyle w:val="Sidnummer"/>
      </w:rPr>
      <w:instrText xml:space="preserve">PAGE  </w:instrText>
    </w:r>
    <w:r w:rsidRPr="00DB0FBC">
      <w:rPr>
        <w:rStyle w:val="Sidnummer"/>
      </w:rPr>
      <w:fldChar w:fldCharType="separate"/>
    </w:r>
    <w:r w:rsidR="001416A6" w:rsidRPr="00DB0FBC">
      <w:rPr>
        <w:rStyle w:val="Sidnummer"/>
      </w:rPr>
      <w:t>2</w:t>
    </w:r>
    <w:r w:rsidRPr="00DB0FB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91"/>
      <w:gridCol w:w="4078"/>
      <w:gridCol w:w="1512"/>
    </w:tblGrid>
    <w:tr w:rsidR="00433A23" w:rsidRPr="00DB0FB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33A23" w:rsidRPr="00DB0FBC" w:rsidRDefault="00433A2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33A23" w:rsidRPr="00DB0FBC" w:rsidRDefault="00433A23">
          <w:pPr>
            <w:pStyle w:val="Sidhuvud"/>
            <w:ind w:right="360"/>
          </w:pPr>
        </w:p>
      </w:tc>
      <w:tc>
        <w:tcPr>
          <w:tcW w:w="1525" w:type="dxa"/>
        </w:tcPr>
        <w:p w:rsidR="00433A23" w:rsidRPr="00DB0FBC" w:rsidRDefault="00433A23">
          <w:pPr>
            <w:pStyle w:val="Sidhuvud"/>
            <w:ind w:right="360"/>
          </w:pPr>
        </w:p>
      </w:tc>
    </w:tr>
  </w:tbl>
  <w:p w:rsidR="00433A23" w:rsidRPr="00DB0FBC" w:rsidRDefault="00433A2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A23" w:rsidRPr="00DB0FBC" w:rsidRDefault="00433A23">
    <w:pPr>
      <w:pStyle w:val="Sidhuvud"/>
      <w:framePr w:wrap="around" w:vAnchor="text" w:hAnchor="margin" w:xAlign="right" w:y="1"/>
      <w:rPr>
        <w:rStyle w:val="Sidnummer"/>
      </w:rPr>
    </w:pPr>
    <w:r w:rsidRPr="00DB0FBC">
      <w:rPr>
        <w:rStyle w:val="Sidnummer"/>
      </w:rPr>
      <w:fldChar w:fldCharType="begin" w:fldLock="1"/>
    </w:r>
    <w:r w:rsidRPr="00DB0FBC">
      <w:rPr>
        <w:rStyle w:val="Sidnummer"/>
      </w:rPr>
      <w:instrText xml:space="preserve">PAGE  </w:instrText>
    </w:r>
    <w:r w:rsidRPr="00DB0FBC">
      <w:rPr>
        <w:rStyle w:val="Sidnummer"/>
      </w:rPr>
      <w:fldChar w:fldCharType="separate"/>
    </w:r>
    <w:r w:rsidR="00BA09DE" w:rsidRPr="00DB0FBC">
      <w:rPr>
        <w:rStyle w:val="Sidnummer"/>
      </w:rPr>
      <w:t>3</w:t>
    </w:r>
    <w:r w:rsidRPr="00DB0FB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91"/>
      <w:gridCol w:w="4078"/>
      <w:gridCol w:w="1512"/>
    </w:tblGrid>
    <w:tr w:rsidR="00433A23" w:rsidRPr="00DB0FB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33A23" w:rsidRPr="00DB0FBC" w:rsidRDefault="00433A2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33A23" w:rsidRPr="00DB0FBC" w:rsidRDefault="00433A23">
          <w:pPr>
            <w:pStyle w:val="Sidhuvud"/>
            <w:ind w:right="360"/>
          </w:pPr>
        </w:p>
      </w:tc>
      <w:tc>
        <w:tcPr>
          <w:tcW w:w="1525" w:type="dxa"/>
        </w:tcPr>
        <w:p w:rsidR="00433A23" w:rsidRPr="00DB0FBC" w:rsidRDefault="00433A23">
          <w:pPr>
            <w:pStyle w:val="Sidhuvud"/>
            <w:ind w:right="360"/>
          </w:pPr>
        </w:p>
      </w:tc>
    </w:tr>
  </w:tbl>
  <w:p w:rsidR="00433A23" w:rsidRPr="00DB0FBC" w:rsidRDefault="00433A2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A23" w:rsidRPr="00DB0FBC" w:rsidRDefault="00DB0FBC">
    <w:pPr>
      <w:framePr w:w="2948" w:h="1321" w:hRule="exact" w:wrap="notBeside" w:vAnchor="page" w:hAnchor="page" w:x="1362" w:y="653"/>
    </w:pPr>
    <w:r w:rsidRPr="00DB0FBC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3A23" w:rsidRPr="00DB0FBC" w:rsidRDefault="00433A2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33A23" w:rsidRPr="00DB0FBC" w:rsidRDefault="00433A23">
    <w:pPr>
      <w:rPr>
        <w:rFonts w:ascii="TradeGothic" w:hAnsi="TradeGothic"/>
        <w:b/>
        <w:bCs/>
        <w:spacing w:val="12"/>
        <w:sz w:val="22"/>
      </w:rPr>
    </w:pPr>
  </w:p>
  <w:p w:rsidR="00433A23" w:rsidRPr="00DB0FBC" w:rsidRDefault="00433A2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33A23" w:rsidRPr="00DB0FBC" w:rsidRDefault="00433A23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CD7FE6"/>
    <w:rsid w:val="00007978"/>
    <w:rsid w:val="00075479"/>
    <w:rsid w:val="0011683E"/>
    <w:rsid w:val="001416A6"/>
    <w:rsid w:val="00150384"/>
    <w:rsid w:val="001805B7"/>
    <w:rsid w:val="001B4FD3"/>
    <w:rsid w:val="00205991"/>
    <w:rsid w:val="0022536B"/>
    <w:rsid w:val="00230D4A"/>
    <w:rsid w:val="002806E6"/>
    <w:rsid w:val="0029374D"/>
    <w:rsid w:val="00307B6B"/>
    <w:rsid w:val="003328CF"/>
    <w:rsid w:val="003E08EA"/>
    <w:rsid w:val="00424EAD"/>
    <w:rsid w:val="00433A23"/>
    <w:rsid w:val="004469F0"/>
    <w:rsid w:val="004740E6"/>
    <w:rsid w:val="004A328D"/>
    <w:rsid w:val="004C79D7"/>
    <w:rsid w:val="004D002E"/>
    <w:rsid w:val="00510EDB"/>
    <w:rsid w:val="0058762B"/>
    <w:rsid w:val="005A6655"/>
    <w:rsid w:val="006E4E11"/>
    <w:rsid w:val="0071233F"/>
    <w:rsid w:val="007242A3"/>
    <w:rsid w:val="007247E3"/>
    <w:rsid w:val="00740CDC"/>
    <w:rsid w:val="007606B4"/>
    <w:rsid w:val="00764BAF"/>
    <w:rsid w:val="007A6855"/>
    <w:rsid w:val="008610EE"/>
    <w:rsid w:val="0087141B"/>
    <w:rsid w:val="00871B63"/>
    <w:rsid w:val="008B568D"/>
    <w:rsid w:val="009558C6"/>
    <w:rsid w:val="00A264AF"/>
    <w:rsid w:val="00A838AA"/>
    <w:rsid w:val="00AF2578"/>
    <w:rsid w:val="00B57D45"/>
    <w:rsid w:val="00B61DA6"/>
    <w:rsid w:val="00B93362"/>
    <w:rsid w:val="00BA09DE"/>
    <w:rsid w:val="00C25316"/>
    <w:rsid w:val="00C352D4"/>
    <w:rsid w:val="00C8760D"/>
    <w:rsid w:val="00C963FB"/>
    <w:rsid w:val="00CD7FE6"/>
    <w:rsid w:val="00D133D7"/>
    <w:rsid w:val="00D46A0B"/>
    <w:rsid w:val="00DB0FBC"/>
    <w:rsid w:val="00E05C7A"/>
    <w:rsid w:val="00E71A1B"/>
    <w:rsid w:val="00E76762"/>
    <w:rsid w:val="00E96AE9"/>
    <w:rsid w:val="00EC25F9"/>
    <w:rsid w:val="00ED4CDD"/>
    <w:rsid w:val="00ED583F"/>
    <w:rsid w:val="00F15E6B"/>
    <w:rsid w:val="00F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E0C74-CB9F-4FD8-8DA8-290AC3D5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hps">
    <w:name w:val="hps"/>
    <w:basedOn w:val="Standardstycketeckensnitt"/>
    <w:rsid w:val="00A838AA"/>
  </w:style>
  <w:style w:type="character" w:customStyle="1" w:styleId="hpsatn">
    <w:name w:val="hps atn"/>
    <w:basedOn w:val="Standardstycketeckensnitt"/>
    <w:rsid w:val="005A6655"/>
  </w:style>
  <w:style w:type="character" w:customStyle="1" w:styleId="RKnormalChar">
    <w:name w:val="RKnormal Char"/>
    <w:basedOn w:val="Standardstycketeckensnitt"/>
    <w:link w:val="RKnormal"/>
    <w:rsid w:val="004D002E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8038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76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8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4343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2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4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5593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6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5449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1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2558</Characters>
  <Application>Microsoft Office Word</Application>
  <DocSecurity>4</DocSecurity>
  <Lines>82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2011-10-25T12:48:00Z</cp:lastPrinted>
  <dcterms:created xsi:type="dcterms:W3CDTF">2025-12-17T21:44:00Z</dcterms:created>
  <dcterms:modified xsi:type="dcterms:W3CDTF">2025-12-17T21:44:00Z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