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r>
        <w:t>Justitieutskottet</w:t>
      </w:r>
    </w:p>
    <w:p w:rsidR="005670C5" w:rsidRDefault="004600C2" w:rsidP="009B0AD7">
      <w:pPr>
        <w:pStyle w:val="Rubrik1"/>
      </w:pPr>
      <w:r>
        <w:t>I</w:t>
      </w:r>
      <w:r w:rsidR="005670C5">
        <w:t xml:space="preserve">nkomna EU-dokument </w:t>
      </w:r>
      <w:r w:rsidR="00450BA2">
        <w:t>24 juli</w:t>
      </w:r>
      <w:r w:rsidR="005670C5">
        <w:t xml:space="preserve"> – </w:t>
      </w:r>
      <w:r w:rsidR="00130181">
        <w:t>14 september</w:t>
      </w:r>
      <w:r w:rsidR="00D82983">
        <w:t xml:space="preserve"> 2015</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FD5DC2" w:rsidTr="00EA4398">
        <w:tc>
          <w:tcPr>
            <w:tcW w:w="1413" w:type="dxa"/>
          </w:tcPr>
          <w:p w:rsidR="005670C5" w:rsidRPr="009B0AD7" w:rsidRDefault="00450BA2" w:rsidP="00EA4398">
            <w:r>
              <w:t>2015-07-24</w:t>
            </w:r>
          </w:p>
        </w:tc>
        <w:tc>
          <w:tcPr>
            <w:tcW w:w="1701" w:type="dxa"/>
          </w:tcPr>
          <w:p w:rsidR="005670C5" w:rsidRPr="009B0AD7" w:rsidRDefault="00450BA2" w:rsidP="00EA4398">
            <w:pPr>
              <w:spacing w:after="0" w:line="240" w:lineRule="auto"/>
            </w:pPr>
            <w:r w:rsidRPr="00450BA2">
              <w:t>K(2015) 4827</w:t>
            </w:r>
          </w:p>
        </w:tc>
        <w:tc>
          <w:tcPr>
            <w:tcW w:w="3827" w:type="dxa"/>
          </w:tcPr>
          <w:p w:rsidR="008820A9" w:rsidRPr="009B0AD7" w:rsidRDefault="00820362" w:rsidP="00EA4398">
            <w:pPr>
              <w:spacing w:after="0" w:line="240" w:lineRule="auto"/>
            </w:pPr>
            <w:hyperlink r:id="rId8" w:history="1">
              <w:r w:rsidR="00450BA2" w:rsidRPr="00450BA2">
                <w:rPr>
                  <w:rStyle w:val="Hyperlnk"/>
                </w:rPr>
                <w:t>KOMMISSIONENS GENOMFÖRANDEBESLUT av den 23.7.2015 om ändring av kommissionens genomförandebeslut C(2014) 3683 av den 18 juni 2014 om inrättande av ett flerårigt utvärderingsprogram 2014–2019 i enlighet med artikel 5 i rådets beslut (EU) nr 1053/2013 av den 7 oktober 2013 om inrättande av en utvärderings- och övervakningsmekanism för kontroll av tillämpningen av Schengenregelverket</w:t>
              </w:r>
            </w:hyperlink>
          </w:p>
        </w:tc>
        <w:tc>
          <w:tcPr>
            <w:tcW w:w="2829" w:type="dxa"/>
          </w:tcPr>
          <w:p w:rsidR="005670C5" w:rsidRPr="009B0AD7" w:rsidRDefault="00DF3849" w:rsidP="00F40DB4">
            <w:r>
              <w:t xml:space="preserve">Avser </w:t>
            </w:r>
            <w:r w:rsidR="00E77818">
              <w:t xml:space="preserve">ändringar i </w:t>
            </w:r>
            <w:r w:rsidR="00E77818" w:rsidRPr="00E77818">
              <w:t>utvärderingsprogrammet</w:t>
            </w:r>
            <w:r w:rsidR="00E77818">
              <w:t xml:space="preserve"> med anledning av att Kroatien </w:t>
            </w:r>
            <w:r>
              <w:t xml:space="preserve">har </w:t>
            </w:r>
            <w:r w:rsidR="00E77818">
              <w:t xml:space="preserve">anmält </w:t>
            </w:r>
            <w:r>
              <w:t>att landet är redo för en utvärdering i syfte</w:t>
            </w:r>
            <w:r w:rsidRPr="00DF3849">
              <w:t xml:space="preserve"> att gå med i området utan kontroll</w:t>
            </w:r>
            <w:r w:rsidR="00F82902">
              <w:softHyphen/>
            </w:r>
            <w:r w:rsidRPr="00DF3849">
              <w:t>er vid de inre gränserna.</w:t>
            </w:r>
            <w:r>
              <w:t xml:space="preserve"> Än</w:t>
            </w:r>
            <w:r w:rsidR="00F82902">
              <w:softHyphen/>
            </w:r>
            <w:r>
              <w:t>dri</w:t>
            </w:r>
            <w:r w:rsidR="00F82902">
              <w:softHyphen/>
            </w:r>
            <w:r>
              <w:t xml:space="preserve">ngarna </w:t>
            </w:r>
            <w:r w:rsidR="00F40DB4">
              <w:t>innebär att planer</w:t>
            </w:r>
            <w:r w:rsidR="00F82902">
              <w:softHyphen/>
            </w:r>
            <w:r w:rsidR="00F40DB4">
              <w:t xml:space="preserve">ingen </w:t>
            </w:r>
            <w:r>
              <w:t xml:space="preserve">för </w:t>
            </w:r>
            <w:r w:rsidR="00F40DB4">
              <w:t>utvärderings</w:t>
            </w:r>
            <w:r>
              <w:t>besök</w:t>
            </w:r>
            <w:r w:rsidR="00F40DB4">
              <w:t xml:space="preserve"> </w:t>
            </w:r>
            <w:r>
              <w:t>i medlemsstaterna justeras</w:t>
            </w:r>
            <w:r w:rsidR="00F40DB4">
              <w:t>.</w:t>
            </w:r>
          </w:p>
        </w:tc>
      </w:tr>
      <w:tr w:rsidR="009B0AD7" w:rsidRPr="00FD5DC2" w:rsidTr="00EA4398">
        <w:tc>
          <w:tcPr>
            <w:tcW w:w="1413" w:type="dxa"/>
          </w:tcPr>
          <w:p w:rsidR="005670C5" w:rsidRPr="009B0AD7" w:rsidRDefault="006F36EA" w:rsidP="00EA4398">
            <w:r>
              <w:t>2015-08-03</w:t>
            </w:r>
          </w:p>
        </w:tc>
        <w:tc>
          <w:tcPr>
            <w:tcW w:w="1701" w:type="dxa"/>
          </w:tcPr>
          <w:p w:rsidR="005670C5" w:rsidRPr="009B0AD7" w:rsidRDefault="006F36EA" w:rsidP="00EA4398">
            <w:r w:rsidRPr="006F36EA">
              <w:t>KOM(2015) 387</w:t>
            </w:r>
          </w:p>
        </w:tc>
        <w:tc>
          <w:tcPr>
            <w:tcW w:w="3827" w:type="dxa"/>
          </w:tcPr>
          <w:p w:rsidR="005670C5" w:rsidRPr="009B0AD7" w:rsidRDefault="00820362" w:rsidP="00EA4398">
            <w:hyperlink r:id="rId9" w:history="1">
              <w:r w:rsidR="006F36EA" w:rsidRPr="006F36EA">
                <w:rPr>
                  <w:rStyle w:val="Hyperlnk"/>
                </w:rPr>
                <w:t>RAPPORT FRÅN KOMMISSIONEN TILL EUROPAPARLAMENTET OCH RÅDET OM GENOMFÖRANDET AV SCHENGENDELEN AV LIKVIDITETS- OCH SCHENGENFACILITETEN (2007-2009) FÖR BULGARIEN OCH RUMÄNIEN</w:t>
              </w:r>
            </w:hyperlink>
          </w:p>
        </w:tc>
        <w:tc>
          <w:tcPr>
            <w:tcW w:w="2829" w:type="dxa"/>
          </w:tcPr>
          <w:p w:rsidR="005670C5" w:rsidRPr="009B0AD7" w:rsidRDefault="005670C5" w:rsidP="00EA4398"/>
        </w:tc>
      </w:tr>
    </w:tbl>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B21270" w:rsidTr="0014597B">
        <w:tc>
          <w:tcPr>
            <w:tcW w:w="1413" w:type="dxa"/>
          </w:tcPr>
          <w:p w:rsidR="00EA4398" w:rsidRPr="009B0AD7" w:rsidRDefault="00450BA2" w:rsidP="0014597B">
            <w:r>
              <w:t>2015-07-28</w:t>
            </w:r>
          </w:p>
        </w:tc>
        <w:tc>
          <w:tcPr>
            <w:tcW w:w="1701" w:type="dxa"/>
          </w:tcPr>
          <w:p w:rsidR="00EA4398" w:rsidRPr="009B0AD7" w:rsidRDefault="00450BA2" w:rsidP="0014597B">
            <w:pPr>
              <w:spacing w:after="0" w:line="240" w:lineRule="auto"/>
            </w:pPr>
            <w:r w:rsidRPr="00450BA2">
              <w:t>8671/15</w:t>
            </w:r>
          </w:p>
        </w:tc>
        <w:tc>
          <w:tcPr>
            <w:tcW w:w="3827" w:type="dxa"/>
          </w:tcPr>
          <w:p w:rsidR="00EA4398" w:rsidRPr="00450BA2" w:rsidRDefault="00820362" w:rsidP="0014597B">
            <w:pPr>
              <w:spacing w:after="0" w:line="240" w:lineRule="auto"/>
              <w:rPr>
                <w:lang w:val="en-US"/>
              </w:rPr>
            </w:pPr>
            <w:hyperlink r:id="rId10" w:history="1">
              <w:r w:rsidR="00450BA2" w:rsidRPr="00B21270">
                <w:rPr>
                  <w:rStyle w:val="Hyperlnk"/>
                  <w:lang w:val="en-US"/>
                </w:rPr>
                <w:t>OUTCOME OF THE COUNCIL MEETING 3386th Council meeting Agriculture and Fisheries Brussels, 11 May 2015</w:t>
              </w:r>
            </w:hyperlink>
          </w:p>
        </w:tc>
        <w:tc>
          <w:tcPr>
            <w:tcW w:w="2829" w:type="dxa"/>
          </w:tcPr>
          <w:p w:rsidR="00EA4398" w:rsidRPr="00B21270" w:rsidRDefault="00B21270" w:rsidP="00B21270">
            <w:r>
              <w:t>Rådet antog</w:t>
            </w:r>
            <w:r w:rsidR="00A1324F">
              <w:t xml:space="preserve"> (som tidigare meddelats)</w:t>
            </w:r>
            <w:r>
              <w:t xml:space="preserve"> en för</w:t>
            </w:r>
            <w:r w:rsidR="00F82902">
              <w:t xml:space="preserve">ordning om att utvidga </w:t>
            </w:r>
            <w:r>
              <w:t>Periklesprogram</w:t>
            </w:r>
            <w:r w:rsidR="00F82902">
              <w:softHyphen/>
            </w:r>
            <w:r>
              <w:t>met 2020 till att även länder utanför euroområdet.</w:t>
            </w:r>
          </w:p>
        </w:tc>
      </w:tr>
      <w:tr w:rsidR="00EA4398" w:rsidRPr="00AB2093" w:rsidTr="0014597B">
        <w:tc>
          <w:tcPr>
            <w:tcW w:w="1413" w:type="dxa"/>
          </w:tcPr>
          <w:p w:rsidR="00EA4398" w:rsidRPr="00B21270" w:rsidRDefault="00AB2093" w:rsidP="0014597B">
            <w:r>
              <w:t>2015-09-04</w:t>
            </w:r>
          </w:p>
        </w:tc>
        <w:tc>
          <w:tcPr>
            <w:tcW w:w="1701" w:type="dxa"/>
          </w:tcPr>
          <w:p w:rsidR="00EA4398" w:rsidRPr="00B21270" w:rsidRDefault="00AB2093" w:rsidP="0014597B">
            <w:r w:rsidRPr="00AB2093">
              <w:t>10228/15</w:t>
            </w:r>
          </w:p>
        </w:tc>
        <w:tc>
          <w:tcPr>
            <w:tcW w:w="3827" w:type="dxa"/>
          </w:tcPr>
          <w:p w:rsidR="00EA4398" w:rsidRPr="00AB2093" w:rsidRDefault="00820362" w:rsidP="0014597B">
            <w:pPr>
              <w:rPr>
                <w:lang w:val="en-US"/>
              </w:rPr>
            </w:pPr>
            <w:hyperlink r:id="rId11" w:history="1">
              <w:r w:rsidR="00AB2093" w:rsidRPr="00AB2093">
                <w:rPr>
                  <w:rStyle w:val="Hyperlnk"/>
                  <w:lang w:val="en-US"/>
                </w:rPr>
                <w:t>OUTCOME OF THE COUNCIL MEETING 3401st Council meeting General Affairs Luxembourg, 23 June 2015</w:t>
              </w:r>
            </w:hyperlink>
          </w:p>
        </w:tc>
        <w:tc>
          <w:tcPr>
            <w:tcW w:w="2829" w:type="dxa"/>
          </w:tcPr>
          <w:p w:rsidR="00EA4398" w:rsidRPr="00AB2093" w:rsidRDefault="00AB2093" w:rsidP="00AC372C">
            <w:r w:rsidRPr="00AB2093">
              <w:t>Rådet antog sin ståndpunkt vid första läsningen av förs</w:t>
            </w:r>
            <w:r w:rsidR="00F82902">
              <w:softHyphen/>
            </w:r>
            <w:r>
              <w:t>l</w:t>
            </w:r>
            <w:r w:rsidRPr="00AB2093">
              <w:t>ag</w:t>
            </w:r>
            <w:r w:rsidR="00F82902">
              <w:softHyphen/>
            </w:r>
            <w:r w:rsidRPr="00AB2093">
              <w:t>et till reform av tribunal</w:t>
            </w:r>
            <w:r w:rsidR="00F82902">
              <w:softHyphen/>
            </w:r>
            <w:r w:rsidRPr="00AB2093">
              <w:t>en</w:t>
            </w:r>
            <w:r w:rsidR="00AC372C">
              <w:t>.</w:t>
            </w:r>
            <w:r>
              <w:t xml:space="preserve"> </w:t>
            </w:r>
            <w:r w:rsidR="00AC372C">
              <w:t xml:space="preserve">Reformen </w:t>
            </w:r>
            <w:r>
              <w:t>innebär att an</w:t>
            </w:r>
            <w:r w:rsidR="00F82902">
              <w:softHyphen/>
            </w:r>
            <w:r>
              <w:t>ta</w:t>
            </w:r>
            <w:r w:rsidR="00F82902">
              <w:softHyphen/>
            </w:r>
            <w:r>
              <w:t>l</w:t>
            </w:r>
            <w:r w:rsidR="00F82902">
              <w:softHyphen/>
            </w:r>
            <w:r>
              <w:t xml:space="preserve">et domare utökas </w:t>
            </w:r>
            <w:r w:rsidR="00AC372C">
              <w:t>så</w:t>
            </w:r>
            <w:r>
              <w:t xml:space="preserve"> att</w:t>
            </w:r>
            <w:r w:rsidR="00AC372C">
              <w:t xml:space="preserve"> tri</w:t>
            </w:r>
            <w:r w:rsidR="00F82902">
              <w:softHyphen/>
            </w:r>
            <w:r w:rsidR="00AC372C">
              <w:t>b</w:t>
            </w:r>
            <w:r w:rsidR="00F82902">
              <w:softHyphen/>
            </w:r>
            <w:r w:rsidR="00AC372C">
              <w:t>u</w:t>
            </w:r>
            <w:r w:rsidR="00F82902">
              <w:softHyphen/>
            </w:r>
            <w:r w:rsidR="00AC372C">
              <w:t>nalen ska</w:t>
            </w:r>
            <w:r w:rsidRPr="00AB2093">
              <w:t xml:space="preserve"> klara av den öka</w:t>
            </w:r>
            <w:r w:rsidR="00F82902">
              <w:softHyphen/>
            </w:r>
            <w:r w:rsidR="00F82902">
              <w:softHyphen/>
            </w:r>
            <w:r w:rsidRPr="00AB2093">
              <w:t>nde arbetsbördan och ga</w:t>
            </w:r>
            <w:r w:rsidR="00F82902">
              <w:softHyphen/>
            </w:r>
            <w:r w:rsidRPr="00AB2093">
              <w:t>ra</w:t>
            </w:r>
            <w:r w:rsidR="00F82902">
              <w:softHyphen/>
            </w:r>
            <w:r w:rsidRPr="00AB2093">
              <w:t>ntera att rättsliga prövning</w:t>
            </w:r>
            <w:r w:rsidR="00F82902">
              <w:softHyphen/>
            </w:r>
            <w:r w:rsidRPr="00AB2093">
              <w:t>ar inom EU görs inom skälig tid.</w:t>
            </w:r>
            <w:r w:rsidR="00AC372C">
              <w:t xml:space="preserve"> Rådet godkände också att förhandlingar inleds om ett PNR-avtal mellan EU och Mexiko.</w:t>
            </w:r>
          </w:p>
        </w:tc>
      </w:tr>
      <w:tr w:rsidR="00FA1883" w:rsidRPr="00BD6CAD" w:rsidTr="0014597B">
        <w:tc>
          <w:tcPr>
            <w:tcW w:w="1413" w:type="dxa"/>
          </w:tcPr>
          <w:p w:rsidR="00FA1883" w:rsidRDefault="00FA1883" w:rsidP="0014597B">
            <w:r>
              <w:lastRenderedPageBreak/>
              <w:t>2015-09-04</w:t>
            </w:r>
          </w:p>
        </w:tc>
        <w:tc>
          <w:tcPr>
            <w:tcW w:w="1701" w:type="dxa"/>
          </w:tcPr>
          <w:p w:rsidR="00FA1883" w:rsidRPr="00AB2093" w:rsidRDefault="00FA1883" w:rsidP="0014597B">
            <w:r w:rsidRPr="00FA1883">
              <w:t>9951/15</w:t>
            </w:r>
          </w:p>
        </w:tc>
        <w:tc>
          <w:tcPr>
            <w:tcW w:w="3827" w:type="dxa"/>
          </w:tcPr>
          <w:p w:rsidR="00FA1883" w:rsidRDefault="00820362" w:rsidP="0014597B">
            <w:pPr>
              <w:rPr>
                <w:lang w:val="en-US"/>
              </w:rPr>
            </w:pPr>
            <w:hyperlink r:id="rId12" w:history="1">
              <w:r w:rsidR="00FA1883" w:rsidRPr="00FA1883">
                <w:rPr>
                  <w:rStyle w:val="Hyperlnk"/>
                  <w:lang w:val="en-US"/>
                </w:rPr>
                <w:t>OUTCOME OF THE COUNCIL MEETING 3396th Council meeting Justice and Home Affairs Luxembourg, 15 and 16 June 2015</w:t>
              </w:r>
            </w:hyperlink>
          </w:p>
        </w:tc>
        <w:tc>
          <w:tcPr>
            <w:tcW w:w="2829" w:type="dxa"/>
          </w:tcPr>
          <w:p w:rsidR="00FA1883" w:rsidRPr="00D14D48" w:rsidRDefault="00FA1883" w:rsidP="00AC372C">
            <w:pPr>
              <w:rPr>
                <w:lang w:val="en-US"/>
              </w:rPr>
            </w:pPr>
          </w:p>
        </w:tc>
      </w:tr>
      <w:tr w:rsidR="00D14D48" w:rsidRPr="00D14D48" w:rsidTr="0014597B">
        <w:tc>
          <w:tcPr>
            <w:tcW w:w="1413" w:type="dxa"/>
          </w:tcPr>
          <w:p w:rsidR="00D14D48" w:rsidRDefault="00D14D48" w:rsidP="0014597B">
            <w:r>
              <w:t>2015-09-07</w:t>
            </w:r>
          </w:p>
        </w:tc>
        <w:tc>
          <w:tcPr>
            <w:tcW w:w="1701" w:type="dxa"/>
          </w:tcPr>
          <w:p w:rsidR="00D14D48" w:rsidRPr="00FA1883" w:rsidRDefault="00D14D48" w:rsidP="0014597B">
            <w:r w:rsidRPr="00D14D48">
              <w:t>9385/15</w:t>
            </w:r>
          </w:p>
        </w:tc>
        <w:tc>
          <w:tcPr>
            <w:tcW w:w="3827" w:type="dxa"/>
          </w:tcPr>
          <w:p w:rsidR="00D14D48" w:rsidRPr="00D14D48" w:rsidRDefault="00820362" w:rsidP="0014597B">
            <w:pPr>
              <w:rPr>
                <w:lang w:val="en-US"/>
              </w:rPr>
            </w:pPr>
            <w:hyperlink r:id="rId13" w:history="1">
              <w:r w:rsidR="00D14D48" w:rsidRPr="00D14D48">
                <w:rPr>
                  <w:rStyle w:val="Hyperlnk"/>
                  <w:lang w:val="en-US"/>
                </w:rPr>
                <w:t>OUTCOME OF THE COUNCIL MEETING 3392nd Council meeting Competitiveness (Internal Market, Industry, Research and Space) Brussels, 28 and 29 May 2015</w:t>
              </w:r>
            </w:hyperlink>
          </w:p>
        </w:tc>
        <w:tc>
          <w:tcPr>
            <w:tcW w:w="2829" w:type="dxa"/>
          </w:tcPr>
          <w:p w:rsidR="00D14D48" w:rsidRPr="00D14D48" w:rsidRDefault="00D14D48" w:rsidP="00D14D48">
            <w:r>
              <w:t>Rådet noterade upplägget i utkastet till förnyat uttalande från EU och USA om att stärka det transatlantiska samarbetet inom området rättvisa, frihet och säkerhet. Rådet bemyndigade därtill ordförandeskapet att tillsammans med kommissionen fortsätta diskussionerna med USA om texten på denna basis, med sikte på att uttalandet ska kunna antas vid RIF-ministermötet mellan EU och USA i Riga den 2–3 juni 2015.</w:t>
            </w:r>
          </w:p>
        </w:tc>
      </w:tr>
      <w:tr w:rsidR="00492E12" w:rsidRPr="00D14D48" w:rsidTr="0014597B">
        <w:tc>
          <w:tcPr>
            <w:tcW w:w="1413" w:type="dxa"/>
          </w:tcPr>
          <w:p w:rsidR="00492E12" w:rsidRDefault="00492E12" w:rsidP="0014597B">
            <w:r>
              <w:t>2015-09-14</w:t>
            </w:r>
          </w:p>
        </w:tc>
        <w:tc>
          <w:tcPr>
            <w:tcW w:w="1701" w:type="dxa"/>
          </w:tcPr>
          <w:p w:rsidR="00492E12" w:rsidRPr="00D14D48" w:rsidRDefault="00492E12" w:rsidP="0014597B">
            <w:r w:rsidRPr="00492E12">
              <w:t>11848/15</w:t>
            </w:r>
          </w:p>
        </w:tc>
        <w:tc>
          <w:tcPr>
            <w:tcW w:w="3827" w:type="dxa"/>
          </w:tcPr>
          <w:p w:rsidR="00492E12" w:rsidRDefault="00820362" w:rsidP="0014597B">
            <w:hyperlink r:id="rId14" w:history="1">
              <w:r w:rsidR="00492E12" w:rsidRPr="00492E12">
                <w:rPr>
                  <w:rStyle w:val="Hyperlnk"/>
                </w:rPr>
                <w:t>PRELIMINÄR DAGORDNING 3407:e mötet i EUROPEISKA UNIONENS RÅD (allmänna frågor) 14 september 2015</w:t>
              </w:r>
            </w:hyperlink>
          </w:p>
        </w:tc>
        <w:tc>
          <w:tcPr>
            <w:tcW w:w="2829" w:type="dxa"/>
          </w:tcPr>
          <w:p w:rsidR="00492E12" w:rsidRDefault="00492E12" w:rsidP="00CD3B08">
            <w:r>
              <w:t>På dagordningen står bl.a. en presentation och diskussion om det</w:t>
            </w:r>
            <w:r w:rsidRPr="00492E12">
              <w:t xml:space="preserve"> luxemburgska ordförandeskapet</w:t>
            </w:r>
            <w:r>
              <w:t>s arbetsprogram</w:t>
            </w:r>
            <w:r w:rsidR="00CD3B08">
              <w:t>.</w:t>
            </w:r>
            <w:r>
              <w:t xml:space="preserve"> </w:t>
            </w:r>
            <w:r w:rsidR="00CD3B08">
              <w:t>E</w:t>
            </w:r>
            <w:r>
              <w:t xml:space="preserve">tt av </w:t>
            </w:r>
            <w:r w:rsidR="00CD3B08">
              <w:t xml:space="preserve">de </w:t>
            </w:r>
            <w:r>
              <w:t>prioriter</w:t>
            </w:r>
            <w:r w:rsidR="00CD3B08">
              <w:t xml:space="preserve">ade </w:t>
            </w:r>
            <w:r>
              <w:t>områdena är ”</w:t>
            </w:r>
            <w:r w:rsidRPr="00492E12">
              <w:t>Migration samt balans mellan rättsliga frågor och säkerhet</w:t>
            </w:r>
            <w:r>
              <w:t>”, där bl.a. k</w:t>
            </w:r>
            <w:r w:rsidRPr="00492E12">
              <w:t>ampen mot terrorism ges hög prioritet.</w:t>
            </w:r>
          </w:p>
        </w:tc>
      </w:tr>
    </w:tbl>
    <w:p w:rsidR="00EA4398"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6F36EA" w:rsidP="0014597B">
            <w:r>
              <w:t>2015-08-12</w:t>
            </w:r>
          </w:p>
        </w:tc>
        <w:tc>
          <w:tcPr>
            <w:tcW w:w="1701" w:type="dxa"/>
          </w:tcPr>
          <w:p w:rsidR="00EA4398" w:rsidRPr="009B0AD7" w:rsidRDefault="006F36EA" w:rsidP="0014597B">
            <w:pPr>
              <w:spacing w:after="0" w:line="240" w:lineRule="auto"/>
            </w:pPr>
            <w:r w:rsidRPr="006F36EA">
              <w:t>EU-domstolens förenade mål C-14/15 och C-116/15</w:t>
            </w:r>
          </w:p>
        </w:tc>
        <w:tc>
          <w:tcPr>
            <w:tcW w:w="3827" w:type="dxa"/>
          </w:tcPr>
          <w:p w:rsidR="00EA4398" w:rsidRPr="009B0AD7" w:rsidRDefault="00820362" w:rsidP="00EA4398">
            <w:hyperlink r:id="rId15" w:history="1">
              <w:r w:rsidR="006F36EA" w:rsidRPr="009C7AA7">
                <w:rPr>
                  <w:rStyle w:val="Hyperlnk"/>
                </w:rPr>
                <w:t>Interventionsinlaga i de förenade målen C-14/15 och C-116/15 vid EU-domstolen</w:t>
              </w:r>
            </w:hyperlink>
          </w:p>
        </w:tc>
        <w:tc>
          <w:tcPr>
            <w:tcW w:w="2829" w:type="dxa"/>
          </w:tcPr>
          <w:p w:rsidR="00EA4398" w:rsidRPr="009B0AD7" w:rsidRDefault="00D237E5" w:rsidP="00A1324F">
            <w:r>
              <w:t>Regeringen</w:t>
            </w:r>
            <w:r w:rsidR="00297DBA">
              <w:t xml:space="preserve"> har gjort en interventionsinlaga i ett mål där EP har yrkat på </w:t>
            </w:r>
            <w:r w:rsidR="00A1324F">
              <w:t xml:space="preserve">att fyra rådsbeslut ska </w:t>
            </w:r>
            <w:r w:rsidR="00297DBA">
              <w:t>ogiltigförklar</w:t>
            </w:r>
            <w:r w:rsidR="00A1324F">
              <w:t>as.</w:t>
            </w:r>
            <w:r w:rsidR="00297DBA">
              <w:t xml:space="preserve"> </w:t>
            </w:r>
            <w:r w:rsidR="00A1324F">
              <w:t>D</w:t>
            </w:r>
            <w:r w:rsidR="00297DBA">
              <w:t>els</w:t>
            </w:r>
            <w:r w:rsidR="00A1324F">
              <w:t xml:space="preserve"> gäller </w:t>
            </w:r>
            <w:r w:rsidR="00A1324F">
              <w:lastRenderedPageBreak/>
              <w:t>det</w:t>
            </w:r>
            <w:r w:rsidR="00297DBA">
              <w:t xml:space="preserve"> rådsbeslut om inledande av utbyte av uppgifter ur fordonsregister i Malta, Cypern respektive Estland och dels</w:t>
            </w:r>
            <w:r w:rsidR="00A1324F">
              <w:t xml:space="preserve"> gäller det</w:t>
            </w:r>
            <w:r w:rsidR="00297DBA">
              <w:t xml:space="preserve"> ett rådsbeslut om automatiskt utbyte av fingeravtrycksuppgifter i Lettland. Sverige</w:t>
            </w:r>
            <w:r w:rsidR="00A1324F">
              <w:t xml:space="preserve"> ger stöd för</w:t>
            </w:r>
            <w:r w:rsidR="00297DBA">
              <w:t xml:space="preserve"> rådets bestridande av EP:s talan och yrkande.</w:t>
            </w:r>
          </w:p>
        </w:tc>
      </w:tr>
      <w:tr w:rsidR="00EA4398" w:rsidRPr="00FD5DC2" w:rsidTr="0014597B">
        <w:tc>
          <w:tcPr>
            <w:tcW w:w="1413" w:type="dxa"/>
          </w:tcPr>
          <w:p w:rsidR="00EA4398" w:rsidRPr="009B0AD7" w:rsidRDefault="009C7AA7" w:rsidP="0014597B">
            <w:r>
              <w:lastRenderedPageBreak/>
              <w:t>2015-08-25</w:t>
            </w:r>
          </w:p>
        </w:tc>
        <w:tc>
          <w:tcPr>
            <w:tcW w:w="1701" w:type="dxa"/>
          </w:tcPr>
          <w:p w:rsidR="00EA4398" w:rsidRPr="009B0AD7" w:rsidRDefault="009C7AA7" w:rsidP="0014597B">
            <w:r w:rsidRPr="009C7AA7">
              <w:t>EU-domstolens mål C-203/15</w:t>
            </w:r>
          </w:p>
        </w:tc>
        <w:tc>
          <w:tcPr>
            <w:tcW w:w="3827" w:type="dxa"/>
          </w:tcPr>
          <w:p w:rsidR="00EA4398" w:rsidRPr="009B0AD7" w:rsidRDefault="00820362" w:rsidP="0014597B">
            <w:hyperlink r:id="rId16" w:history="1">
              <w:r w:rsidR="009C7AA7" w:rsidRPr="009C7AA7">
                <w:rPr>
                  <w:rStyle w:val="Hyperlnk"/>
                </w:rPr>
                <w:t>Skriftligt yttrande i mål C-203/15 vid EU-domstolen om Sveriges genomförande av datalagringsdirektivet</w:t>
              </w:r>
            </w:hyperlink>
          </w:p>
        </w:tc>
        <w:tc>
          <w:tcPr>
            <w:tcW w:w="2829" w:type="dxa"/>
          </w:tcPr>
          <w:p w:rsidR="00EA4398" w:rsidRPr="009B0AD7" w:rsidRDefault="00D237E5" w:rsidP="00416CAA">
            <w:r>
              <w:t xml:space="preserve">Regeringens </w:t>
            </w:r>
            <w:r w:rsidR="00416CAA">
              <w:t>har yttrat sig</w:t>
            </w:r>
            <w:r>
              <w:t xml:space="preserve"> i mål C-203/15</w:t>
            </w:r>
            <w:r w:rsidR="009C7AA7">
              <w:t xml:space="preserve"> Tele2 Sverige AB </w:t>
            </w:r>
            <w:r>
              <w:t>mot</w:t>
            </w:r>
            <w:r w:rsidR="009C7AA7">
              <w:t xml:space="preserve"> Post- och telestyrelsen</w:t>
            </w:r>
            <w:r>
              <w:t xml:space="preserve"> avseende </w:t>
            </w:r>
            <w:r w:rsidR="009C7AA7">
              <w:t>förhandsavgörande</w:t>
            </w:r>
            <w:r>
              <w:t xml:space="preserve"> enligt art. 267 FEUF.</w:t>
            </w:r>
          </w:p>
        </w:tc>
      </w:tr>
    </w:tbl>
    <w:p w:rsidR="00607323" w:rsidRDefault="00607323" w:rsidP="009B0AD7"/>
    <w:p w:rsidR="00BD6CAD" w:rsidRDefault="00BD6CAD" w:rsidP="00BD6CAD"/>
    <w:tbl>
      <w:tblPr>
        <w:tblStyle w:val="Tabellrutnt"/>
        <w:tblW w:w="0" w:type="auto"/>
        <w:tblLook w:val="04A0" w:firstRow="1" w:lastRow="0" w:firstColumn="1" w:lastColumn="0" w:noHBand="0" w:noVBand="1"/>
      </w:tblPr>
      <w:tblGrid>
        <w:gridCol w:w="3114"/>
        <w:gridCol w:w="6656"/>
      </w:tblGrid>
      <w:tr w:rsidR="00BD6CAD" w:rsidTr="001B299D">
        <w:tc>
          <w:tcPr>
            <w:tcW w:w="9770" w:type="dxa"/>
            <w:gridSpan w:val="2"/>
          </w:tcPr>
          <w:p w:rsidR="00BD6CAD" w:rsidRDefault="00BD6CAD" w:rsidP="001B299D">
            <w:pPr>
              <w:pStyle w:val="Rubrik2"/>
              <w:outlineLvl w:val="1"/>
            </w:pPr>
            <w:r w:rsidRPr="005670C5">
              <w:t xml:space="preserve">Dokument </w:t>
            </w:r>
            <w:r>
              <w:t>antagna av</w:t>
            </w:r>
            <w:r w:rsidRPr="005670C5">
              <w:t xml:space="preserve"> </w:t>
            </w:r>
            <w:r>
              <w:t>Europaparlamentet</w:t>
            </w:r>
          </w:p>
        </w:tc>
      </w:tr>
      <w:tr w:rsidR="00BD6CAD" w:rsidTr="001B299D">
        <w:trPr>
          <w:cantSplit/>
          <w:trHeight w:val="199"/>
        </w:trPr>
        <w:tc>
          <w:tcPr>
            <w:tcW w:w="3114" w:type="dxa"/>
            <w:shd w:val="clear" w:color="auto" w:fill="D5DCE4" w:themeFill="text2" w:themeFillTint="33"/>
            <w:vAlign w:val="center"/>
          </w:tcPr>
          <w:p w:rsidR="00BD6CAD" w:rsidRPr="009B0AD7" w:rsidRDefault="00BD6CAD" w:rsidP="001B299D">
            <w:pPr>
              <w:rPr>
                <w:b/>
              </w:rPr>
            </w:pPr>
            <w:r w:rsidRPr="009B0AD7">
              <w:rPr>
                <w:b/>
              </w:rPr>
              <w:t>Rubrik (med länk till Lemur)</w:t>
            </w:r>
          </w:p>
        </w:tc>
        <w:tc>
          <w:tcPr>
            <w:tcW w:w="6656" w:type="dxa"/>
            <w:shd w:val="clear" w:color="auto" w:fill="D5DCE4" w:themeFill="text2" w:themeFillTint="33"/>
            <w:vAlign w:val="center"/>
          </w:tcPr>
          <w:p w:rsidR="00BD6CAD" w:rsidRPr="009B0AD7" w:rsidRDefault="00BD6CAD" w:rsidP="001B299D">
            <w:pPr>
              <w:rPr>
                <w:b/>
              </w:rPr>
            </w:pPr>
            <w:r>
              <w:rPr>
                <w:b/>
              </w:rPr>
              <w:t>Antagen text</w:t>
            </w:r>
            <w:bookmarkStart w:id="0" w:name="_GoBack"/>
            <w:bookmarkEnd w:id="0"/>
            <w:r>
              <w:rPr>
                <w:b/>
              </w:rPr>
              <w:t xml:space="preserve"> som berör JuU (länk till EP:s webbplats)</w:t>
            </w:r>
          </w:p>
        </w:tc>
      </w:tr>
      <w:tr w:rsidR="00BD6CAD" w:rsidRPr="00FD5DC2" w:rsidTr="001B299D">
        <w:tc>
          <w:tcPr>
            <w:tcW w:w="3114" w:type="dxa"/>
          </w:tcPr>
          <w:p w:rsidR="00BD6CAD" w:rsidRPr="009B0AD7" w:rsidRDefault="00BD6CAD" w:rsidP="001B299D">
            <w:r w:rsidRPr="00BD6CAD">
              <w:t>Dokument antagna av Europaparlamentet 6-9 juli 2015</w:t>
            </w:r>
          </w:p>
        </w:tc>
        <w:tc>
          <w:tcPr>
            <w:tcW w:w="6656" w:type="dxa"/>
          </w:tcPr>
          <w:p w:rsidR="00BD6CAD" w:rsidRPr="009B0AD7" w:rsidRDefault="00BD6CAD" w:rsidP="00BD6CAD">
            <w:pPr>
              <w:pStyle w:val="Liststycke"/>
              <w:numPr>
                <w:ilvl w:val="0"/>
                <w:numId w:val="21"/>
              </w:numPr>
            </w:pPr>
            <w:hyperlink r:id="rId17" w:history="1">
              <w:r w:rsidRPr="00BD6CAD">
                <w:rPr>
                  <w:rStyle w:val="Hyperlnk"/>
                </w:rPr>
                <w:t>Europaparlamentets resolution av den 9 juli 2015 om den europeiska säkerhetsagendan</w:t>
              </w:r>
            </w:hyperlink>
          </w:p>
        </w:tc>
      </w:tr>
    </w:tbl>
    <w:p w:rsidR="00BD6CAD" w:rsidRDefault="00BD6CAD" w:rsidP="00BD6CAD"/>
    <w:p w:rsidR="00BD6CAD" w:rsidRDefault="00BD6CAD" w:rsidP="009B0AD7"/>
    <w:sectPr w:rsidR="00BD6CAD" w:rsidSect="009B0AD7">
      <w:headerReference w:type="default" r:id="rId18"/>
      <w:footerReference w:type="default" r:id="rId19"/>
      <w:headerReference w:type="first" r:id="rId20"/>
      <w:footerReference w:type="first" r:id="rId21"/>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 xml:space="preserve">SVERIGES </w:t>
          </w:r>
          <w:proofErr w:type="gramStart"/>
          <w:r w:rsidRPr="008F0F02">
            <w:rPr>
              <w:rFonts w:ascii="GillSans Pro for Riksdagen Lt" w:hAnsi="GillSans Pro for Riksdagen Lt"/>
              <w:spacing w:val="12"/>
              <w:sz w:val="18"/>
              <w:szCs w:val="18"/>
            </w:rPr>
            <w:t>RIKSDAG</w:t>
          </w:r>
          <w:r w:rsidRPr="008F0F02">
            <w:rPr>
              <w:rFonts w:ascii="GillSans Pro for Riksdagen Lt" w:hAnsi="GillSans Pro for Riksdagen Lt"/>
              <w:sz w:val="18"/>
              <w:szCs w:val="18"/>
            </w:rPr>
            <w:t xml:space="preserve">  100</w:t>
          </w:r>
          <w:proofErr w:type="gramEnd"/>
          <w:r w:rsidRPr="008F0F02">
            <w:rPr>
              <w:rFonts w:ascii="GillSans Pro for Riksdagen Lt" w:hAnsi="GillSans Pro for Riksdagen Lt"/>
              <w:sz w:val="18"/>
              <w:szCs w:val="18"/>
            </w:rPr>
            <w:t xml:space="preserve">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820362">
      <w:rPr>
        <w:rStyle w:val="Sidnummer"/>
        <w:noProof/>
      </w:rPr>
      <w:t>3</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820362">
      <w:rPr>
        <w:rStyle w:val="Sidnummer"/>
        <w:noProof/>
      </w:rPr>
      <w:t>3</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820362">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820362">
      <w:rPr>
        <w:rStyle w:val="Sidnummer"/>
        <w:noProof/>
      </w:rPr>
      <w:t>3</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BD6CAD"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26.3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0B6A"/>
    <w:rsid w:val="00112E6B"/>
    <w:rsid w:val="00120F5D"/>
    <w:rsid w:val="00122859"/>
    <w:rsid w:val="00130181"/>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E2A76"/>
    <w:rsid w:val="001F4AF3"/>
    <w:rsid w:val="001F5A6C"/>
    <w:rsid w:val="00210CF6"/>
    <w:rsid w:val="00213E65"/>
    <w:rsid w:val="00221257"/>
    <w:rsid w:val="002263CE"/>
    <w:rsid w:val="002451C3"/>
    <w:rsid w:val="00253092"/>
    <w:rsid w:val="00254B93"/>
    <w:rsid w:val="00257937"/>
    <w:rsid w:val="00277D4B"/>
    <w:rsid w:val="002823FB"/>
    <w:rsid w:val="002856EE"/>
    <w:rsid w:val="00291258"/>
    <w:rsid w:val="00293865"/>
    <w:rsid w:val="00297DBA"/>
    <w:rsid w:val="002A2DB3"/>
    <w:rsid w:val="002A344C"/>
    <w:rsid w:val="002B4EDE"/>
    <w:rsid w:val="002B4F43"/>
    <w:rsid w:val="002D2F13"/>
    <w:rsid w:val="002D63D1"/>
    <w:rsid w:val="002D6B02"/>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8684B"/>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6CAA"/>
    <w:rsid w:val="004170D9"/>
    <w:rsid w:val="00422861"/>
    <w:rsid w:val="00433FE4"/>
    <w:rsid w:val="00436FFF"/>
    <w:rsid w:val="004408BA"/>
    <w:rsid w:val="004415D9"/>
    <w:rsid w:val="00445B2C"/>
    <w:rsid w:val="00447CB3"/>
    <w:rsid w:val="00450BA2"/>
    <w:rsid w:val="00454C8A"/>
    <w:rsid w:val="00457AE1"/>
    <w:rsid w:val="004600C2"/>
    <w:rsid w:val="004633A8"/>
    <w:rsid w:val="004674FC"/>
    <w:rsid w:val="004728AD"/>
    <w:rsid w:val="004836E2"/>
    <w:rsid w:val="0048472E"/>
    <w:rsid w:val="00492E12"/>
    <w:rsid w:val="0049451E"/>
    <w:rsid w:val="00494C11"/>
    <w:rsid w:val="00494EEE"/>
    <w:rsid w:val="004A0FAA"/>
    <w:rsid w:val="004A3237"/>
    <w:rsid w:val="004A4562"/>
    <w:rsid w:val="004A73D4"/>
    <w:rsid w:val="004C2450"/>
    <w:rsid w:val="004E2B6D"/>
    <w:rsid w:val="004E3961"/>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6247"/>
    <w:rsid w:val="00591132"/>
    <w:rsid w:val="005929C7"/>
    <w:rsid w:val="00594058"/>
    <w:rsid w:val="00594245"/>
    <w:rsid w:val="00596F4D"/>
    <w:rsid w:val="005A40D1"/>
    <w:rsid w:val="005B4F14"/>
    <w:rsid w:val="005C17AE"/>
    <w:rsid w:val="005E5FD3"/>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36EA"/>
    <w:rsid w:val="006F6C65"/>
    <w:rsid w:val="0071190A"/>
    <w:rsid w:val="00713077"/>
    <w:rsid w:val="007200A8"/>
    <w:rsid w:val="00731D7A"/>
    <w:rsid w:val="00732AAE"/>
    <w:rsid w:val="007341BE"/>
    <w:rsid w:val="00737A35"/>
    <w:rsid w:val="00750FD7"/>
    <w:rsid w:val="007543E7"/>
    <w:rsid w:val="00757695"/>
    <w:rsid w:val="00766347"/>
    <w:rsid w:val="00772788"/>
    <w:rsid w:val="007A3700"/>
    <w:rsid w:val="007A3D56"/>
    <w:rsid w:val="007A447C"/>
    <w:rsid w:val="007A617E"/>
    <w:rsid w:val="007A6951"/>
    <w:rsid w:val="007D0471"/>
    <w:rsid w:val="007D4A2E"/>
    <w:rsid w:val="007E06AC"/>
    <w:rsid w:val="007E5BA3"/>
    <w:rsid w:val="007F2878"/>
    <w:rsid w:val="007F498A"/>
    <w:rsid w:val="007F63E0"/>
    <w:rsid w:val="00804702"/>
    <w:rsid w:val="008108E8"/>
    <w:rsid w:val="00820362"/>
    <w:rsid w:val="008236F3"/>
    <w:rsid w:val="00823BCE"/>
    <w:rsid w:val="00824FD1"/>
    <w:rsid w:val="008316A6"/>
    <w:rsid w:val="0083183D"/>
    <w:rsid w:val="0083504D"/>
    <w:rsid w:val="0084232C"/>
    <w:rsid w:val="00847D1B"/>
    <w:rsid w:val="0085313D"/>
    <w:rsid w:val="0085704F"/>
    <w:rsid w:val="0086199E"/>
    <w:rsid w:val="00866E6F"/>
    <w:rsid w:val="00880C83"/>
    <w:rsid w:val="008820A9"/>
    <w:rsid w:val="00885D71"/>
    <w:rsid w:val="00891EEA"/>
    <w:rsid w:val="00894B42"/>
    <w:rsid w:val="008A400F"/>
    <w:rsid w:val="008B1190"/>
    <w:rsid w:val="008B374B"/>
    <w:rsid w:val="008C626B"/>
    <w:rsid w:val="008C656B"/>
    <w:rsid w:val="008D0154"/>
    <w:rsid w:val="008D3524"/>
    <w:rsid w:val="008D3D36"/>
    <w:rsid w:val="008D771E"/>
    <w:rsid w:val="008E2FF8"/>
    <w:rsid w:val="008E4BA7"/>
    <w:rsid w:val="008E779B"/>
    <w:rsid w:val="008F3867"/>
    <w:rsid w:val="00900852"/>
    <w:rsid w:val="009121EC"/>
    <w:rsid w:val="0091695B"/>
    <w:rsid w:val="009212CA"/>
    <w:rsid w:val="00922AE6"/>
    <w:rsid w:val="00933FE2"/>
    <w:rsid w:val="00947FC3"/>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C7AA7"/>
    <w:rsid w:val="009E13D3"/>
    <w:rsid w:val="009E1EB2"/>
    <w:rsid w:val="009F0097"/>
    <w:rsid w:val="009F292C"/>
    <w:rsid w:val="00A00A12"/>
    <w:rsid w:val="00A05D01"/>
    <w:rsid w:val="00A07D21"/>
    <w:rsid w:val="00A1324F"/>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2093"/>
    <w:rsid w:val="00AB31C7"/>
    <w:rsid w:val="00AB34CA"/>
    <w:rsid w:val="00AB4EC7"/>
    <w:rsid w:val="00AC200B"/>
    <w:rsid w:val="00AC372C"/>
    <w:rsid w:val="00AD1458"/>
    <w:rsid w:val="00AD2E46"/>
    <w:rsid w:val="00AD33EB"/>
    <w:rsid w:val="00AE057B"/>
    <w:rsid w:val="00AE0823"/>
    <w:rsid w:val="00AE6438"/>
    <w:rsid w:val="00AE7C2E"/>
    <w:rsid w:val="00AF42EC"/>
    <w:rsid w:val="00AF7467"/>
    <w:rsid w:val="00B02A1B"/>
    <w:rsid w:val="00B14319"/>
    <w:rsid w:val="00B21270"/>
    <w:rsid w:val="00B2263F"/>
    <w:rsid w:val="00B27AF2"/>
    <w:rsid w:val="00B32F0E"/>
    <w:rsid w:val="00B47411"/>
    <w:rsid w:val="00B47570"/>
    <w:rsid w:val="00B53F5F"/>
    <w:rsid w:val="00B5535C"/>
    <w:rsid w:val="00B570FE"/>
    <w:rsid w:val="00B64187"/>
    <w:rsid w:val="00B6529F"/>
    <w:rsid w:val="00B731A2"/>
    <w:rsid w:val="00B73945"/>
    <w:rsid w:val="00B739E9"/>
    <w:rsid w:val="00B74F1A"/>
    <w:rsid w:val="00B81274"/>
    <w:rsid w:val="00B929BB"/>
    <w:rsid w:val="00B9561F"/>
    <w:rsid w:val="00B96F7E"/>
    <w:rsid w:val="00B972B9"/>
    <w:rsid w:val="00BB1108"/>
    <w:rsid w:val="00BB1B5A"/>
    <w:rsid w:val="00BB4AD8"/>
    <w:rsid w:val="00BC29B3"/>
    <w:rsid w:val="00BC3D77"/>
    <w:rsid w:val="00BC53CA"/>
    <w:rsid w:val="00BC59CF"/>
    <w:rsid w:val="00BD1DC1"/>
    <w:rsid w:val="00BD3EC9"/>
    <w:rsid w:val="00BD6CAD"/>
    <w:rsid w:val="00BD7AD5"/>
    <w:rsid w:val="00BE4C8D"/>
    <w:rsid w:val="00BF3B63"/>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C34"/>
    <w:rsid w:val="00CD3B08"/>
    <w:rsid w:val="00CD4436"/>
    <w:rsid w:val="00CD5008"/>
    <w:rsid w:val="00CF25D1"/>
    <w:rsid w:val="00CF4FB2"/>
    <w:rsid w:val="00D061B4"/>
    <w:rsid w:val="00D071B3"/>
    <w:rsid w:val="00D14D48"/>
    <w:rsid w:val="00D16FEF"/>
    <w:rsid w:val="00D17242"/>
    <w:rsid w:val="00D21168"/>
    <w:rsid w:val="00D237E5"/>
    <w:rsid w:val="00D26443"/>
    <w:rsid w:val="00D338F1"/>
    <w:rsid w:val="00D349DB"/>
    <w:rsid w:val="00D35C71"/>
    <w:rsid w:val="00D6129E"/>
    <w:rsid w:val="00D61EB4"/>
    <w:rsid w:val="00D719E8"/>
    <w:rsid w:val="00D71D04"/>
    <w:rsid w:val="00D72F04"/>
    <w:rsid w:val="00D751FA"/>
    <w:rsid w:val="00D82983"/>
    <w:rsid w:val="00D83539"/>
    <w:rsid w:val="00D95C6E"/>
    <w:rsid w:val="00D96322"/>
    <w:rsid w:val="00D96B30"/>
    <w:rsid w:val="00D97E4C"/>
    <w:rsid w:val="00DA1766"/>
    <w:rsid w:val="00DA24DA"/>
    <w:rsid w:val="00DA5E4D"/>
    <w:rsid w:val="00DA6ADF"/>
    <w:rsid w:val="00DA700A"/>
    <w:rsid w:val="00DB6288"/>
    <w:rsid w:val="00DB6706"/>
    <w:rsid w:val="00DB6BB9"/>
    <w:rsid w:val="00DB6F15"/>
    <w:rsid w:val="00DC2CA8"/>
    <w:rsid w:val="00DC3112"/>
    <w:rsid w:val="00DC6DDF"/>
    <w:rsid w:val="00DC7D42"/>
    <w:rsid w:val="00DD7585"/>
    <w:rsid w:val="00DF3849"/>
    <w:rsid w:val="00DF4698"/>
    <w:rsid w:val="00DF733A"/>
    <w:rsid w:val="00E04B59"/>
    <w:rsid w:val="00E0758F"/>
    <w:rsid w:val="00E160D7"/>
    <w:rsid w:val="00E2189B"/>
    <w:rsid w:val="00E25C89"/>
    <w:rsid w:val="00E4025E"/>
    <w:rsid w:val="00E4463E"/>
    <w:rsid w:val="00E46F77"/>
    <w:rsid w:val="00E4744C"/>
    <w:rsid w:val="00E513B5"/>
    <w:rsid w:val="00E600AF"/>
    <w:rsid w:val="00E60F64"/>
    <w:rsid w:val="00E62AA8"/>
    <w:rsid w:val="00E73A35"/>
    <w:rsid w:val="00E77818"/>
    <w:rsid w:val="00E87D00"/>
    <w:rsid w:val="00E9368D"/>
    <w:rsid w:val="00E94920"/>
    <w:rsid w:val="00EA2C9F"/>
    <w:rsid w:val="00EA4398"/>
    <w:rsid w:val="00EA5E1A"/>
    <w:rsid w:val="00EB33D0"/>
    <w:rsid w:val="00EB3912"/>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0DB4"/>
    <w:rsid w:val="00F41C41"/>
    <w:rsid w:val="00F43006"/>
    <w:rsid w:val="00F47293"/>
    <w:rsid w:val="00F479EC"/>
    <w:rsid w:val="00F62A04"/>
    <w:rsid w:val="00F647A7"/>
    <w:rsid w:val="00F7565A"/>
    <w:rsid w:val="00F763EA"/>
    <w:rsid w:val="00F77E2E"/>
    <w:rsid w:val="00F82902"/>
    <w:rsid w:val="00F90A4D"/>
    <w:rsid w:val="00F95EB8"/>
    <w:rsid w:val="00F97A5E"/>
    <w:rsid w:val="00FA0A1F"/>
    <w:rsid w:val="00FA0B29"/>
    <w:rsid w:val="00FA1883"/>
    <w:rsid w:val="00FA36FA"/>
    <w:rsid w:val="00FB4E76"/>
    <w:rsid w:val="00FB624E"/>
    <w:rsid w:val="00FB7014"/>
    <w:rsid w:val="00FD5DC2"/>
    <w:rsid w:val="00FD5E21"/>
    <w:rsid w:val="00FD7DB9"/>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1298" TargetMode="External"/><Relationship Id="rId13" Type="http://schemas.openxmlformats.org/officeDocument/2006/relationships/hyperlink" Target="http://lemur.riksdagen.se/Dokument/Visa.aspx?ID=2145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mur.riksdagen.se/Dokument/Visa.aspx?ID=21442" TargetMode="External"/><Relationship Id="rId17" Type="http://schemas.openxmlformats.org/officeDocument/2006/relationships/hyperlink" Target="http://www.europarl.europa.eu/sides/getDoc.do?pubRef=-//EP//TEXT+TA+P8-TA-2015-0269+0+DOC+XML+V0//SV&amp;language=SV" TargetMode="External"/><Relationship Id="rId2" Type="http://schemas.openxmlformats.org/officeDocument/2006/relationships/numbering" Target="numbering.xml"/><Relationship Id="rId16" Type="http://schemas.openxmlformats.org/officeDocument/2006/relationships/hyperlink" Target="http://lemur.riksdagen.se/Dokument/Visa.aspx?ID=214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1443" TargetMode="External"/><Relationship Id="rId5" Type="http://schemas.openxmlformats.org/officeDocument/2006/relationships/webSettings" Target="webSettings.xml"/><Relationship Id="rId15" Type="http://schemas.openxmlformats.org/officeDocument/2006/relationships/hyperlink" Target="http://lemur.riksdagen.se/Dokument/Visa.aspx?ID=21378" TargetMode="External"/><Relationship Id="rId23" Type="http://schemas.openxmlformats.org/officeDocument/2006/relationships/theme" Target="theme/theme1.xml"/><Relationship Id="rId10" Type="http://schemas.openxmlformats.org/officeDocument/2006/relationships/hyperlink" Target="http://lemur.riksdagen.se/Dokument/Visa.aspx?ID=213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mur.riksdagen.se/Dokument/Visa.aspx?ID=21346" TargetMode="External"/><Relationship Id="rId14" Type="http://schemas.openxmlformats.org/officeDocument/2006/relationships/hyperlink" Target="http://lemur.riksdagen.se/Dokument/Visa.aspx?ID=2146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1117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B356-3152-4252-AC81-F8194A2D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310</TotalTime>
  <Pages>3</Pages>
  <Words>573</Words>
  <Characters>4344</Characters>
  <Application>Microsoft Office Word</Application>
  <DocSecurity>0</DocSecurity>
  <Lines>543</Lines>
  <Paragraphs>223</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Tommy Forsell</cp:lastModifiedBy>
  <cp:revision>19</cp:revision>
  <cp:lastPrinted>2015-09-15T10:40:00Z</cp:lastPrinted>
  <dcterms:created xsi:type="dcterms:W3CDTF">2015-09-01T12:58:00Z</dcterms:created>
  <dcterms:modified xsi:type="dcterms:W3CDTF">2015-09-15T11:36:00Z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