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B5365D">
              <w:rPr>
                <w:b/>
                <w:szCs w:val="24"/>
              </w:rPr>
              <w:t>1</w:t>
            </w:r>
            <w:r w:rsidR="003E2EF3">
              <w:rPr>
                <w:b/>
                <w:szCs w:val="24"/>
              </w:rPr>
              <w:t>6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BE25E6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3E2EF3">
              <w:rPr>
                <w:szCs w:val="24"/>
              </w:rPr>
              <w:t>23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3E2EF3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1F1BB9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855AC6">
              <w:rPr>
                <w:szCs w:val="24"/>
              </w:rPr>
              <w:t>11.40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307165" w:rsidRPr="00BA38FB" w:rsidTr="000B5839">
        <w:trPr>
          <w:gridBefore w:val="1"/>
          <w:wBefore w:w="1275" w:type="dxa"/>
        </w:trPr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8A6A3A" w:rsidRDefault="00570CB6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7510F8">
              <w:rPr>
                <w:snapToGrid w:val="0"/>
                <w:szCs w:val="24"/>
              </w:rPr>
              <w:t xml:space="preserve">: </w:t>
            </w:r>
            <w:r w:rsidR="003E2EF3">
              <w:rPr>
                <w:snapToGrid w:val="0"/>
                <w:szCs w:val="24"/>
              </w:rPr>
              <w:t>Larry Söder (KD)</w:t>
            </w:r>
            <w:r w:rsidR="00FA15AF">
              <w:rPr>
                <w:snapToGrid w:val="0"/>
                <w:szCs w:val="24"/>
              </w:rPr>
              <w:t xml:space="preserve">, </w:t>
            </w:r>
            <w:r w:rsidRPr="00855AC6">
              <w:rPr>
                <w:snapToGrid w:val="0"/>
                <w:szCs w:val="24"/>
              </w:rPr>
              <w:t xml:space="preserve">Johan Löfstrand (S), </w:t>
            </w:r>
            <w:r w:rsidR="00E6630C" w:rsidRPr="00855AC6">
              <w:rPr>
                <w:snapToGrid w:val="0"/>
                <w:szCs w:val="24"/>
              </w:rPr>
              <w:t>Carl-Oskar Bohlin</w:t>
            </w:r>
            <w:r w:rsidRPr="00855AC6">
              <w:rPr>
                <w:snapToGrid w:val="0"/>
                <w:szCs w:val="24"/>
              </w:rPr>
              <w:t xml:space="preserve"> (M), Elin Lundgren (S), Cecilie Tenfjord Toftby (M), Mikael Eskilandersson (SD), Leif Nysmed (S), Ola Johansson (C), Momodou Malcolm Jallow (V), Lars Beckman (M), </w:t>
            </w:r>
            <w:r w:rsidR="003E2EF3" w:rsidRPr="00855AC6">
              <w:rPr>
                <w:snapToGrid w:val="0"/>
                <w:szCs w:val="24"/>
              </w:rPr>
              <w:t xml:space="preserve">Roger Hedlund (SD), </w:t>
            </w:r>
            <w:r w:rsidRPr="00855AC6">
              <w:rPr>
                <w:snapToGrid w:val="0"/>
                <w:szCs w:val="24"/>
              </w:rPr>
              <w:t xml:space="preserve">Joakim Järrebring (S), </w:t>
            </w:r>
            <w:r w:rsidR="008B3709" w:rsidRPr="00855AC6">
              <w:rPr>
                <w:snapToGrid w:val="0"/>
                <w:szCs w:val="24"/>
              </w:rPr>
              <w:t xml:space="preserve">Robert Hannah (L), </w:t>
            </w:r>
            <w:r w:rsidRPr="00855AC6">
              <w:rPr>
                <w:snapToGrid w:val="0"/>
                <w:szCs w:val="24"/>
              </w:rPr>
              <w:t>Angelica Lundberg (SD), David Josefsson (M), Ola Möller (S),</w:t>
            </w:r>
            <w:r w:rsidR="008A6A3A" w:rsidRPr="00855AC6">
              <w:rPr>
                <w:snapToGrid w:val="0"/>
                <w:szCs w:val="24"/>
              </w:rPr>
              <w:t xml:space="preserve"> </w:t>
            </w:r>
            <w:r w:rsidR="008B3709" w:rsidRPr="00855AC6">
              <w:rPr>
                <w:snapToGrid w:val="0"/>
                <w:szCs w:val="24"/>
              </w:rPr>
              <w:t>Catarina Deremar (C)</w:t>
            </w:r>
            <w:r w:rsidR="00855AC6">
              <w:rPr>
                <w:snapToGrid w:val="0"/>
                <w:szCs w:val="24"/>
              </w:rPr>
              <w:t xml:space="preserve"> och</w:t>
            </w:r>
            <w:r w:rsidR="008B3709" w:rsidRPr="00855AC6">
              <w:rPr>
                <w:snapToGrid w:val="0"/>
                <w:szCs w:val="24"/>
              </w:rPr>
              <w:t xml:space="preserve"> </w:t>
            </w:r>
            <w:r w:rsidR="008A6A3A" w:rsidRPr="00855AC6">
              <w:rPr>
                <w:snapToGrid w:val="0"/>
                <w:szCs w:val="24"/>
              </w:rPr>
              <w:t>Jon Thorbjörnson (V)</w:t>
            </w:r>
            <w:r w:rsidR="00855AC6">
              <w:rPr>
                <w:snapToGrid w:val="0"/>
                <w:szCs w:val="24"/>
              </w:rPr>
              <w:t>.</w:t>
            </w:r>
            <w:r w:rsidRPr="008A6A3A">
              <w:rPr>
                <w:snapToGrid w:val="0"/>
                <w:szCs w:val="24"/>
              </w:rPr>
              <w:t xml:space="preserve"> </w:t>
            </w:r>
          </w:p>
          <w:p w:rsidR="00FA15AF" w:rsidRDefault="00FA15AF" w:rsidP="009D2BC5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E6630C" w:rsidRDefault="00855AC6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55AC6">
              <w:rPr>
                <w:snapToGrid w:val="0"/>
                <w:szCs w:val="24"/>
              </w:rPr>
              <w:t>Tre</w:t>
            </w:r>
            <w:r w:rsidR="00E6630C" w:rsidRPr="00855AC6">
              <w:rPr>
                <w:snapToGrid w:val="0"/>
                <w:szCs w:val="24"/>
              </w:rPr>
              <w:t xml:space="preserve"> tjänstem</w:t>
            </w:r>
            <w:r w:rsidRPr="00855AC6">
              <w:rPr>
                <w:snapToGrid w:val="0"/>
                <w:szCs w:val="24"/>
              </w:rPr>
              <w:t>ä</w:t>
            </w:r>
            <w:r w:rsidR="00E6630C" w:rsidRPr="00855AC6">
              <w:rPr>
                <w:snapToGrid w:val="0"/>
                <w:szCs w:val="24"/>
              </w:rPr>
              <w:t>n</w:t>
            </w:r>
            <w:r w:rsidR="00E6630C">
              <w:rPr>
                <w:snapToGrid w:val="0"/>
                <w:szCs w:val="24"/>
              </w:rPr>
              <w:t xml:space="preserve"> från civilutskottets kansli var uppkopplad</w:t>
            </w:r>
            <w:r w:rsidR="00814737">
              <w:rPr>
                <w:snapToGrid w:val="0"/>
                <w:szCs w:val="24"/>
              </w:rPr>
              <w:t>e</w:t>
            </w:r>
            <w:r w:rsidR="0076145B">
              <w:rPr>
                <w:snapToGrid w:val="0"/>
                <w:szCs w:val="24"/>
              </w:rPr>
              <w:t xml:space="preserve"> </w:t>
            </w:r>
            <w:r w:rsidR="00E6630C">
              <w:rPr>
                <w:snapToGrid w:val="0"/>
                <w:szCs w:val="24"/>
              </w:rPr>
              <w:t xml:space="preserve">på distans. </w:t>
            </w:r>
          </w:p>
          <w:p w:rsidR="00937A42" w:rsidRPr="00BA38FB" w:rsidRDefault="00937A42" w:rsidP="00317AD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AE6E0B" w:rsidRPr="00BA38FB" w:rsidTr="000B5839">
        <w:trPr>
          <w:gridBefore w:val="1"/>
          <w:wBefore w:w="1275" w:type="dxa"/>
        </w:trPr>
        <w:tc>
          <w:tcPr>
            <w:tcW w:w="567" w:type="dxa"/>
          </w:tcPr>
          <w:p w:rsidR="00AE6E0B" w:rsidRDefault="00AE6E0B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C6E9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9D2BC5" w:rsidRDefault="009D2BC5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Utskottet justerade protokoll 2020/21:1</w:t>
            </w:r>
            <w:r w:rsidR="003E2EF3">
              <w:rPr>
                <w:snapToGrid w:val="0"/>
                <w:szCs w:val="24"/>
              </w:rPr>
              <w:t>5</w:t>
            </w:r>
            <w:r>
              <w:rPr>
                <w:snapToGrid w:val="0"/>
                <w:szCs w:val="24"/>
              </w:rPr>
              <w:t>.</w:t>
            </w:r>
          </w:p>
          <w:p w:rsidR="00AE6E0B" w:rsidRPr="009D2BC5" w:rsidRDefault="00AE6E0B" w:rsidP="009D2BC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B2A4D" w:rsidRPr="00BA38FB" w:rsidTr="000B5839">
        <w:trPr>
          <w:gridBefore w:val="1"/>
          <w:wBefore w:w="1275" w:type="dxa"/>
        </w:trPr>
        <w:tc>
          <w:tcPr>
            <w:tcW w:w="567" w:type="dxa"/>
          </w:tcPr>
          <w:p w:rsidR="00AB2A4D" w:rsidRDefault="00AB2A4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17AD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317AD2" w:rsidRDefault="003E2EF3" w:rsidP="003E2EF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från Finansdepartementet</w:t>
            </w:r>
            <w:r w:rsidR="002C6E95">
              <w:rPr>
                <w:b/>
                <w:bCs/>
                <w:szCs w:val="24"/>
              </w:rPr>
              <w:br/>
            </w:r>
            <w:r w:rsidR="00254D10">
              <w:rPr>
                <w:bCs/>
                <w:szCs w:val="24"/>
              </w:rPr>
              <w:t xml:space="preserve">Statssekreterare Elin Olsson med medarbetare informerade om remissutfallet för förslagen i departementspromemorian Genomförandet av MKB-direktivet i plan- och bygglagen </w:t>
            </w:r>
            <w:r w:rsidR="00254D10">
              <w:rPr>
                <w:bCs/>
                <w:sz w:val="22"/>
                <w:szCs w:val="24"/>
              </w:rPr>
              <w:t xml:space="preserve">(Ds </w:t>
            </w:r>
            <w:r w:rsidR="00254D10">
              <w:rPr>
                <w:bCs/>
                <w:szCs w:val="24"/>
              </w:rPr>
              <w:t xml:space="preserve">2020:19). Statssekreteraren med medarbetare deltog på distans. </w:t>
            </w:r>
          </w:p>
          <w:p w:rsidR="003E2EF3" w:rsidRPr="00370C65" w:rsidRDefault="003E2EF3" w:rsidP="003E2EF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E25E6" w:rsidRPr="00BA38FB" w:rsidTr="000B5839">
        <w:trPr>
          <w:gridBefore w:val="1"/>
          <w:wBefore w:w="1275" w:type="dxa"/>
        </w:trPr>
        <w:tc>
          <w:tcPr>
            <w:tcW w:w="567" w:type="dxa"/>
          </w:tcPr>
          <w:p w:rsidR="00BE25E6" w:rsidRDefault="00BE25E6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F2D2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BE25E6" w:rsidRDefault="003E2EF3" w:rsidP="00EC3AB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Bostadspolitik </w:t>
            </w:r>
            <w:r w:rsidR="00BE25E6">
              <w:rPr>
                <w:b/>
                <w:bCs/>
                <w:szCs w:val="24"/>
              </w:rPr>
              <w:t>(CU</w:t>
            </w:r>
            <w:r>
              <w:rPr>
                <w:b/>
                <w:bCs/>
                <w:szCs w:val="24"/>
              </w:rPr>
              <w:t>9</w:t>
            </w:r>
            <w:r w:rsidR="00BE25E6">
              <w:rPr>
                <w:b/>
                <w:bCs/>
                <w:szCs w:val="24"/>
              </w:rPr>
              <w:t>)</w:t>
            </w:r>
          </w:p>
          <w:p w:rsidR="00BE25E6" w:rsidRDefault="00BE25E6" w:rsidP="00EC3AB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E25E6" w:rsidRDefault="00BE25E6" w:rsidP="00BE25E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80A20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behandlingen </w:t>
            </w:r>
            <w:r w:rsidR="006010F3">
              <w:rPr>
                <w:bCs/>
                <w:szCs w:val="24"/>
              </w:rPr>
              <w:t xml:space="preserve">av </w:t>
            </w:r>
            <w:r>
              <w:rPr>
                <w:bCs/>
                <w:szCs w:val="24"/>
              </w:rPr>
              <w:t>motioner.</w:t>
            </w:r>
            <w:r>
              <w:rPr>
                <w:bCs/>
                <w:szCs w:val="24"/>
              </w:rPr>
              <w:br/>
            </w:r>
          </w:p>
          <w:p w:rsidR="00BE25E6" w:rsidRPr="00317AD2" w:rsidRDefault="00317AD2" w:rsidP="00EC3AB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17AD2">
              <w:rPr>
                <w:bCs/>
                <w:szCs w:val="24"/>
              </w:rPr>
              <w:t>Ärendet bordlades.</w:t>
            </w:r>
          </w:p>
          <w:p w:rsidR="00BE25E6" w:rsidRPr="00BE25E6" w:rsidRDefault="00BE25E6" w:rsidP="00EC3AB3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3E2EF3" w:rsidRPr="00BA38FB" w:rsidTr="000B5839">
        <w:trPr>
          <w:gridBefore w:val="1"/>
          <w:wBefore w:w="1275" w:type="dxa"/>
        </w:trPr>
        <w:tc>
          <w:tcPr>
            <w:tcW w:w="567" w:type="dxa"/>
          </w:tcPr>
          <w:p w:rsidR="003E2EF3" w:rsidRDefault="003E2EF3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3E2EF3" w:rsidRDefault="003E2EF3" w:rsidP="00EC3AB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Fastighetsrätt (CU11)</w:t>
            </w:r>
          </w:p>
          <w:p w:rsidR="003E2EF3" w:rsidRDefault="003E2EF3" w:rsidP="00EC3AB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3E2EF3" w:rsidRDefault="003E2EF3" w:rsidP="003E2EF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80A20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fortsatte behandlingen av motioner.</w:t>
            </w:r>
            <w:r>
              <w:rPr>
                <w:bCs/>
                <w:szCs w:val="24"/>
              </w:rPr>
              <w:br/>
            </w:r>
          </w:p>
          <w:p w:rsidR="003E2EF3" w:rsidRPr="00317AD2" w:rsidRDefault="003E2EF3" w:rsidP="003E2EF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17AD2">
              <w:rPr>
                <w:bCs/>
                <w:szCs w:val="24"/>
              </w:rPr>
              <w:t>Ärendet bordlades.</w:t>
            </w:r>
          </w:p>
          <w:p w:rsidR="003E2EF3" w:rsidRDefault="003E2EF3" w:rsidP="00EC3AB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F43BE" w:rsidRPr="00BA38FB" w:rsidTr="000B5839">
        <w:trPr>
          <w:gridBefore w:val="1"/>
          <w:wBefore w:w="1275" w:type="dxa"/>
        </w:trPr>
        <w:tc>
          <w:tcPr>
            <w:tcW w:w="567" w:type="dxa"/>
          </w:tcPr>
          <w:p w:rsidR="002F43BE" w:rsidRDefault="002F43BE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E2EF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4210F0" w:rsidRDefault="004210F0" w:rsidP="004210F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Överlämnande av motion</w:t>
            </w:r>
          </w:p>
          <w:p w:rsidR="004210F0" w:rsidRDefault="004210F0" w:rsidP="004210F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4210F0" w:rsidRDefault="004210F0" w:rsidP="004210F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överlämnade motion 2020/21:</w:t>
            </w:r>
            <w:r w:rsidR="003E2EF3">
              <w:rPr>
                <w:bCs/>
                <w:szCs w:val="24"/>
              </w:rPr>
              <w:t>3427</w:t>
            </w:r>
            <w:r>
              <w:rPr>
                <w:bCs/>
                <w:szCs w:val="24"/>
              </w:rPr>
              <w:t xml:space="preserve"> av </w:t>
            </w:r>
            <w:r w:rsidR="003E2EF3">
              <w:rPr>
                <w:bCs/>
                <w:szCs w:val="24"/>
              </w:rPr>
              <w:t xml:space="preserve">Johan Pehrson m.fl. </w:t>
            </w:r>
            <w:r>
              <w:rPr>
                <w:bCs/>
                <w:szCs w:val="24"/>
              </w:rPr>
              <w:t>(</w:t>
            </w:r>
            <w:r w:rsidR="003E2EF3">
              <w:rPr>
                <w:bCs/>
                <w:szCs w:val="24"/>
              </w:rPr>
              <w:t>L</w:t>
            </w:r>
            <w:r>
              <w:rPr>
                <w:bCs/>
                <w:szCs w:val="24"/>
              </w:rPr>
              <w:t xml:space="preserve">) yrkande </w:t>
            </w:r>
            <w:r w:rsidR="003E2EF3">
              <w:rPr>
                <w:bCs/>
                <w:szCs w:val="24"/>
              </w:rPr>
              <w:t>14 och 15</w:t>
            </w:r>
            <w:r>
              <w:rPr>
                <w:bCs/>
                <w:szCs w:val="24"/>
              </w:rPr>
              <w:t xml:space="preserve"> till s</w:t>
            </w:r>
            <w:r w:rsidR="003E2EF3">
              <w:rPr>
                <w:bCs/>
                <w:szCs w:val="24"/>
              </w:rPr>
              <w:t>ocial</w:t>
            </w:r>
            <w:r>
              <w:rPr>
                <w:bCs/>
                <w:szCs w:val="24"/>
              </w:rPr>
              <w:t xml:space="preserve">utskottet under förutsättning att det mottagande utskottet tar emot </w:t>
            </w:r>
            <w:r w:rsidR="00254D10">
              <w:rPr>
                <w:bCs/>
                <w:szCs w:val="24"/>
              </w:rPr>
              <w:t>yrkandena</w:t>
            </w:r>
            <w:r>
              <w:rPr>
                <w:bCs/>
                <w:szCs w:val="24"/>
              </w:rPr>
              <w:t>.</w:t>
            </w:r>
          </w:p>
          <w:p w:rsidR="004210F0" w:rsidRDefault="004210F0" w:rsidP="004210F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210F0" w:rsidRDefault="004210F0" w:rsidP="004210F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2F43BE" w:rsidRDefault="002F43BE" w:rsidP="00EC3AB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16C3F" w:rsidRPr="00BA38FB" w:rsidTr="000B5839">
        <w:trPr>
          <w:gridBefore w:val="1"/>
          <w:wBefore w:w="1275" w:type="dxa"/>
        </w:trPr>
        <w:tc>
          <w:tcPr>
            <w:tcW w:w="567" w:type="dxa"/>
          </w:tcPr>
          <w:p w:rsidR="00216C3F" w:rsidRDefault="00216C3F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8109F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78109F" w:rsidRDefault="0078109F" w:rsidP="0078109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Överlämnande av motion</w:t>
            </w:r>
          </w:p>
          <w:p w:rsidR="00A12396" w:rsidRDefault="00A12396" w:rsidP="004210F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78109F" w:rsidRDefault="0078109F" w:rsidP="0078109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överlämnade motion 2020/21:1869 av Viktor Wärnick och John Weinerhall (båda M) till miljö- och jordbruksutskottet under förutsättning att det mottagande utskottet tar emot motionen.</w:t>
            </w:r>
          </w:p>
          <w:p w:rsidR="0078109F" w:rsidRDefault="0078109F" w:rsidP="0078109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8109F" w:rsidRDefault="0078109F" w:rsidP="0078109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4533B6" w:rsidRPr="003A3CE5" w:rsidRDefault="004533B6" w:rsidP="003A3CE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4533B6" w:rsidRPr="00BA38FB" w:rsidTr="000B5839">
        <w:trPr>
          <w:gridBefore w:val="1"/>
          <w:wBefore w:w="1275" w:type="dxa"/>
        </w:trPr>
        <w:tc>
          <w:tcPr>
            <w:tcW w:w="567" w:type="dxa"/>
          </w:tcPr>
          <w:p w:rsidR="004533B6" w:rsidRDefault="004533B6" w:rsidP="004533B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109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4533B6" w:rsidRDefault="004533B6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4533B6" w:rsidRDefault="004533B6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4533B6" w:rsidRDefault="00254D10" w:rsidP="004533B6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Två inkomna </w:t>
            </w:r>
            <w:r w:rsidR="004533B6">
              <w:rPr>
                <w:bCs/>
                <w:szCs w:val="24"/>
              </w:rPr>
              <w:t>skrivelse</w:t>
            </w:r>
            <w:r>
              <w:rPr>
                <w:bCs/>
                <w:szCs w:val="24"/>
              </w:rPr>
              <w:t>r</w:t>
            </w:r>
            <w:r w:rsidR="004533B6">
              <w:rPr>
                <w:bCs/>
                <w:szCs w:val="24"/>
              </w:rPr>
              <w:t xml:space="preserve"> anmäldes</w:t>
            </w:r>
            <w:r w:rsidR="0078109F">
              <w:rPr>
                <w:bCs/>
                <w:szCs w:val="24"/>
              </w:rPr>
              <w:t xml:space="preserve"> enligt förteckning.</w:t>
            </w:r>
          </w:p>
          <w:p w:rsidR="004533B6" w:rsidRDefault="004533B6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533B6" w:rsidRPr="00BA38FB" w:rsidTr="000B5839">
        <w:trPr>
          <w:gridBefore w:val="1"/>
          <w:wBefore w:w="1275" w:type="dxa"/>
        </w:trPr>
        <w:tc>
          <w:tcPr>
            <w:tcW w:w="567" w:type="dxa"/>
          </w:tcPr>
          <w:p w:rsidR="004533B6" w:rsidRDefault="004533B6" w:rsidP="004533B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109F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4533B6" w:rsidRDefault="004533B6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533B6" w:rsidRDefault="004533B6" w:rsidP="004533B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533B6" w:rsidRDefault="004533B6" w:rsidP="004533B6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</w:t>
            </w:r>
            <w:r w:rsidRPr="00BE0F14">
              <w:rPr>
                <w:bCs/>
                <w:szCs w:val="24"/>
              </w:rPr>
              <w:t>den 2</w:t>
            </w:r>
            <w:r w:rsidR="0078109F">
              <w:rPr>
                <w:bCs/>
                <w:szCs w:val="24"/>
              </w:rPr>
              <w:t>5</w:t>
            </w:r>
            <w:r w:rsidRPr="00BE0F14">
              <w:rPr>
                <w:bCs/>
                <w:szCs w:val="24"/>
              </w:rPr>
              <w:t xml:space="preserve"> februari</w:t>
            </w:r>
            <w:r>
              <w:rPr>
                <w:bCs/>
                <w:szCs w:val="24"/>
              </w:rPr>
              <w:t xml:space="preserve"> 2021 kl. </w:t>
            </w:r>
            <w:r w:rsidR="0078109F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.</w:t>
            </w:r>
            <w:r w:rsidR="0078109F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0.</w:t>
            </w:r>
          </w:p>
          <w:p w:rsidR="004533B6" w:rsidRPr="0003001F" w:rsidRDefault="004533B6" w:rsidP="004533B6">
            <w:pPr>
              <w:rPr>
                <w:bCs/>
                <w:szCs w:val="24"/>
              </w:rPr>
            </w:pPr>
          </w:p>
        </w:tc>
      </w:tr>
      <w:tr w:rsidR="00745FE9" w:rsidRPr="00BA38FB" w:rsidTr="000B5839">
        <w:tc>
          <w:tcPr>
            <w:tcW w:w="8789" w:type="dxa"/>
            <w:gridSpan w:val="3"/>
          </w:tcPr>
          <w:p w:rsidR="000D35E7" w:rsidRDefault="000D35E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BB0E48" w:rsidRPr="00BB0E48">
              <w:rPr>
                <w:szCs w:val="24"/>
              </w:rPr>
              <w:t>2</w:t>
            </w:r>
            <w:r w:rsidR="0078109F">
              <w:rPr>
                <w:szCs w:val="24"/>
              </w:rPr>
              <w:t>5</w:t>
            </w:r>
            <w:r w:rsidR="003F4DA5" w:rsidRPr="00BB0E48">
              <w:rPr>
                <w:szCs w:val="24"/>
              </w:rPr>
              <w:t xml:space="preserve"> f</w:t>
            </w:r>
            <w:r w:rsidR="003F4DA5">
              <w:rPr>
                <w:szCs w:val="24"/>
              </w:rPr>
              <w:t>ebruari</w:t>
            </w:r>
            <w:r>
              <w:rPr>
                <w:szCs w:val="24"/>
              </w:rPr>
              <w:t xml:space="preserve"> 20</w:t>
            </w:r>
            <w:r w:rsidR="001517DC">
              <w:rPr>
                <w:szCs w:val="24"/>
              </w:rPr>
              <w:t>2</w:t>
            </w:r>
            <w:r w:rsidR="00FC5B1B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6113BC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B4635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2020/21:1</w:t>
            </w:r>
            <w:r w:rsidR="00CB54BA">
              <w:rPr>
                <w:sz w:val="22"/>
                <w:szCs w:val="22"/>
              </w:rPr>
              <w:t>6</w:t>
            </w:r>
          </w:p>
        </w:tc>
      </w:tr>
      <w:tr w:rsidR="006F4977" w:rsidTr="00B4635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0F1E">
              <w:rPr>
                <w:sz w:val="20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855AC6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0F1E">
              <w:rPr>
                <w:sz w:val="20"/>
              </w:rPr>
              <w:t xml:space="preserve">§ </w:t>
            </w:r>
            <w:r w:rsidR="00DB0A08">
              <w:rPr>
                <w:sz w:val="20"/>
              </w:rPr>
              <w:t>3</w:t>
            </w:r>
            <w:r w:rsidRPr="008C0F1E">
              <w:rPr>
                <w:sz w:val="20"/>
              </w:rPr>
              <w:t>–</w:t>
            </w:r>
            <w:r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55AC6" w:rsidTr="00CB54B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P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55AC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DA3B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DB0A08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DB0A08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DB0A08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DB1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DB0A08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DB0A08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AC6" w:rsidRDefault="00855AC6" w:rsidP="00855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Anne-Li Sjölund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5AC6" w:rsidTr="00B4635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855AC6" w:rsidTr="00B4635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55AC6" w:rsidRDefault="00855AC6" w:rsidP="00855A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B46353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7A3" w:rsidRDefault="006337A3" w:rsidP="00AD6647">
      <w:r>
        <w:separator/>
      </w:r>
    </w:p>
  </w:endnote>
  <w:endnote w:type="continuationSeparator" w:id="0">
    <w:p w:rsidR="006337A3" w:rsidRDefault="006337A3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7A3" w:rsidRDefault="006337A3" w:rsidP="00AD6647">
      <w:r>
        <w:separator/>
      </w:r>
    </w:p>
  </w:footnote>
  <w:footnote w:type="continuationSeparator" w:id="0">
    <w:p w:rsidR="006337A3" w:rsidRDefault="006337A3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1F"/>
    <w:rsid w:val="000211BD"/>
    <w:rsid w:val="00022B82"/>
    <w:rsid w:val="0003001F"/>
    <w:rsid w:val="0003470E"/>
    <w:rsid w:val="0004044D"/>
    <w:rsid w:val="000502BA"/>
    <w:rsid w:val="00051185"/>
    <w:rsid w:val="00054321"/>
    <w:rsid w:val="0005467D"/>
    <w:rsid w:val="00060181"/>
    <w:rsid w:val="00060329"/>
    <w:rsid w:val="000615E7"/>
    <w:rsid w:val="00065C96"/>
    <w:rsid w:val="000666DB"/>
    <w:rsid w:val="00080CCF"/>
    <w:rsid w:val="0008734D"/>
    <w:rsid w:val="000938AB"/>
    <w:rsid w:val="00094923"/>
    <w:rsid w:val="000A2920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1E7"/>
    <w:rsid w:val="000E74D7"/>
    <w:rsid w:val="000E78D9"/>
    <w:rsid w:val="000F07A1"/>
    <w:rsid w:val="000F0BBD"/>
    <w:rsid w:val="000F44F4"/>
    <w:rsid w:val="001038A6"/>
    <w:rsid w:val="001079DD"/>
    <w:rsid w:val="00113437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76834"/>
    <w:rsid w:val="00184907"/>
    <w:rsid w:val="0018499A"/>
    <w:rsid w:val="00194708"/>
    <w:rsid w:val="001952F3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6700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B55"/>
    <w:rsid w:val="002226B9"/>
    <w:rsid w:val="002230C1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54D1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6A4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7B8"/>
    <w:rsid w:val="002B495D"/>
    <w:rsid w:val="002C1AF4"/>
    <w:rsid w:val="002C6E95"/>
    <w:rsid w:val="002D1197"/>
    <w:rsid w:val="002D2AB5"/>
    <w:rsid w:val="002D7227"/>
    <w:rsid w:val="002E2017"/>
    <w:rsid w:val="002E60FE"/>
    <w:rsid w:val="002F1627"/>
    <w:rsid w:val="002F284C"/>
    <w:rsid w:val="002F33BF"/>
    <w:rsid w:val="002F43BE"/>
    <w:rsid w:val="00300054"/>
    <w:rsid w:val="00307165"/>
    <w:rsid w:val="00307355"/>
    <w:rsid w:val="00313774"/>
    <w:rsid w:val="00317AD2"/>
    <w:rsid w:val="00317F49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BD5"/>
    <w:rsid w:val="00370C65"/>
    <w:rsid w:val="00377F9C"/>
    <w:rsid w:val="00380D46"/>
    <w:rsid w:val="0038263B"/>
    <w:rsid w:val="0038651A"/>
    <w:rsid w:val="00386DD7"/>
    <w:rsid w:val="00387092"/>
    <w:rsid w:val="003908A8"/>
    <w:rsid w:val="003952A4"/>
    <w:rsid w:val="00395763"/>
    <w:rsid w:val="0039591D"/>
    <w:rsid w:val="0039683D"/>
    <w:rsid w:val="003A3CE5"/>
    <w:rsid w:val="003A48EB"/>
    <w:rsid w:val="003A5A30"/>
    <w:rsid w:val="003A5F33"/>
    <w:rsid w:val="003B7324"/>
    <w:rsid w:val="003B76DA"/>
    <w:rsid w:val="003C356F"/>
    <w:rsid w:val="003C7167"/>
    <w:rsid w:val="003D07F1"/>
    <w:rsid w:val="003D25DE"/>
    <w:rsid w:val="003E20D4"/>
    <w:rsid w:val="003E2EF3"/>
    <w:rsid w:val="003E6E48"/>
    <w:rsid w:val="003F2D2A"/>
    <w:rsid w:val="003F3EC5"/>
    <w:rsid w:val="003F41A0"/>
    <w:rsid w:val="003F4DA5"/>
    <w:rsid w:val="003F6DD5"/>
    <w:rsid w:val="004021CA"/>
    <w:rsid w:val="0040542E"/>
    <w:rsid w:val="004124C9"/>
    <w:rsid w:val="0041580F"/>
    <w:rsid w:val="0041727C"/>
    <w:rsid w:val="004210F0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33B6"/>
    <w:rsid w:val="00460857"/>
    <w:rsid w:val="00463804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A04F7"/>
    <w:rsid w:val="004B1E95"/>
    <w:rsid w:val="004B27B5"/>
    <w:rsid w:val="004B3E3A"/>
    <w:rsid w:val="004C0DA0"/>
    <w:rsid w:val="004C5D17"/>
    <w:rsid w:val="004C7878"/>
    <w:rsid w:val="004E05D5"/>
    <w:rsid w:val="004E24F9"/>
    <w:rsid w:val="004E25A8"/>
    <w:rsid w:val="004E2630"/>
    <w:rsid w:val="004E4DCC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3D16"/>
    <w:rsid w:val="005148DF"/>
    <w:rsid w:val="00514FA9"/>
    <w:rsid w:val="00522CD4"/>
    <w:rsid w:val="00526E06"/>
    <w:rsid w:val="00531477"/>
    <w:rsid w:val="00542726"/>
    <w:rsid w:val="00547B84"/>
    <w:rsid w:val="005522C5"/>
    <w:rsid w:val="00554C06"/>
    <w:rsid w:val="00555707"/>
    <w:rsid w:val="005626C5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10F3"/>
    <w:rsid w:val="00603322"/>
    <w:rsid w:val="00611378"/>
    <w:rsid w:val="006113BC"/>
    <w:rsid w:val="00615E83"/>
    <w:rsid w:val="00622B38"/>
    <w:rsid w:val="0062438A"/>
    <w:rsid w:val="00627A02"/>
    <w:rsid w:val="00631327"/>
    <w:rsid w:val="006337A3"/>
    <w:rsid w:val="00636DFA"/>
    <w:rsid w:val="00643F2C"/>
    <w:rsid w:val="00646C10"/>
    <w:rsid w:val="006614A8"/>
    <w:rsid w:val="00682EDC"/>
    <w:rsid w:val="0068476B"/>
    <w:rsid w:val="00687478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D0481"/>
    <w:rsid w:val="006D0665"/>
    <w:rsid w:val="006D0C64"/>
    <w:rsid w:val="006D3126"/>
    <w:rsid w:val="006D4093"/>
    <w:rsid w:val="006D44BF"/>
    <w:rsid w:val="006E5F7A"/>
    <w:rsid w:val="006F10CD"/>
    <w:rsid w:val="006F159A"/>
    <w:rsid w:val="006F4977"/>
    <w:rsid w:val="006F64E5"/>
    <w:rsid w:val="006F66E1"/>
    <w:rsid w:val="006F7C33"/>
    <w:rsid w:val="00701933"/>
    <w:rsid w:val="00712B0A"/>
    <w:rsid w:val="00722E42"/>
    <w:rsid w:val="00723D66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C44BA"/>
    <w:rsid w:val="007C610E"/>
    <w:rsid w:val="007D072F"/>
    <w:rsid w:val="007D250B"/>
    <w:rsid w:val="007D3439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4737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55AC6"/>
    <w:rsid w:val="00860E0F"/>
    <w:rsid w:val="008616CD"/>
    <w:rsid w:val="0086544C"/>
    <w:rsid w:val="008708C6"/>
    <w:rsid w:val="008732C7"/>
    <w:rsid w:val="00873BFE"/>
    <w:rsid w:val="00877630"/>
    <w:rsid w:val="00880CCA"/>
    <w:rsid w:val="00885DAE"/>
    <w:rsid w:val="008862F7"/>
    <w:rsid w:val="00890555"/>
    <w:rsid w:val="00892F17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D19"/>
    <w:rsid w:val="008D012F"/>
    <w:rsid w:val="008D2D4E"/>
    <w:rsid w:val="008D6F8F"/>
    <w:rsid w:val="008E14C5"/>
    <w:rsid w:val="008E1BC5"/>
    <w:rsid w:val="008E5B89"/>
    <w:rsid w:val="008E60BE"/>
    <w:rsid w:val="008F08E5"/>
    <w:rsid w:val="008F4D68"/>
    <w:rsid w:val="00902B8F"/>
    <w:rsid w:val="00902EB5"/>
    <w:rsid w:val="00903A9A"/>
    <w:rsid w:val="00906C2D"/>
    <w:rsid w:val="00907558"/>
    <w:rsid w:val="00911096"/>
    <w:rsid w:val="009152A2"/>
    <w:rsid w:val="00921232"/>
    <w:rsid w:val="00924427"/>
    <w:rsid w:val="00924436"/>
    <w:rsid w:val="00937A42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2800"/>
    <w:rsid w:val="0096348C"/>
    <w:rsid w:val="0096358D"/>
    <w:rsid w:val="00963A4D"/>
    <w:rsid w:val="00971890"/>
    <w:rsid w:val="00971D76"/>
    <w:rsid w:val="00973D8B"/>
    <w:rsid w:val="00976C1F"/>
    <w:rsid w:val="00982260"/>
    <w:rsid w:val="0098234B"/>
    <w:rsid w:val="00982BC2"/>
    <w:rsid w:val="00985298"/>
    <w:rsid w:val="00985875"/>
    <w:rsid w:val="00992CD4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E3284"/>
    <w:rsid w:val="009E3AC0"/>
    <w:rsid w:val="009E7759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4ED8"/>
    <w:rsid w:val="00A257C5"/>
    <w:rsid w:val="00A314AA"/>
    <w:rsid w:val="00A32B11"/>
    <w:rsid w:val="00A33C2F"/>
    <w:rsid w:val="00A33FE3"/>
    <w:rsid w:val="00A35092"/>
    <w:rsid w:val="00A401A5"/>
    <w:rsid w:val="00A5280C"/>
    <w:rsid w:val="00A54FD1"/>
    <w:rsid w:val="00A5656D"/>
    <w:rsid w:val="00A569CA"/>
    <w:rsid w:val="00A57E60"/>
    <w:rsid w:val="00A61290"/>
    <w:rsid w:val="00A61C93"/>
    <w:rsid w:val="00A61CBD"/>
    <w:rsid w:val="00A70EA8"/>
    <w:rsid w:val="00A73F6F"/>
    <w:rsid w:val="00A744C3"/>
    <w:rsid w:val="00A769F0"/>
    <w:rsid w:val="00A823F9"/>
    <w:rsid w:val="00A8525A"/>
    <w:rsid w:val="00A928A7"/>
    <w:rsid w:val="00A92DD1"/>
    <w:rsid w:val="00A94074"/>
    <w:rsid w:val="00AA3419"/>
    <w:rsid w:val="00AA3877"/>
    <w:rsid w:val="00AA3E8B"/>
    <w:rsid w:val="00AA41CE"/>
    <w:rsid w:val="00AB2A4D"/>
    <w:rsid w:val="00AB460B"/>
    <w:rsid w:val="00AB4858"/>
    <w:rsid w:val="00AD105F"/>
    <w:rsid w:val="00AD3F5C"/>
    <w:rsid w:val="00AD5FAD"/>
    <w:rsid w:val="00AD6647"/>
    <w:rsid w:val="00AD7E57"/>
    <w:rsid w:val="00AE39AD"/>
    <w:rsid w:val="00AE6609"/>
    <w:rsid w:val="00AE6E0B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6790"/>
    <w:rsid w:val="00B22051"/>
    <w:rsid w:val="00B24139"/>
    <w:rsid w:val="00B25235"/>
    <w:rsid w:val="00B27A57"/>
    <w:rsid w:val="00B327BA"/>
    <w:rsid w:val="00B32DC7"/>
    <w:rsid w:val="00B361CC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46B"/>
    <w:rsid w:val="00B9203B"/>
    <w:rsid w:val="00B96D33"/>
    <w:rsid w:val="00BA38FB"/>
    <w:rsid w:val="00BA596F"/>
    <w:rsid w:val="00BA7269"/>
    <w:rsid w:val="00BB0E48"/>
    <w:rsid w:val="00BB1303"/>
    <w:rsid w:val="00BB7105"/>
    <w:rsid w:val="00BB7E0D"/>
    <w:rsid w:val="00BC0110"/>
    <w:rsid w:val="00BC0668"/>
    <w:rsid w:val="00BC0EDA"/>
    <w:rsid w:val="00BD253C"/>
    <w:rsid w:val="00BD2A4C"/>
    <w:rsid w:val="00BD4382"/>
    <w:rsid w:val="00BD5D83"/>
    <w:rsid w:val="00BD7D25"/>
    <w:rsid w:val="00BE0F14"/>
    <w:rsid w:val="00BE21C4"/>
    <w:rsid w:val="00BE25E6"/>
    <w:rsid w:val="00BF768C"/>
    <w:rsid w:val="00C00CB4"/>
    <w:rsid w:val="00C014ED"/>
    <w:rsid w:val="00C03596"/>
    <w:rsid w:val="00C14520"/>
    <w:rsid w:val="00C210B3"/>
    <w:rsid w:val="00C249B2"/>
    <w:rsid w:val="00C26641"/>
    <w:rsid w:val="00C26E45"/>
    <w:rsid w:val="00C278AA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862CF"/>
    <w:rsid w:val="00C90C3B"/>
    <w:rsid w:val="00C917F3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E0016"/>
    <w:rsid w:val="00CE200F"/>
    <w:rsid w:val="00CF4563"/>
    <w:rsid w:val="00CF4611"/>
    <w:rsid w:val="00D00386"/>
    <w:rsid w:val="00D00DF1"/>
    <w:rsid w:val="00D03AC8"/>
    <w:rsid w:val="00D045C9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57C30"/>
    <w:rsid w:val="00D615B9"/>
    <w:rsid w:val="00D67DCA"/>
    <w:rsid w:val="00D711B5"/>
    <w:rsid w:val="00D75215"/>
    <w:rsid w:val="00D7770E"/>
    <w:rsid w:val="00D77805"/>
    <w:rsid w:val="00D80363"/>
    <w:rsid w:val="00D84C9E"/>
    <w:rsid w:val="00D8714B"/>
    <w:rsid w:val="00D94175"/>
    <w:rsid w:val="00DA066D"/>
    <w:rsid w:val="00DA3B2C"/>
    <w:rsid w:val="00DA462D"/>
    <w:rsid w:val="00DB0378"/>
    <w:rsid w:val="00DB0A08"/>
    <w:rsid w:val="00DB123A"/>
    <w:rsid w:val="00DB7C77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306CB"/>
    <w:rsid w:val="00E332DE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A65"/>
    <w:rsid w:val="00E74218"/>
    <w:rsid w:val="00E742EA"/>
    <w:rsid w:val="00E75C43"/>
    <w:rsid w:val="00E75CC6"/>
    <w:rsid w:val="00E761A2"/>
    <w:rsid w:val="00E776F8"/>
    <w:rsid w:val="00E83814"/>
    <w:rsid w:val="00E8555C"/>
    <w:rsid w:val="00E855B4"/>
    <w:rsid w:val="00E855C8"/>
    <w:rsid w:val="00E916EA"/>
    <w:rsid w:val="00E935B5"/>
    <w:rsid w:val="00E93D9B"/>
    <w:rsid w:val="00EA2288"/>
    <w:rsid w:val="00EB1AF4"/>
    <w:rsid w:val="00EC097B"/>
    <w:rsid w:val="00EC0ACE"/>
    <w:rsid w:val="00EC1B80"/>
    <w:rsid w:val="00EC3AB3"/>
    <w:rsid w:val="00ED11BF"/>
    <w:rsid w:val="00ED23A3"/>
    <w:rsid w:val="00ED2F65"/>
    <w:rsid w:val="00ED335D"/>
    <w:rsid w:val="00ED588F"/>
    <w:rsid w:val="00ED68C1"/>
    <w:rsid w:val="00EF09BA"/>
    <w:rsid w:val="00EF0EA5"/>
    <w:rsid w:val="00F03B32"/>
    <w:rsid w:val="00F05D79"/>
    <w:rsid w:val="00F100F1"/>
    <w:rsid w:val="00F12457"/>
    <w:rsid w:val="00F14195"/>
    <w:rsid w:val="00F21DEA"/>
    <w:rsid w:val="00F26A07"/>
    <w:rsid w:val="00F27916"/>
    <w:rsid w:val="00F27A44"/>
    <w:rsid w:val="00F27FB5"/>
    <w:rsid w:val="00F30E27"/>
    <w:rsid w:val="00F34838"/>
    <w:rsid w:val="00F45BFD"/>
    <w:rsid w:val="00F478AA"/>
    <w:rsid w:val="00F6283B"/>
    <w:rsid w:val="00F6675C"/>
    <w:rsid w:val="00F70E11"/>
    <w:rsid w:val="00F71787"/>
    <w:rsid w:val="00F7604D"/>
    <w:rsid w:val="00F8102A"/>
    <w:rsid w:val="00F8376C"/>
    <w:rsid w:val="00F8547D"/>
    <w:rsid w:val="00F90DE5"/>
    <w:rsid w:val="00F91659"/>
    <w:rsid w:val="00F91A34"/>
    <w:rsid w:val="00FA08AC"/>
    <w:rsid w:val="00FA0CAB"/>
    <w:rsid w:val="00FA15AF"/>
    <w:rsid w:val="00FA365F"/>
    <w:rsid w:val="00FA4169"/>
    <w:rsid w:val="00FA5106"/>
    <w:rsid w:val="00FB2A0F"/>
    <w:rsid w:val="00FC0925"/>
    <w:rsid w:val="00FC1C61"/>
    <w:rsid w:val="00FC247D"/>
    <w:rsid w:val="00FC4753"/>
    <w:rsid w:val="00FC5B1B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EE398-D200-49DF-A3C1-BCBA91A2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3444</Characters>
  <Application>Microsoft Office Word</Application>
  <DocSecurity>4</DocSecurity>
  <Lines>1148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2020-12-15T13:51:00Z</cp:lastPrinted>
  <dcterms:created xsi:type="dcterms:W3CDTF">2021-03-19T13:51:00Z</dcterms:created>
  <dcterms:modified xsi:type="dcterms:W3CDTF">2021-03-19T13:51:00Z</dcterms:modified>
</cp:coreProperties>
</file>