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884B9B" w:rsidRPr="00462BA4">
              <w:rPr>
                <w:b/>
                <w:szCs w:val="24"/>
              </w:rPr>
              <w:t>8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884B9B" w:rsidRPr="00462BA4">
              <w:rPr>
                <w:szCs w:val="24"/>
              </w:rPr>
              <w:t>1</w:t>
            </w:r>
            <w:r w:rsidR="00222310" w:rsidRPr="00462BA4">
              <w:rPr>
                <w:szCs w:val="24"/>
              </w:rPr>
              <w:t>-</w:t>
            </w:r>
            <w:r w:rsidR="00884B9B" w:rsidRPr="00462BA4">
              <w:rPr>
                <w:szCs w:val="24"/>
              </w:rPr>
              <w:t>07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A229DB" w:rsidRPr="00462BA4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F4DB8">
              <w:rPr>
                <w:szCs w:val="24"/>
              </w:rPr>
              <w:t>–</w:t>
            </w:r>
            <w:r w:rsidR="00BF4DB8" w:rsidRPr="00BF4DB8">
              <w:rPr>
                <w:szCs w:val="24"/>
              </w:rPr>
              <w:t>11</w:t>
            </w:r>
            <w:r w:rsidR="00A14E4B" w:rsidRPr="00BF4DB8">
              <w:rPr>
                <w:szCs w:val="24"/>
              </w:rPr>
              <w:t>.</w:t>
            </w:r>
            <w:r w:rsidR="00884B9B" w:rsidRPr="00BF4DB8">
              <w:rPr>
                <w:szCs w:val="24"/>
              </w:rPr>
              <w:t>0</w:t>
            </w:r>
            <w:r w:rsidR="00546A6D" w:rsidRPr="00BF4DB8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095D35" w:rsidRDefault="00095D35" w:rsidP="00D15874">
      <w:pPr>
        <w:tabs>
          <w:tab w:val="left" w:pos="1418"/>
        </w:tabs>
        <w:rPr>
          <w:snapToGrid w:val="0"/>
          <w:szCs w:val="24"/>
        </w:rPr>
      </w:pPr>
    </w:p>
    <w:p w:rsidR="002E74CD" w:rsidRDefault="002E74CD" w:rsidP="00D15874">
      <w:pPr>
        <w:tabs>
          <w:tab w:val="left" w:pos="1418"/>
        </w:tabs>
        <w:rPr>
          <w:snapToGrid w:val="0"/>
          <w:szCs w:val="24"/>
        </w:rPr>
      </w:pPr>
    </w:p>
    <w:p w:rsidR="002E74CD" w:rsidRDefault="002E74CD" w:rsidP="00D15874">
      <w:pPr>
        <w:tabs>
          <w:tab w:val="left" w:pos="1418"/>
        </w:tabs>
        <w:rPr>
          <w:snapToGrid w:val="0"/>
          <w:szCs w:val="24"/>
        </w:rPr>
      </w:pPr>
    </w:p>
    <w:p w:rsidR="002E74CD" w:rsidRDefault="002E74CD" w:rsidP="00D15874">
      <w:pPr>
        <w:tabs>
          <w:tab w:val="left" w:pos="1418"/>
        </w:tabs>
        <w:rPr>
          <w:snapToGrid w:val="0"/>
          <w:szCs w:val="24"/>
        </w:rPr>
      </w:pPr>
    </w:p>
    <w:p w:rsidR="002E74CD" w:rsidRDefault="002E74CD" w:rsidP="00D15874">
      <w:pPr>
        <w:tabs>
          <w:tab w:val="left" w:pos="1418"/>
        </w:tabs>
        <w:rPr>
          <w:snapToGrid w:val="0"/>
          <w:szCs w:val="24"/>
        </w:rPr>
      </w:pPr>
    </w:p>
    <w:p w:rsidR="002E74CD" w:rsidRPr="00462BA4" w:rsidRDefault="002E74C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7151" w:rsidRPr="00462BA4" w:rsidTr="00B10A33">
        <w:tc>
          <w:tcPr>
            <w:tcW w:w="567" w:type="dxa"/>
          </w:tcPr>
          <w:p w:rsidR="00207151" w:rsidRPr="00462BA4" w:rsidRDefault="0020715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207151" w:rsidRPr="00462BA4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884B9B" w:rsidRPr="00462BA4">
              <w:rPr>
                <w:b/>
                <w:bCs/>
                <w:color w:val="000000"/>
                <w:szCs w:val="24"/>
              </w:rPr>
              <w:t>Läkemedelsverket</w:t>
            </w:r>
          </w:p>
          <w:p w:rsidR="00207151" w:rsidRPr="00462BA4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07151" w:rsidRDefault="002A3C9C" w:rsidP="00F935D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Generaldirektör</w:t>
            </w:r>
            <w:r w:rsidR="00721820" w:rsidRPr="00462BA4">
              <w:rPr>
                <w:bCs/>
                <w:color w:val="000000"/>
                <w:szCs w:val="24"/>
              </w:rPr>
              <w:t xml:space="preserve"> </w:t>
            </w:r>
            <w:r w:rsidR="00721820" w:rsidRPr="00462BA4">
              <w:rPr>
                <w:szCs w:val="24"/>
              </w:rPr>
              <w:t>Catarina Andersson Forsman</w:t>
            </w:r>
            <w:r w:rsidR="00721820" w:rsidRPr="00462BA4">
              <w:rPr>
                <w:bCs/>
                <w:color w:val="000000"/>
                <w:szCs w:val="24"/>
              </w:rPr>
              <w:t xml:space="preserve"> </w:t>
            </w:r>
            <w:r w:rsidRPr="00462BA4">
              <w:rPr>
                <w:bCs/>
                <w:color w:val="000000"/>
                <w:szCs w:val="24"/>
              </w:rPr>
              <w:t xml:space="preserve">med medarbetare informerade om </w:t>
            </w:r>
            <w:r w:rsidR="00884B9B" w:rsidRPr="00462BA4">
              <w:rPr>
                <w:bCs/>
                <w:color w:val="000000"/>
                <w:szCs w:val="24"/>
              </w:rPr>
              <w:t>verksamheten samt aktuella frågor</w:t>
            </w:r>
            <w:r w:rsidR="00F935D7">
              <w:rPr>
                <w:bCs/>
                <w:color w:val="000000"/>
                <w:szCs w:val="24"/>
              </w:rPr>
              <w:t>.</w:t>
            </w:r>
          </w:p>
          <w:p w:rsidR="00F935D7" w:rsidRPr="00462BA4" w:rsidRDefault="00F935D7" w:rsidP="00F935D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207151" w:rsidRPr="00462BA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884B9B" w:rsidRPr="00462BA4">
              <w:rPr>
                <w:bCs/>
                <w:color w:val="000000"/>
                <w:szCs w:val="24"/>
              </w:rPr>
              <w:t>7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462BA4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207151" w:rsidRPr="00462BA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227259" w:rsidRPr="00462BA4" w:rsidRDefault="00227259" w:rsidP="00227259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Redovisning av fördelning av medel från Allmänna arvsfonden under budgetåret 2018 (SoU2)</w:t>
            </w:r>
          </w:p>
          <w:p w:rsidR="00227259" w:rsidRPr="00462BA4" w:rsidRDefault="00227259" w:rsidP="00227259">
            <w:pPr>
              <w:rPr>
                <w:szCs w:val="24"/>
              </w:rPr>
            </w:pPr>
            <w:r w:rsidRPr="00462BA4">
              <w:rPr>
                <w:szCs w:val="24"/>
              </w:rPr>
              <w:t>Utskottets fortsatte behandlingen av skrivelse 2018/19:146 och motioner.</w:t>
            </w:r>
          </w:p>
          <w:p w:rsidR="00227259" w:rsidRPr="00462BA4" w:rsidRDefault="00227259" w:rsidP="00227259">
            <w:pPr>
              <w:rPr>
                <w:szCs w:val="24"/>
              </w:rPr>
            </w:pPr>
          </w:p>
          <w:p w:rsidR="00C61577" w:rsidRPr="00462BA4" w:rsidRDefault="00884B9B" w:rsidP="00227259">
            <w:pPr>
              <w:rPr>
                <w:szCs w:val="24"/>
              </w:rPr>
            </w:pPr>
            <w:r w:rsidRPr="00462BA4">
              <w:rPr>
                <w:szCs w:val="24"/>
              </w:rPr>
              <w:t>Utskottet justerade betänkande 2019/</w:t>
            </w:r>
            <w:proofErr w:type="gramStart"/>
            <w:r w:rsidRPr="00462BA4">
              <w:rPr>
                <w:szCs w:val="24"/>
              </w:rPr>
              <w:t>20:SoU</w:t>
            </w:r>
            <w:proofErr w:type="gramEnd"/>
            <w:r w:rsidRPr="00462BA4">
              <w:rPr>
                <w:szCs w:val="24"/>
              </w:rPr>
              <w:t>2</w:t>
            </w:r>
            <w:r w:rsidR="00227259" w:rsidRPr="00462BA4">
              <w:rPr>
                <w:szCs w:val="24"/>
              </w:rPr>
              <w:t>.</w:t>
            </w:r>
          </w:p>
          <w:p w:rsidR="00C61577" w:rsidRPr="00462BA4" w:rsidRDefault="00C61577" w:rsidP="00227259">
            <w:pPr>
              <w:rPr>
                <w:szCs w:val="24"/>
              </w:rPr>
            </w:pPr>
          </w:p>
          <w:p w:rsidR="00C61577" w:rsidRPr="007E339F" w:rsidRDefault="00C61577" w:rsidP="00C615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339F">
              <w:rPr>
                <w:snapToGrid w:val="0"/>
                <w:szCs w:val="24"/>
              </w:rPr>
              <w:t xml:space="preserve">SD-ledamöterna anmälde en reservation. </w:t>
            </w:r>
          </w:p>
          <w:p w:rsidR="004C498F" w:rsidRPr="00462BA4" w:rsidRDefault="004C498F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207151" w:rsidRPr="00462BA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AF25E1" w:rsidRPr="00462BA4" w:rsidRDefault="004C498F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62BA4">
              <w:rPr>
                <w:b/>
                <w:bCs/>
                <w:szCs w:val="24"/>
              </w:rPr>
              <w:t>Förslag till lag om koordineringsinsatser för sjukskrivna patienter</w:t>
            </w:r>
          </w:p>
          <w:p w:rsidR="004C498F" w:rsidRPr="00462BA4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C498F" w:rsidRPr="00462BA4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 xml:space="preserve">Utskottet </w:t>
            </w:r>
            <w:r w:rsidR="00884B9B" w:rsidRPr="00462BA4">
              <w:rPr>
                <w:bCs/>
                <w:szCs w:val="24"/>
              </w:rPr>
              <w:t xml:space="preserve">fortsatte </w:t>
            </w:r>
            <w:r w:rsidRPr="00462BA4">
              <w:rPr>
                <w:bCs/>
                <w:szCs w:val="24"/>
              </w:rPr>
              <w:t>behand</w:t>
            </w:r>
            <w:r w:rsidR="00884B9B" w:rsidRPr="00462BA4">
              <w:rPr>
                <w:bCs/>
                <w:szCs w:val="24"/>
              </w:rPr>
              <w:t>lingen</w:t>
            </w:r>
            <w:r w:rsidRPr="00462BA4">
              <w:rPr>
                <w:bCs/>
                <w:szCs w:val="24"/>
              </w:rPr>
              <w:t xml:space="preserve"> om yttrande till socialförsäkrings</w:t>
            </w:r>
            <w:r w:rsidR="003274E2" w:rsidRPr="00462BA4">
              <w:rPr>
                <w:bCs/>
                <w:szCs w:val="24"/>
              </w:rPr>
              <w:t>-</w:t>
            </w:r>
            <w:r w:rsidRPr="00462BA4">
              <w:rPr>
                <w:bCs/>
                <w:szCs w:val="24"/>
              </w:rPr>
              <w:t xml:space="preserve">utskottet över proposition 2019/20:1, </w:t>
            </w:r>
            <w:r w:rsidR="004D0C3B" w:rsidRPr="00462BA4">
              <w:rPr>
                <w:bCs/>
                <w:szCs w:val="24"/>
              </w:rPr>
              <w:t>U</w:t>
            </w:r>
            <w:r w:rsidRPr="00462BA4">
              <w:rPr>
                <w:bCs/>
                <w:szCs w:val="24"/>
              </w:rPr>
              <w:t>tgiftsområde 10</w:t>
            </w:r>
            <w:r w:rsidR="004D0C3B" w:rsidRPr="00462BA4">
              <w:rPr>
                <w:bCs/>
                <w:szCs w:val="24"/>
              </w:rPr>
              <w:t xml:space="preserve">, </w:t>
            </w:r>
            <w:r w:rsidRPr="00462BA4">
              <w:rPr>
                <w:bCs/>
                <w:szCs w:val="24"/>
              </w:rPr>
              <w:t>förslag</w:t>
            </w:r>
            <w:r w:rsidR="004D0C3B" w:rsidRPr="00462BA4">
              <w:rPr>
                <w:bCs/>
                <w:szCs w:val="24"/>
              </w:rPr>
              <w:t>et</w:t>
            </w:r>
            <w:r w:rsidRPr="00462BA4">
              <w:rPr>
                <w:bCs/>
                <w:szCs w:val="24"/>
              </w:rPr>
              <w:t xml:space="preserve"> till lag om koordineringsinsatser för sjukskrivna patienter.</w:t>
            </w:r>
          </w:p>
          <w:p w:rsidR="004C498F" w:rsidRPr="00462BA4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F25E1" w:rsidRPr="00462BA4" w:rsidRDefault="004C498F" w:rsidP="00971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Ärendet bor</w:t>
            </w:r>
            <w:r w:rsidR="0097187A" w:rsidRPr="00462BA4">
              <w:rPr>
                <w:bCs/>
                <w:szCs w:val="24"/>
              </w:rPr>
              <w:t>d</w:t>
            </w:r>
            <w:r w:rsidRPr="00462BA4">
              <w:rPr>
                <w:bCs/>
                <w:szCs w:val="24"/>
              </w:rPr>
              <w:t xml:space="preserve">lades. </w:t>
            </w:r>
          </w:p>
          <w:p w:rsidR="0097187A" w:rsidRPr="00462BA4" w:rsidRDefault="0097187A" w:rsidP="00971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F4DB8" w:rsidRPr="00462BA4" w:rsidTr="00B10A33">
        <w:tc>
          <w:tcPr>
            <w:tcW w:w="567" w:type="dxa"/>
          </w:tcPr>
          <w:p w:rsidR="00BF4DB8" w:rsidRPr="00462BA4" w:rsidRDefault="00BF4DB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BF4DB8" w:rsidRDefault="00BF4DB8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:rsidR="00BF4DB8" w:rsidRPr="007E339F" w:rsidRDefault="00BF4DB8" w:rsidP="000C0853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:rsidR="00BF4DB8" w:rsidRPr="005F7241" w:rsidRDefault="005F7241" w:rsidP="000C085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F7241">
              <w:rPr>
                <w:bCs/>
                <w:szCs w:val="24"/>
              </w:rPr>
              <w:t xml:space="preserve">Utskottet medgav att </w:t>
            </w:r>
            <w:r w:rsidR="00132620" w:rsidRPr="005F7241">
              <w:rPr>
                <w:bCs/>
                <w:szCs w:val="24"/>
              </w:rPr>
              <w:t>Lena Sandström</w:t>
            </w:r>
            <w:r w:rsidRPr="005F7241">
              <w:rPr>
                <w:bCs/>
                <w:szCs w:val="24"/>
              </w:rPr>
              <w:t>, utvärderare vid riksdagens utvärderings- och forskningssekretariat (RUFS</w:t>
            </w:r>
            <w:r w:rsidR="00BF4DB8" w:rsidRPr="005F7241">
              <w:rPr>
                <w:bCs/>
                <w:szCs w:val="24"/>
              </w:rPr>
              <w:t>)</w:t>
            </w:r>
            <w:r w:rsidRPr="005F7241">
              <w:rPr>
                <w:bCs/>
                <w:szCs w:val="24"/>
              </w:rPr>
              <w:t xml:space="preserve"> fick närvara under sammanträdet vid punkten 5 på föredragningslistan.</w:t>
            </w:r>
          </w:p>
          <w:p w:rsidR="00BF4DB8" w:rsidRDefault="00BF4DB8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E74CD" w:rsidRPr="00462BA4" w:rsidRDefault="002E74CD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C498F" w:rsidRPr="00462BA4" w:rsidTr="00B10A33">
        <w:tc>
          <w:tcPr>
            <w:tcW w:w="567" w:type="dxa"/>
          </w:tcPr>
          <w:p w:rsidR="004C498F" w:rsidRPr="00462BA4" w:rsidRDefault="00531F7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F4DB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4C498F" w:rsidRPr="00462BA4" w:rsidRDefault="00884B9B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Utgiftsområde 9 Hälsovård, sjukvård och social omsorg</w:t>
            </w:r>
          </w:p>
          <w:p w:rsidR="004C498F" w:rsidRPr="00462BA4" w:rsidRDefault="004C498F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C498F" w:rsidRPr="00462BA4" w:rsidRDefault="00884B9B" w:rsidP="004C498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behandlade proposition 2019/20:1 Utgiftsområde 9 Hälsovård, sjukvård och social omsorg och motioner</w:t>
            </w:r>
            <w:r w:rsidR="004C498F" w:rsidRPr="00462BA4">
              <w:rPr>
                <w:bCs/>
                <w:color w:val="000000"/>
                <w:szCs w:val="24"/>
              </w:rPr>
              <w:t>.</w:t>
            </w:r>
          </w:p>
          <w:p w:rsidR="00DB263A" w:rsidRDefault="00DB263A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84B9B" w:rsidRPr="00462BA4" w:rsidRDefault="00884B9B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 xml:space="preserve">Ärendet bordlades. </w:t>
            </w:r>
          </w:p>
          <w:p w:rsidR="004C498F" w:rsidRPr="00462BA4" w:rsidRDefault="004C498F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302A9" w:rsidRPr="00462BA4" w:rsidTr="00B10A33">
        <w:tc>
          <w:tcPr>
            <w:tcW w:w="567" w:type="dxa"/>
          </w:tcPr>
          <w:p w:rsidR="00A302A9" w:rsidRPr="00462BA4" w:rsidRDefault="00A302A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F4DB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A302A9" w:rsidRPr="00462BA4" w:rsidRDefault="00A302A9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Beslut om uppföljningsbeslut</w:t>
            </w:r>
          </w:p>
          <w:p w:rsidR="00A302A9" w:rsidRPr="00462BA4" w:rsidRDefault="00A302A9" w:rsidP="004C498F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:rsidR="00A302A9" w:rsidRPr="007E339F" w:rsidRDefault="001933B1" w:rsidP="00DD0DDE">
            <w:r w:rsidRPr="007E339F">
              <w:t>Utskottets uppföljnings- och utvärderingsgrupp föresl</w:t>
            </w:r>
            <w:r w:rsidR="00A049C2" w:rsidRPr="007E339F">
              <w:t xml:space="preserve">og </w:t>
            </w:r>
            <w:r w:rsidRPr="007E339F">
              <w:t>att utskottet</w:t>
            </w:r>
            <w:r w:rsidR="00DD0DDE">
              <w:t xml:space="preserve"> skulle</w:t>
            </w:r>
            <w:r w:rsidRPr="007E339F">
              <w:t xml:space="preserve"> besluta att genomföra en uppföljning av 2017 års lagändringar om trygg och säker vård för barn och unga som vårdas utanför det egna hemmet (prop. 2016/17:59, bet. 2016/</w:t>
            </w:r>
            <w:proofErr w:type="gramStart"/>
            <w:r w:rsidRPr="007E339F">
              <w:t>17:SoU</w:t>
            </w:r>
            <w:proofErr w:type="gramEnd"/>
            <w:r w:rsidRPr="007E339F">
              <w:t>11, rskr. 2016/17:156).</w:t>
            </w:r>
            <w:r w:rsidR="00DD0DDE">
              <w:t xml:space="preserve"> </w:t>
            </w:r>
          </w:p>
          <w:p w:rsidR="001933B1" w:rsidRPr="007E339F" w:rsidRDefault="001933B1" w:rsidP="001933B1">
            <w:pPr>
              <w:tabs>
                <w:tab w:val="left" w:pos="1701"/>
              </w:tabs>
            </w:pPr>
          </w:p>
          <w:p w:rsidR="00A302A9" w:rsidRPr="007E339F" w:rsidRDefault="001933B1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E339F">
              <w:t xml:space="preserve">Utskottet beslutade att genomföra en uppföljning </w:t>
            </w:r>
            <w:r w:rsidR="00F935D7">
              <w:t>i enlighet med gruppens förslag</w:t>
            </w:r>
            <w:r w:rsidRPr="007E339F">
              <w:rPr>
                <w:b/>
                <w:bCs/>
                <w:szCs w:val="24"/>
              </w:rPr>
              <w:t>.</w:t>
            </w:r>
            <w:r w:rsidR="007626D9" w:rsidRPr="007E339F">
              <w:t xml:space="preserve"> Uppföljningen kommer att genomföras med stöd av riksdagens utvärderings- och forskningssekretariat (RUFS).</w:t>
            </w:r>
          </w:p>
          <w:p w:rsidR="001933B1" w:rsidRPr="00462BA4" w:rsidRDefault="001933B1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84B9B" w:rsidRPr="00462BA4" w:rsidTr="00B10A33">
        <w:tc>
          <w:tcPr>
            <w:tcW w:w="567" w:type="dxa"/>
          </w:tcPr>
          <w:p w:rsidR="00884B9B" w:rsidRPr="00462BA4" w:rsidRDefault="00884B9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F4DB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884B9B" w:rsidRPr="00462BA4" w:rsidRDefault="00884B9B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Inrikes resa</w:t>
            </w:r>
          </w:p>
          <w:p w:rsidR="00884B9B" w:rsidRPr="007E339F" w:rsidRDefault="00884B9B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84B9B" w:rsidRPr="007E339F" w:rsidRDefault="00F935D7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m</w:t>
            </w:r>
            <w:r w:rsidR="00D60491" w:rsidRPr="007E339F">
              <w:rPr>
                <w:bCs/>
                <w:szCs w:val="24"/>
              </w:rPr>
              <w:t>åndagen den 2 december 20</w:t>
            </w:r>
            <w:r>
              <w:rPr>
                <w:bCs/>
                <w:szCs w:val="24"/>
              </w:rPr>
              <w:t>19</w:t>
            </w:r>
            <w:r w:rsidR="00D60491" w:rsidRPr="007E339F">
              <w:rPr>
                <w:bCs/>
                <w:szCs w:val="24"/>
              </w:rPr>
              <w:t xml:space="preserve"> besöka Region Norrbotten i Luleå. Besöket är inriktat på hälso- och sjukvård. </w:t>
            </w:r>
          </w:p>
          <w:p w:rsidR="00D60491" w:rsidRPr="00462BA4" w:rsidRDefault="00D60491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75430" w:rsidRPr="00462BA4" w:rsidTr="00B10A33">
        <w:tc>
          <w:tcPr>
            <w:tcW w:w="567" w:type="dxa"/>
          </w:tcPr>
          <w:p w:rsidR="00375430" w:rsidRPr="00462BA4" w:rsidRDefault="003754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F4DB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375430" w:rsidRPr="00FC669B" w:rsidRDefault="00375430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C669B">
              <w:rPr>
                <w:b/>
                <w:bCs/>
                <w:szCs w:val="24"/>
              </w:rPr>
              <w:t>Överlämnande av motion</w:t>
            </w: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Utskottet överlämnande motion 2019/20:418 av Ulrika Heie och Per Lodenius (båda C) till arbetsmarknadsutskottet under förutsättning att det mottagande utskottet tar emot motionen.</w:t>
            </w: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75430" w:rsidRPr="00462BA4" w:rsidTr="00B10A33">
        <w:tc>
          <w:tcPr>
            <w:tcW w:w="567" w:type="dxa"/>
          </w:tcPr>
          <w:p w:rsidR="00375430" w:rsidRPr="00462BA4" w:rsidRDefault="003754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F4DB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375430" w:rsidRPr="00FC669B" w:rsidRDefault="00375430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C669B">
              <w:rPr>
                <w:b/>
                <w:bCs/>
                <w:szCs w:val="24"/>
              </w:rPr>
              <w:t>Överlämnande av motion</w:t>
            </w: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75430" w:rsidRPr="00FC669B" w:rsidRDefault="00375430" w:rsidP="0037543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 xml:space="preserve">Utskottet överlämnande motion 2019/20:1978 yrkande 3 av Arman </w:t>
            </w:r>
            <w:proofErr w:type="spellStart"/>
            <w:r w:rsidRPr="00FC669B">
              <w:rPr>
                <w:bCs/>
                <w:szCs w:val="24"/>
              </w:rPr>
              <w:t>Teimouri</w:t>
            </w:r>
            <w:proofErr w:type="spellEnd"/>
            <w:r w:rsidRPr="00FC669B">
              <w:rPr>
                <w:bCs/>
                <w:szCs w:val="24"/>
              </w:rPr>
              <w:t xml:space="preserve"> (L) till socialförsäkringsutskottet under förutsättning att det mottagande utskottet tar emot motionen.</w:t>
            </w:r>
          </w:p>
          <w:p w:rsidR="00375430" w:rsidRPr="00FC669B" w:rsidRDefault="00375430" w:rsidP="0037543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75430" w:rsidRPr="00FC669B" w:rsidRDefault="00375430" w:rsidP="0037543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</w:p>
          <w:p w:rsidR="00375430" w:rsidRPr="00FC669B" w:rsidRDefault="00375430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40086" w:rsidRPr="00462BA4" w:rsidTr="00B10A33">
        <w:tc>
          <w:tcPr>
            <w:tcW w:w="567" w:type="dxa"/>
          </w:tcPr>
          <w:p w:rsidR="00940086" w:rsidRPr="00462BA4" w:rsidRDefault="0094008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F4DB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D747C1" w:rsidRDefault="00D747C1" w:rsidP="00D747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D747C1" w:rsidRDefault="00D747C1" w:rsidP="00D747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747C1" w:rsidRDefault="00D747C1" w:rsidP="00D747C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A0584">
              <w:rPr>
                <w:bCs/>
                <w:color w:val="000000"/>
                <w:szCs w:val="24"/>
              </w:rPr>
              <w:t xml:space="preserve">Inkomna EU-dokument för </w:t>
            </w:r>
            <w:r>
              <w:rPr>
                <w:bCs/>
                <w:color w:val="000000"/>
                <w:szCs w:val="24"/>
              </w:rPr>
              <w:t xml:space="preserve">perioden 21 oktober – 4 november </w:t>
            </w:r>
            <w:r w:rsidRPr="00CA0584">
              <w:rPr>
                <w:bCs/>
                <w:color w:val="000000"/>
                <w:szCs w:val="24"/>
              </w:rPr>
              <w:t>2019 anmäldes.</w:t>
            </w:r>
          </w:p>
          <w:p w:rsidR="00DB263A" w:rsidRPr="00462BA4" w:rsidRDefault="00DB263A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462BA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75430" w:rsidRPr="00462BA4">
              <w:rPr>
                <w:b/>
                <w:snapToGrid w:val="0"/>
                <w:szCs w:val="24"/>
              </w:rPr>
              <w:t>1</w:t>
            </w:r>
            <w:r w:rsidR="00BF4DB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191B4A" w:rsidRPr="00462BA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62BA4" w:rsidRDefault="00191B4A" w:rsidP="00191B4A">
            <w:pPr>
              <w:rPr>
                <w:szCs w:val="24"/>
              </w:rPr>
            </w:pPr>
          </w:p>
          <w:p w:rsidR="004A7336" w:rsidRPr="00462BA4" w:rsidRDefault="00191B4A" w:rsidP="0048773A">
            <w:pPr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Kanslichefen i</w:t>
            </w:r>
            <w:r w:rsidR="00ED5F4C" w:rsidRPr="00462BA4">
              <w:rPr>
                <w:bCs/>
                <w:szCs w:val="24"/>
              </w:rPr>
              <w:t>nfor</w:t>
            </w:r>
            <w:r w:rsidR="00BE7EF7" w:rsidRPr="00462BA4">
              <w:rPr>
                <w:bCs/>
                <w:szCs w:val="24"/>
              </w:rPr>
              <w:t xml:space="preserve">merade </w:t>
            </w:r>
            <w:r w:rsidR="00FF12FC" w:rsidRPr="00462BA4">
              <w:rPr>
                <w:bCs/>
                <w:szCs w:val="24"/>
              </w:rPr>
              <w:t xml:space="preserve">kort </w:t>
            </w:r>
            <w:r w:rsidR="00BE7EF7" w:rsidRPr="00462BA4">
              <w:rPr>
                <w:bCs/>
                <w:szCs w:val="24"/>
              </w:rPr>
              <w:t>om arbetsplanen</w:t>
            </w:r>
            <w:r w:rsidR="0097187A" w:rsidRPr="00462BA4">
              <w:rPr>
                <w:bCs/>
                <w:szCs w:val="24"/>
              </w:rPr>
              <w:t>.</w:t>
            </w:r>
          </w:p>
          <w:p w:rsidR="007626D9" w:rsidRPr="00462BA4" w:rsidRDefault="007626D9" w:rsidP="0048773A">
            <w:pPr>
              <w:rPr>
                <w:bCs/>
                <w:szCs w:val="24"/>
              </w:rPr>
            </w:pPr>
          </w:p>
        </w:tc>
      </w:tr>
      <w:tr w:rsidR="004C498F" w:rsidRPr="00462BA4" w:rsidTr="00B10A33">
        <w:tc>
          <w:tcPr>
            <w:tcW w:w="567" w:type="dxa"/>
          </w:tcPr>
          <w:p w:rsidR="004C498F" w:rsidRPr="00462BA4" w:rsidRDefault="00531F7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75430" w:rsidRPr="00462BA4">
              <w:rPr>
                <w:b/>
                <w:snapToGrid w:val="0"/>
                <w:szCs w:val="24"/>
              </w:rPr>
              <w:t>1</w:t>
            </w:r>
            <w:r w:rsidR="00BF4DB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4C498F" w:rsidRPr="00462BA4" w:rsidRDefault="004C498F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C498F" w:rsidRPr="00462BA4" w:rsidRDefault="004C498F" w:rsidP="004C498F">
            <w:pPr>
              <w:rPr>
                <w:szCs w:val="24"/>
              </w:rPr>
            </w:pPr>
          </w:p>
          <w:p w:rsidR="004C498F" w:rsidRDefault="004C498F" w:rsidP="004C498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A8121A" w:rsidRPr="00462BA4" w:rsidRDefault="00A8121A" w:rsidP="00F935D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84B9B" w:rsidRPr="00462BA4" w:rsidTr="00B10A33">
        <w:tc>
          <w:tcPr>
            <w:tcW w:w="567" w:type="dxa"/>
          </w:tcPr>
          <w:p w:rsidR="00884B9B" w:rsidRPr="00462BA4" w:rsidRDefault="00884B9B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302A9" w:rsidRPr="00462BA4">
              <w:rPr>
                <w:b/>
                <w:snapToGrid w:val="0"/>
                <w:szCs w:val="24"/>
              </w:rPr>
              <w:t>1</w:t>
            </w:r>
            <w:r w:rsidR="00BF4DB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884B9B" w:rsidRPr="00462BA4" w:rsidRDefault="00884B9B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F935D7" w:rsidRDefault="00F935D7" w:rsidP="00F935D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884B9B" w:rsidRPr="00F935D7" w:rsidRDefault="00F935D7" w:rsidP="004C498F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935D7">
              <w:rPr>
                <w:rFonts w:eastAsia="Calibri"/>
                <w:bCs/>
                <w:szCs w:val="24"/>
                <w:lang w:eastAsia="en-US"/>
              </w:rPr>
              <w:t>Utskottet beslutade att delegera till presidiet att utse två representanter från utskottet till högnivåkonferensen i Bryssel den 20 november 2019 som Europaparlamentet anordnar för att uppmärksamma att FN:s barnkonvention fyller 30 år.</w:t>
            </w:r>
          </w:p>
          <w:p w:rsidR="00F935D7" w:rsidRPr="00462BA4" w:rsidRDefault="00F935D7" w:rsidP="004C498F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884B9B" w:rsidRPr="00F935D7" w:rsidRDefault="00A8121A" w:rsidP="00F935D7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935D7">
              <w:rPr>
                <w:rFonts w:eastAsia="Calibri"/>
                <w:bCs/>
                <w:szCs w:val="24"/>
                <w:lang w:eastAsia="en-US"/>
              </w:rPr>
              <w:t>V-ledamoten Karin Rågsjö föreslog ett utskottsinitiativ enligt bilaga 3.</w:t>
            </w:r>
          </w:p>
          <w:p w:rsidR="00BF4DB8" w:rsidRPr="007E339F" w:rsidRDefault="00BF4DB8" w:rsidP="004C49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BF4DB8" w:rsidRPr="00F935D7" w:rsidRDefault="00BF4DB8" w:rsidP="00F935D7">
            <w:pPr>
              <w:pStyle w:val="Liststycke"/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935D7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4D482B" w:rsidRPr="00462BA4" w:rsidRDefault="004D482B" w:rsidP="00B51090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884B9B" w:rsidRPr="00462BA4">
              <w:rPr>
                <w:b/>
                <w:snapToGrid w:val="0"/>
                <w:szCs w:val="24"/>
              </w:rPr>
              <w:t>1</w:t>
            </w:r>
            <w:r w:rsidR="00BF4DB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BF4DB8">
              <w:rPr>
                <w:szCs w:val="24"/>
              </w:rPr>
              <w:t>t</w:t>
            </w:r>
            <w:r w:rsidR="00AF25E1" w:rsidRPr="00BF4DB8">
              <w:rPr>
                <w:szCs w:val="24"/>
              </w:rPr>
              <w:t>or</w:t>
            </w:r>
            <w:r w:rsidR="00B21594" w:rsidRPr="00BF4DB8">
              <w:rPr>
                <w:szCs w:val="24"/>
              </w:rPr>
              <w:t xml:space="preserve">sdag den </w:t>
            </w:r>
            <w:r w:rsidR="00884B9B" w:rsidRPr="00BF4DB8">
              <w:rPr>
                <w:szCs w:val="24"/>
              </w:rPr>
              <w:t>21</w:t>
            </w:r>
            <w:r w:rsidR="0024734C" w:rsidRPr="00BF4DB8">
              <w:rPr>
                <w:szCs w:val="24"/>
              </w:rPr>
              <w:t xml:space="preserve"> </w:t>
            </w:r>
            <w:r w:rsidR="00DA7A41" w:rsidRPr="00BF4DB8">
              <w:rPr>
                <w:szCs w:val="24"/>
              </w:rPr>
              <w:t>novem</w:t>
            </w:r>
            <w:r w:rsidR="00B21594" w:rsidRPr="00BF4DB8">
              <w:rPr>
                <w:szCs w:val="24"/>
              </w:rPr>
              <w:t>ber</w:t>
            </w:r>
            <w:r w:rsidR="0006729D" w:rsidRPr="00BF4DB8">
              <w:rPr>
                <w:szCs w:val="24"/>
              </w:rPr>
              <w:t xml:space="preserve"> 201</w:t>
            </w:r>
            <w:r w:rsidR="009F74ED" w:rsidRPr="00BF4DB8">
              <w:rPr>
                <w:szCs w:val="24"/>
              </w:rPr>
              <w:t>9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AF25E1" w:rsidRPr="00BF4DB8">
              <w:rPr>
                <w:szCs w:val="24"/>
              </w:rPr>
              <w:t>0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884B9B" w:rsidRPr="00462BA4">
              <w:rPr>
                <w:snapToGrid w:val="0"/>
                <w:szCs w:val="24"/>
              </w:rPr>
              <w:t>21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DA7A41" w:rsidRPr="00462BA4">
              <w:rPr>
                <w:snapToGrid w:val="0"/>
                <w:szCs w:val="24"/>
              </w:rPr>
              <w:t>novem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884B9B" w:rsidRPr="00462BA4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884B9B" w:rsidRPr="00462BA4">
              <w:rPr>
                <w:sz w:val="22"/>
                <w:szCs w:val="22"/>
              </w:rPr>
              <w:t>-</w:t>
            </w:r>
            <w:r w:rsidR="00BF4DB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="00BF4DB8">
              <w:rPr>
                <w:sz w:val="22"/>
                <w:szCs w:val="22"/>
              </w:rPr>
              <w:t>3-6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BD55CA">
              <w:rPr>
                <w:sz w:val="22"/>
                <w:szCs w:val="22"/>
              </w:rPr>
              <w:t xml:space="preserve"> </w:t>
            </w:r>
            <w:proofErr w:type="gramStart"/>
            <w:r w:rsidR="00BF4DB8">
              <w:rPr>
                <w:sz w:val="22"/>
                <w:szCs w:val="22"/>
              </w:rPr>
              <w:t>7-13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8148E6">
              <w:rPr>
                <w:sz w:val="22"/>
                <w:szCs w:val="22"/>
              </w:rPr>
              <w:t xml:space="preserve"> </w:t>
            </w:r>
            <w:proofErr w:type="gramStart"/>
            <w:r w:rsidR="00BF4DB8">
              <w:rPr>
                <w:sz w:val="22"/>
                <w:szCs w:val="22"/>
              </w:rPr>
              <w:t>14-15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F4DB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895A57" w:rsidRPr="00462BA4" w:rsidRDefault="00895A57" w:rsidP="00895A57">
      <w:pPr>
        <w:widowControl/>
        <w:rPr>
          <w:sz w:val="20"/>
        </w:rPr>
      </w:pPr>
      <w:bookmarkStart w:id="0" w:name="_GoBack"/>
      <w:bookmarkEnd w:id="0"/>
    </w:p>
    <w:sectPr w:rsidR="00895A57" w:rsidRPr="00462BA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1"/>
  </w:num>
  <w:num w:numId="14">
    <w:abstractNumId w:val="11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63A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39F"/>
    <w:rsid w:val="007E3A65"/>
    <w:rsid w:val="007E4822"/>
    <w:rsid w:val="007E5316"/>
    <w:rsid w:val="007E6218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8E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5CA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F56C-9D7C-4003-A787-87695A1B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6777</TotalTime>
  <Pages>4</Pages>
  <Words>697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1758</cp:revision>
  <cp:lastPrinted>2019-10-10T10:01:00Z</cp:lastPrinted>
  <dcterms:created xsi:type="dcterms:W3CDTF">2014-01-23T12:18:00Z</dcterms:created>
  <dcterms:modified xsi:type="dcterms:W3CDTF">2019-11-21T10:27:00Z</dcterms:modified>
</cp:coreProperties>
</file>