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F50F41" w:rsidRDefault="00F50F41">
            <w:pPr>
              <w:pStyle w:val="HuvudRubrik"/>
            </w:pPr>
            <w:bookmarkStart w:id="0" w:name="BetänkandeRubrik"/>
            <w:bookmarkEnd w:id="0"/>
            <w:r>
              <w:t>Skatteutskottets betänkande</w:t>
            </w:r>
            <w:r w:rsidR="00E2701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94670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F50F41" w:rsidRDefault="00F50F4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700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F50F41" w:rsidRDefault="00F50F41">
                            <w:pPr>
                              <w:pStyle w:val="Logo"/>
                            </w:pPr>
                            <w:r>
                              <w:object w:dxaOrig="840" w:dyaOrig="1545">
                                <v:shape id="_x0000_i1025" type="#_x0000_t75" style="width:41.55pt;height:77.15pt" fillcolor="window">
                                  <v:imagedata r:id="rId6" o:title=""/>
                                </v:shape>
                                <o:OLEObject Type="Embed" ProgID="Word.Picture.8" ShapeID="_x0000_i1025" DrawAspect="Content" ObjectID="_1827337008" r:id="rId8"/>
                              </w:object>
                            </w:r>
                          </w:p>
                        </w:txbxContent>
                      </v:textbox>
                      <w10:wrap anchorx="page" anchory="page"/>
                    </v:shape>
                  </w:pict>
                </mc:Fallback>
              </mc:AlternateContent>
            </w:r>
          </w:p>
          <w:p w:rsidR="00F50F41" w:rsidRDefault="00F50F41">
            <w:pPr>
              <w:pStyle w:val="HuvudRubrikRad2"/>
            </w:pPr>
            <w:bookmarkStart w:id="15" w:name="BetänkandeNr"/>
            <w:bookmarkEnd w:id="15"/>
            <w:r>
              <w:t>1998/99:SkU18</w:t>
            </w:r>
          </w:p>
          <w:p w:rsidR="00F50F41" w:rsidRDefault="00F50F41">
            <w:pPr>
              <w:pStyle w:val="BetnkandeRubrik"/>
            </w:pPr>
            <w:bookmarkStart w:id="16" w:name="Huvudrubrik"/>
            <w:bookmarkEnd w:id="16"/>
            <w:r>
              <w:t>Särskilda mervärdesskatteregler för investering</w:t>
            </w:r>
            <w:r>
              <w:t>s</w:t>
            </w:r>
            <w:r>
              <w:softHyphen/>
              <w:t>guld</w:t>
            </w:r>
          </w:p>
        </w:tc>
        <w:tc>
          <w:tcPr>
            <w:tcW w:w="1559" w:type="dxa"/>
            <w:tcBorders>
              <w:bottom w:val="nil"/>
            </w:tcBorders>
          </w:tcPr>
          <w:p w:rsidR="00F50F41" w:rsidRDefault="00F50F4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F50F41" w:rsidRDefault="00F50F41">
            <w:pPr>
              <w:spacing w:before="40" w:after="900" w:line="280" w:lineRule="exact"/>
              <w:jc w:val="left"/>
              <w:rPr>
                <w:sz w:val="28"/>
              </w:rPr>
            </w:pPr>
          </w:p>
        </w:tc>
        <w:tc>
          <w:tcPr>
            <w:tcW w:w="1559" w:type="dxa"/>
          </w:tcPr>
          <w:p w:rsidR="00F50F41" w:rsidRDefault="00F50F4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F50F41" w:rsidRDefault="00F50F41">
            <w:pPr>
              <w:spacing w:before="40" w:after="900" w:line="280" w:lineRule="exact"/>
              <w:jc w:val="left"/>
              <w:rPr>
                <w:sz w:val="28"/>
              </w:rPr>
            </w:pPr>
          </w:p>
        </w:tc>
        <w:tc>
          <w:tcPr>
            <w:tcW w:w="1559" w:type="dxa"/>
            <w:tcBorders>
              <w:bottom w:val="single" w:sz="6" w:space="0" w:color="auto"/>
            </w:tcBorders>
          </w:tcPr>
          <w:p w:rsidR="00F50F41" w:rsidRDefault="00F50F41">
            <w:pPr>
              <w:pStyle w:val="rtal"/>
            </w:pPr>
            <w:r>
              <w:t>SkU18</w:t>
            </w:r>
          </w:p>
        </w:tc>
      </w:tr>
      <w:tr w:rsidR="00000000">
        <w:tblPrEx>
          <w:tblCellMar>
            <w:top w:w="0" w:type="dxa"/>
            <w:bottom w:w="0" w:type="dxa"/>
          </w:tblCellMar>
        </w:tblPrEx>
        <w:trPr>
          <w:cantSplit/>
          <w:trHeight w:hRule="exact" w:val="660"/>
        </w:trPr>
        <w:tc>
          <w:tcPr>
            <w:tcW w:w="3012" w:type="dxa"/>
          </w:tcPr>
          <w:p w:rsidR="00F50F41" w:rsidRDefault="00F50F41">
            <w:pPr>
              <w:pStyle w:val="StatusSida1"/>
            </w:pPr>
          </w:p>
        </w:tc>
        <w:tc>
          <w:tcPr>
            <w:tcW w:w="3012" w:type="dxa"/>
          </w:tcPr>
          <w:p w:rsidR="00F50F41" w:rsidRDefault="00F50F41">
            <w:pPr>
              <w:pStyle w:val="UtskriftsdatumSida1"/>
              <w:rPr>
                <w:b/>
                <w:sz w:val="28"/>
              </w:rPr>
            </w:pPr>
          </w:p>
        </w:tc>
        <w:tc>
          <w:tcPr>
            <w:tcW w:w="1559" w:type="dxa"/>
          </w:tcPr>
          <w:p w:rsidR="00F50F41" w:rsidRDefault="00F50F41"/>
        </w:tc>
      </w:tr>
    </w:tbl>
    <w:p w:rsidR="00F50F41" w:rsidRDefault="00F50F41">
      <w:pPr>
        <w:pStyle w:val="Rubrik1"/>
        <w:spacing w:before="0"/>
      </w:pPr>
      <w:bookmarkStart w:id="17" w:name="_Toc448654306"/>
      <w:r>
        <w:t>Sammanfattning</w:t>
      </w:r>
      <w:bookmarkEnd w:id="17"/>
    </w:p>
    <w:p w:rsidR="00F50F41" w:rsidRDefault="00F50F41">
      <w:bookmarkStart w:id="18" w:name="Textstart"/>
      <w:bookmarkEnd w:id="18"/>
      <w:r>
        <w:t>I betänkandet tillstyrker utskottet med en mindre justering av lagtexten regeringens förslag i proposition 1998/99:69 att omsättning av guld i investe</w:t>
      </w:r>
      <w:r>
        <w:softHyphen/>
        <w:t>ringssyfte skall undantas från mervärdesskatt.</w:t>
      </w:r>
    </w:p>
    <w:p w:rsidR="00F50F41" w:rsidRDefault="00F50F41">
      <w:pPr>
        <w:pStyle w:val="Rubrik1"/>
      </w:pPr>
      <w:bookmarkStart w:id="19" w:name="_Toc448654307"/>
      <w:r>
        <w:t>Proposition</w:t>
      </w:r>
      <w:bookmarkEnd w:id="19"/>
      <w:r>
        <w:t xml:space="preserve"> 1998/99:69</w:t>
      </w:r>
    </w:p>
    <w:p w:rsidR="00F50F41" w:rsidRDefault="00F50F41">
      <w:r>
        <w:t>Regeringen (Finansdepartementet) föreslår i proposition 1998/99:69 att riks</w:t>
      </w:r>
      <w:r>
        <w:softHyphen/>
        <w:t>dagen antar de i propositionen framlagda fö</w:t>
      </w:r>
      <w:r>
        <w:t>r</w:t>
      </w:r>
      <w:r>
        <w:t>slagen till</w:t>
      </w:r>
    </w:p>
    <w:p w:rsidR="00F50F41" w:rsidRDefault="00F50F41">
      <w:pPr>
        <w:pStyle w:val="Normaltindrag"/>
      </w:pPr>
      <w:r>
        <w:t xml:space="preserve">1. lag om ändring i mervärdesskattelagen (1994:200), </w:t>
      </w:r>
    </w:p>
    <w:p w:rsidR="00F50F41" w:rsidRDefault="00F50F41">
      <w:pPr>
        <w:pStyle w:val="Normaltindrag"/>
      </w:pPr>
      <w:r>
        <w:t xml:space="preserve">2. lag om ändring i skattebetalningslagen (1997:483). </w:t>
      </w:r>
    </w:p>
    <w:p w:rsidR="00F50F41" w:rsidRDefault="00F50F41">
      <w:r>
        <w:t>I propositionen föreslås särskilda mervärdesskatteregler för investeringsguld. Reglerna, som är baserade på ett EG-direktiv, innebär att omsättning av guld i investeringssyfte skall undantas från mervärdesskatt. Syftet är att beskatta handeln med investeringsguld på samma sätt som finansiella tjänster för vilka i dag gäller ett motsvarande undantag. Syftet är också att komma till rätta med den konkurrenssnedvridning som råder mellan medlemsländerna på grund av skillnader i beskattningen av investeringsguld</w:t>
      </w:r>
      <w:r>
        <w:t>. Reglerna har utformats så att det skall bli tekniskt möjligt att förhindra de omfattande bedrägerier med guld som för närvarande förekommer inom gemenskapen. Med investeringsguld menas guldtackor och guldmynt som omsätts i investe-ringssyfte oavsett om guldet är representerat av värdepapper eller inte. Med skattefriheten följer inte någon rätt till återbetalning av ingående skatt. En möjlighet att välja att bli skattskyldig har därför införts i de fall då investe-ringsguldet omsätts för industriändamål.</w:t>
      </w:r>
    </w:p>
    <w:p w:rsidR="00F50F41" w:rsidRDefault="00F50F41">
      <w:pPr>
        <w:pStyle w:val="Normaltindrag"/>
      </w:pPr>
      <w:r>
        <w:t>D</w:t>
      </w:r>
      <w:r>
        <w:t>e nya reglerna föreslås tr</w:t>
      </w:r>
      <w:bookmarkStart w:id="20" w:name="_Toc448654309"/>
      <w:r>
        <w:t>äda i kraft den 1 januari 2000.</w:t>
      </w:r>
    </w:p>
    <w:p w:rsidR="00F50F41" w:rsidRDefault="00F50F41">
      <w:pPr>
        <w:pStyle w:val="Rubrik2"/>
      </w:pPr>
      <w:r>
        <w:t>Lagförslagen</w:t>
      </w:r>
    </w:p>
    <w:p w:rsidR="00F50F41" w:rsidRDefault="00F50F41">
      <w:r>
        <w:t>Lagförslagen återfinns i bilagan till detta betänkande.</w:t>
      </w:r>
    </w:p>
    <w:p w:rsidR="00F50F41" w:rsidRDefault="00F50F41">
      <w:pPr>
        <w:pStyle w:val="Rubrik1"/>
      </w:pPr>
      <w:r>
        <w:t>Utskottet</w:t>
      </w:r>
      <w:bookmarkEnd w:id="20"/>
    </w:p>
    <w:p w:rsidR="00F50F41" w:rsidRDefault="00F50F41">
      <w:r>
        <w:t xml:space="preserve">Utskottet har inte funnit anledning till någon erinran i sak till propositionen, dock att lydelsen av 10 kap. 12 § mervärdesskattelagen (lagförslag 2.1) bör </w:t>
      </w:r>
      <w:r>
        <w:lastRenderedPageBreak/>
        <w:t>anpassas till den ändring i samma paragraf som föreslås i lagförslag 2.6 i proposition 1998/99:86 (bet. 1998/99:SkU21) och som är avsedd att träda i kraft den 1 juli 1999. Samtidigt med denna justering föreslår utskottet en detaljändring av paragrafens lydelse och tillstyrker därmed propositionen.</w:t>
      </w:r>
    </w:p>
    <w:p w:rsidR="00F50F41" w:rsidRDefault="00F50F41">
      <w:pPr>
        <w:pStyle w:val="Rubrik2"/>
      </w:pPr>
      <w:bookmarkStart w:id="21" w:name="_Toc448654310"/>
      <w:r>
        <w:t>Hemställan</w:t>
      </w:r>
      <w:bookmarkEnd w:id="21"/>
    </w:p>
    <w:p w:rsidR="00F50F41" w:rsidRDefault="00F50F41">
      <w:r>
        <w:t>Utskottet hemställer</w:t>
      </w:r>
    </w:p>
    <w:p w:rsidR="00F50F41" w:rsidRDefault="00F50F41">
      <w:pPr>
        <w:pStyle w:val="hembetr"/>
      </w:pPr>
      <w:bookmarkStart w:id="22" w:name="Nästa_Hpunkt"/>
      <w:bookmarkEnd w:id="22"/>
      <w:r>
        <w:t>att riksdagen med anledning av proposition 1998/99:69 antar de vid propositionen fogade förslagen till</w:t>
      </w:r>
    </w:p>
    <w:p w:rsidR="00F50F41" w:rsidRDefault="00F50F41">
      <w:pPr>
        <w:pStyle w:val="hemtext"/>
      </w:pPr>
      <w:r>
        <w:t>1. lag om ändring i mervärdesskattelagen (1994:200) med den ändringen att 10 kap. 12 § erhåller följande såsom utskottets förslag betecknade lydelse:</w:t>
      </w:r>
    </w:p>
    <w:p w:rsidR="00F50F41" w:rsidRDefault="00F50F41">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F50F41" w:rsidRDefault="00F50F41">
            <w:pPr>
              <w:pStyle w:val="LagtextRubrik"/>
              <w:rPr>
                <w:i/>
              </w:rPr>
            </w:pPr>
            <w:r>
              <w:rPr>
                <w:i/>
              </w:rPr>
              <w:t>Regeringens förslag</w:t>
            </w:r>
          </w:p>
        </w:tc>
        <w:tc>
          <w:tcPr>
            <w:tcW w:w="3062" w:type="dxa"/>
          </w:tcPr>
          <w:p w:rsidR="00F50F41" w:rsidRDefault="00F50F41">
            <w:pPr>
              <w:pStyle w:val="LagtextRubrik"/>
              <w:rPr>
                <w:i/>
              </w:rPr>
            </w:pPr>
            <w:r>
              <w:rPr>
                <w:i/>
              </w:rPr>
              <w:t>Utskottets förslag</w:t>
            </w:r>
          </w:p>
        </w:tc>
      </w:tr>
      <w:tr w:rsidR="00000000">
        <w:tblPrEx>
          <w:tblCellMar>
            <w:top w:w="0" w:type="dxa"/>
            <w:bottom w:w="0" w:type="dxa"/>
          </w:tblCellMar>
        </w:tblPrEx>
        <w:trPr>
          <w:cantSplit/>
        </w:trPr>
        <w:tc>
          <w:tcPr>
            <w:tcW w:w="6124" w:type="dxa"/>
            <w:gridSpan w:val="2"/>
          </w:tcPr>
          <w:p w:rsidR="00F50F41" w:rsidRDefault="00F50F41">
            <w:pPr>
              <w:pStyle w:val="LagtextIndrag"/>
              <w:jc w:val="center"/>
            </w:pPr>
            <w:r>
              <w:t>10 kap.</w:t>
            </w:r>
          </w:p>
          <w:p w:rsidR="00F50F41" w:rsidRDefault="00F50F41">
            <w:pPr>
              <w:pStyle w:val="LagtextIndrag"/>
              <w:jc w:val="center"/>
            </w:pPr>
            <w:r>
              <w:t>12 §</w:t>
            </w:r>
          </w:p>
        </w:tc>
      </w:tr>
      <w:tr w:rsidR="00000000">
        <w:tblPrEx>
          <w:tblCellMar>
            <w:top w:w="0" w:type="dxa"/>
            <w:bottom w:w="0" w:type="dxa"/>
          </w:tblCellMar>
        </w:tblPrEx>
        <w:trPr>
          <w:cantSplit/>
        </w:trPr>
        <w:tc>
          <w:tcPr>
            <w:tcW w:w="3062" w:type="dxa"/>
          </w:tcPr>
          <w:p w:rsidR="00F50F41" w:rsidRDefault="00F50F41">
            <w:pPr>
              <w:pStyle w:val="LagtextIndrag"/>
            </w:pPr>
            <w:r>
              <w:t>Den som omsätter varor eller tjänster genom export har rätt till återbetalning av ingående skatt för vilken han saknar rätt till avdrag enligt 8 kap. på grund av att omsätt</w:t>
            </w:r>
            <w:r>
              <w:softHyphen/>
              <w:t>ningen sker utanför EG. Rätten till återbetalning gäller under förutsätt</w:t>
            </w:r>
            <w:r>
              <w:softHyphen/>
              <w:t xml:space="preserve">ning att omsättningen är skattepliktig eller undantagen från skatteplikt enligt 3 kap. 9 § utom tredje stycket 2, 10 §, 10 a §, 19 § första stycket 2, 21 §, 23 § </w:t>
            </w:r>
            <w:r>
              <w:rPr>
                <w:i/>
              </w:rPr>
              <w:t>1–4</w:t>
            </w:r>
            <w:r>
              <w:t xml:space="preserve">, </w:t>
            </w:r>
            <w:r>
              <w:rPr>
                <w:i/>
              </w:rPr>
              <w:t>30 c §</w:t>
            </w:r>
            <w:r>
              <w:t xml:space="preserve"> eller 30 e §.</w:t>
            </w:r>
          </w:p>
        </w:tc>
        <w:tc>
          <w:tcPr>
            <w:tcW w:w="3062" w:type="dxa"/>
          </w:tcPr>
          <w:p w:rsidR="00F50F41" w:rsidRDefault="00F50F41">
            <w:pPr>
              <w:pStyle w:val="LagtextIndrag"/>
            </w:pPr>
            <w:r>
              <w:t>Den som omsätter varor eller tjänster genom export har rätt till återbetalning av ingående skatt för vilken han saknar rätt till avdrag enligt 8 kap. på grund av att omsätt</w:t>
            </w:r>
            <w:r>
              <w:softHyphen/>
              <w:t>ningen sker utanför EG. Rätten till återbetalning gäller under förutsätt</w:t>
            </w:r>
            <w:r>
              <w:softHyphen/>
              <w:t xml:space="preserve">ning att omsättningen är skattepliktig eller undantagen från skatteplikt enligt 3 kap. 9 § utom tredje stycket 2, 10 §, 10 a §, 19 § första stycket 2, 21 §, 23 § </w:t>
            </w:r>
            <w:r>
              <w:rPr>
                <w:i/>
              </w:rPr>
              <w:t>1, 2, 3 eller 4</w:t>
            </w:r>
            <w:r>
              <w:t xml:space="preserve"> eller 30 e §.</w:t>
            </w:r>
          </w:p>
        </w:tc>
      </w:tr>
    </w:tbl>
    <w:p w:rsidR="00F50F41" w:rsidRDefault="00F50F41">
      <w:pPr>
        <w:pStyle w:val="hemtext"/>
      </w:pPr>
    </w:p>
    <w:p w:rsidR="00F50F41" w:rsidRDefault="00F50F41">
      <w:pPr>
        <w:pStyle w:val="hemtext"/>
      </w:pPr>
      <w:r>
        <w:t xml:space="preserve">2. lag om ändring i skattebetalningslagen (1997:483). </w:t>
      </w:r>
    </w:p>
    <w:p w:rsidR="00F50F41" w:rsidRDefault="00F50F41">
      <w:pPr>
        <w:pStyle w:val="Stockholm"/>
      </w:pPr>
      <w:r>
        <w:t>Stockholm den 20 maj 1999</w:t>
      </w:r>
    </w:p>
    <w:p w:rsidR="00F50F41" w:rsidRDefault="00F50F41">
      <w:pPr>
        <w:pStyle w:val="Vgnar"/>
      </w:pPr>
      <w:r>
        <w:t>På skatteutskottets vägnar</w:t>
      </w:r>
    </w:p>
    <w:p w:rsidR="00F50F41" w:rsidRDefault="00F50F41">
      <w:pPr>
        <w:pStyle w:val="Ordfnamn"/>
      </w:pPr>
      <w:bookmarkStart w:id="23" w:name="Ordförande"/>
      <w:bookmarkEnd w:id="23"/>
      <w:r>
        <w:t xml:space="preserve">Arne Kjörnsberg </w:t>
      </w:r>
    </w:p>
    <w:p w:rsidR="00F50F41" w:rsidRDefault="00F50F41">
      <w:pPr>
        <w:pStyle w:val="Deltagare"/>
      </w:pPr>
      <w:bookmarkStart w:id="24" w:name="Deltagare"/>
      <w:bookmarkEnd w:id="24"/>
      <w:r>
        <w:t>I beslutet har deltagit: Arne Kjörnsberg (s), Lisbeth Staaf-Igelström (s), Per Rosengren (v), Per Erik Granström (s), Carl Erik Hedlund (m), Ulla Wester (s), Marietta de Pourbaix-Lundin (m), Yvonne Ruwaida (mp), Rolf Kenneryd (c), Johan Pehrson (fp), Lars U Granberg (s), Catharina Hagen (m), Claes Stockhaus (v), Desirée Pethrus-Engström (kd), Stefan Attefall (kd), Inga Berggren (m) och Lars Lilja (s).</w:t>
      </w:r>
    </w:p>
    <w:p w:rsidR="00F50F41" w:rsidRDefault="00F50F41">
      <w:pPr>
        <w:pStyle w:val="Normaltindrag"/>
      </w:pPr>
    </w:p>
    <w:p w:rsidR="00F50F41" w:rsidRDefault="00F50F41">
      <w:pPr>
        <w:pStyle w:val="Normaltindrag"/>
      </w:pPr>
    </w:p>
    <w:p w:rsidR="00F50F41" w:rsidRDefault="00F50F41">
      <w:pPr>
        <w:sectPr w:rsidR="00000000">
          <w:headerReference w:type="default" r:id="rId9"/>
          <w:footerReference w:type="default" r:id="rId10"/>
          <w:pgSz w:w="11906" w:h="16838" w:code="9"/>
          <w:pgMar w:top="567" w:right="4876" w:bottom="4508" w:left="1134" w:header="227" w:footer="227" w:gutter="0"/>
          <w:cols w:space="720"/>
        </w:sectPr>
      </w:pPr>
      <w:bookmarkStart w:id="25" w:name="Nästa_Reservation"/>
      <w:bookmarkEnd w:id="25"/>
    </w:p>
    <w:p w:rsidR="00F50F41" w:rsidRDefault="00F50F41">
      <w:r>
        <w:br w:type="page"/>
      </w:r>
      <w:r>
        <w:br w:type="page"/>
      </w:r>
      <w:r>
        <w:br w:type="page"/>
      </w:r>
      <w:r>
        <w:br w:type="page"/>
      </w:r>
      <w:r>
        <w:br w:type="page"/>
      </w:r>
      <w:r>
        <w:br w:type="page"/>
      </w:r>
      <w:r>
        <w:br w:type="page"/>
      </w:r>
      <w:r>
        <w:br w:type="page"/>
      </w:r>
    </w:p>
    <w:p w:rsidR="00F50F41" w:rsidRDefault="00F50F41">
      <w:pPr>
        <w:pStyle w:val="Tryckort"/>
        <w:framePr w:wrap="around"/>
      </w:pPr>
      <w:r>
        <w:t>Elanders Gotab, Stockholm  1999</w:t>
      </w:r>
    </w:p>
    <w:p w:rsidR="00F50F41" w:rsidRDefault="00F50F41">
      <w:pPr>
        <w:pStyle w:val="Normaltindrag"/>
      </w:pPr>
    </w:p>
    <w:sectPr w:rsidR="00F50F4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F41" w:rsidRDefault="00F50F41">
      <w:pPr>
        <w:spacing w:before="0" w:line="240" w:lineRule="auto"/>
      </w:pPr>
      <w:r>
        <w:separator/>
      </w:r>
    </w:p>
  </w:endnote>
  <w:endnote w:type="continuationSeparator" w:id="0">
    <w:p w:rsidR="00F50F41" w:rsidRDefault="00F50F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F41" w:rsidRDefault="00F50F41">
    <w:pPr>
      <w:pStyle w:val="SidfotH"/>
      <w:framePr w:wrap="around"/>
    </w:pPr>
    <w:r>
      <w:fldChar w:fldCharType="begin" w:fldLock="1"/>
    </w:r>
    <w:r>
      <w:instrText xml:space="preserve"> PAGE </w:instrText>
    </w:r>
    <w:r>
      <w:fldChar w:fldCharType="separate"/>
    </w:r>
    <w:r>
      <w:rPr>
        <w:noProof/>
      </w:rPr>
      <w:t>1</w:t>
    </w:r>
    <w:r>
      <w:fldChar w:fldCharType="end"/>
    </w:r>
  </w:p>
  <w:p w:rsidR="00F50F41" w:rsidRDefault="00F50F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F41" w:rsidRDefault="00F50F41">
    <w:pPr>
      <w:pStyle w:val="SidfotH"/>
      <w:framePr w:wrap="around"/>
    </w:pPr>
    <w:r>
      <w:fldChar w:fldCharType="begin" w:fldLock="1"/>
    </w:r>
    <w:r>
      <w:instrText xml:space="preserve"> PAGE </w:instrText>
    </w:r>
    <w:r>
      <w:fldChar w:fldCharType="separate"/>
    </w:r>
    <w:r>
      <w:rPr>
        <w:noProof/>
      </w:rPr>
      <w:t>4</w:t>
    </w:r>
    <w:r>
      <w:fldChar w:fldCharType="end"/>
    </w:r>
  </w:p>
  <w:p w:rsidR="00F50F41" w:rsidRDefault="00F50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F41" w:rsidRDefault="00F50F41">
      <w:pPr>
        <w:spacing w:before="0" w:line="240" w:lineRule="auto"/>
      </w:pPr>
      <w:r>
        <w:separator/>
      </w:r>
    </w:p>
  </w:footnote>
  <w:footnote w:type="continuationSeparator" w:id="0">
    <w:p w:rsidR="00F50F41" w:rsidRDefault="00F50F4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F41" w:rsidRDefault="00F50F41">
    <w:pPr>
      <w:pStyle w:val="SidhuvudKant"/>
      <w:framePr w:w="1985" w:h="2743" w:hRule="exact" w:wrap="around" w:vAnchor="page" w:hAnchor="page" w:x="7372" w:y="568" w:anchorLock="0"/>
      <w:rPr>
        <w:noProof/>
      </w:rPr>
    </w:pPr>
    <w:r>
      <w:rPr>
        <w:noProof/>
      </w:rPr>
      <w:t>1998/99:SkU18</w:t>
    </w:r>
  </w:p>
  <w:p w:rsidR="00F50F41" w:rsidRDefault="00F50F41">
    <w:pPr>
      <w:pStyle w:val="SidhuvudKantBilaga"/>
      <w:framePr w:w="1985" w:h="2743" w:hRule="exact" w:wrap="around" w:vAnchor="page" w:hAnchor="page" w:x="7372" w:y="568" w:anchorLock="0"/>
      <w:rPr>
        <w:noProof/>
      </w:rPr>
    </w:pPr>
  </w:p>
  <w:p w:rsidR="00F50F41" w:rsidRDefault="00F50F41">
    <w:pPr>
      <w:pStyle w:val="SidhuvudKant"/>
      <w:framePr w:w="1985" w:h="2743" w:hRule="exact" w:wrap="around" w:vAnchor="page" w:hAnchor="page" w:x="7372" w:y="568" w:anchorLock="0"/>
    </w:pPr>
  </w:p>
  <w:p w:rsidR="00F50F41" w:rsidRDefault="00F50F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F41" w:rsidRDefault="00F50F41">
    <w:pPr>
      <w:pStyle w:val="SidhuvudKant"/>
      <w:framePr w:w="1985" w:h="2743" w:hRule="exact" w:wrap="around" w:vAnchor="page" w:hAnchor="page" w:x="7372" w:y="568" w:anchorLock="0"/>
      <w:rPr>
        <w:noProof/>
      </w:rPr>
    </w:pPr>
    <w:r>
      <w:rPr>
        <w:noProof/>
      </w:rPr>
      <w:t>1998/99:SkU18</w:t>
    </w:r>
  </w:p>
  <w:p w:rsidR="00F50F41" w:rsidRDefault="00F50F41">
    <w:pPr>
      <w:pStyle w:val="SidhuvudKantBilaga"/>
      <w:framePr w:w="1985" w:h="2743" w:hRule="exact" w:wrap="around" w:vAnchor="page" w:hAnchor="page" w:x="7372" w:y="568" w:anchorLock="0"/>
      <w:rPr>
        <w:noProof/>
      </w:rPr>
    </w:pPr>
    <w:r>
      <w:rPr>
        <w:noProof/>
      </w:rPr>
      <w:t>Bilaga</w:t>
    </w:r>
  </w:p>
  <w:p w:rsidR="00F50F41" w:rsidRDefault="00F50F41">
    <w:pPr>
      <w:pStyle w:val="SidhuvudKant"/>
      <w:framePr w:w="1985" w:h="2743" w:hRule="exact" w:wrap="around" w:vAnchor="page" w:hAnchor="page" w:x="7372" w:y="568" w:anchorLock="0"/>
    </w:pPr>
  </w:p>
  <w:p w:rsidR="00F50F41" w:rsidRDefault="00F50F4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FD2BD4"/>
    <w:rsid w:val="00E27011"/>
    <w:rsid w:val="00F50F41"/>
    <w:rsid w:val="00FD2B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BCF671-497D-4C16-AD07-128144CC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LagtextRubrik">
    <w:name w:val="LagtextRubrik"/>
    <w:basedOn w:val="Normaltindrag"/>
    <w:pPr>
      <w:ind w:firstLine="0"/>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3419</Characters>
  <Application>Microsoft Office Word</Application>
  <DocSecurity>4</DocSecurity>
  <Lines>106</Lines>
  <Paragraphs>38</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Skatteutskottets betänkande</vt:lpstr>
      <vt:lpstr>Sammanfattning</vt:lpstr>
      <vt:lpstr>Proposition 1998/99:69</vt:lpstr>
      <vt:lpstr>    Lagförslagen</vt:lpstr>
      <vt:lpstr>Utskottet</vt:lpstr>
      <vt:lpstr>    Hemställan</vt:lpstr>
    </vt:vector>
  </TitlesOfParts>
  <Company>Riksdagen</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1999-05-25T12:04:00Z</cp:lastPrinted>
  <dcterms:created xsi:type="dcterms:W3CDTF">2025-12-15T19:32:00Z</dcterms:created>
  <dcterms:modified xsi:type="dcterms:W3CDTF">2025-12-15T19:32:00Z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