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3CBFA4B3A64111865A2F0B6574E354"/>
        </w:placeholder>
        <w:text/>
      </w:sdtPr>
      <w:sdtEndPr/>
      <w:sdtContent>
        <w:p w:rsidRPr="009B062B" w:rsidR="00AF30DD" w:rsidP="00DA28CE" w:rsidRDefault="00AF30DD" w14:paraId="79BE52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13e7bd-bcdb-40b2-94c7-a26d90da4839"/>
        <w:id w:val="1334570926"/>
        <w:lock w:val="sdtLocked"/>
      </w:sdtPr>
      <w:sdtEndPr/>
      <w:sdtContent>
        <w:p w:rsidR="00D50061" w:rsidRDefault="00C77F99" w14:paraId="79BE52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breddad översyn av lagen om särskild utlänningskontroll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A3489EA769495BA3A20B2CE941357D"/>
        </w:placeholder>
        <w:text/>
      </w:sdtPr>
      <w:sdtEndPr/>
      <w:sdtContent>
        <w:p w:rsidRPr="009B062B" w:rsidR="006D79C9" w:rsidP="00333E95" w:rsidRDefault="006D79C9" w14:paraId="79BE527F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CB3FBE" w14:paraId="79BE5280" w14:textId="77777777">
      <w:pPr>
        <w:pStyle w:val="Normalutanindragellerluft"/>
      </w:pPr>
      <w:r>
        <w:t xml:space="preserve">Lagen om särskild utlänningskontroll ger möjlighet att i särskilda fall besluta om att en person utan svenskt medborgarskap ska utvisas ur landet, om det är särskilt påkallat av hänsyn till rikets säkerhet eller om det </w:t>
      </w:r>
      <w:r w:rsidR="00A71A44">
        <w:t xml:space="preserve">– </w:t>
      </w:r>
      <w:r w:rsidRPr="00CB3FBE">
        <w:t xml:space="preserve">med hänsyn till vad som är känt om utlänningens tidigare verksamhet och övriga omständigheter </w:t>
      </w:r>
      <w:r w:rsidR="00A71A44">
        <w:t xml:space="preserve">– </w:t>
      </w:r>
      <w:r w:rsidRPr="00CB3FBE">
        <w:t>kan befaras att han eller hon kommer att begå eller medverka till terroristbrott</w:t>
      </w:r>
      <w:r w:rsidR="00A71A44">
        <w:t>. Det är således en skyddslagstiftning som används i mycket särskilda fall där landets säkerhet står på spel. Som framgår av redogörelsen är det också sparsamt som lagstiftningen kommer till användning.</w:t>
      </w:r>
    </w:p>
    <w:p w:rsidR="00105DA8" w:rsidP="00A71A44" w:rsidRDefault="00A71A44" w14:paraId="79BE5281" w14:textId="2845BE81">
      <w:r>
        <w:t>Som nämns i skrivelsen har en särskild utredare till uppgift att göra en översyn av vissa aspekter i lagstiftningen. Det handlar bl</w:t>
      </w:r>
      <w:r w:rsidR="00551590">
        <w:t>.a.</w:t>
      </w:r>
      <w:r>
        <w:t xml:space="preserve"> om lagens tillämpningsområde, tidsgränsen för verkställighetsförvar och </w:t>
      </w:r>
      <w:r w:rsidR="00105DA8">
        <w:t xml:space="preserve">i vilka lägen som tvångsmedel ska kunna användas. </w:t>
      </w:r>
    </w:p>
    <w:p w:rsidR="00A71A44" w:rsidP="00A71A44" w:rsidRDefault="00105DA8" w14:paraId="79BE5282" w14:textId="3FBF92AB">
      <w:r>
        <w:t xml:space="preserve">Kommittédirektiven är dock så pass snävt hållna att vissa frågor som skapat påtagliga problem inte kommer att ingå i översynen. När en beslutad utvisning inte kan verkställas på grund av förhållanden i hemlandet </w:t>
      </w:r>
      <w:r w:rsidR="00635728">
        <w:t xml:space="preserve">kan personen inte längre hållas i förvar. De övriga verktyg som står till buds för rättsstaten är då inte tillräckliga. </w:t>
      </w:r>
      <w:r w:rsidR="00B4426D">
        <w:t xml:space="preserve">Det bör </w:t>
      </w:r>
      <w:r w:rsidR="00B05376">
        <w:t>bl</w:t>
      </w:r>
      <w:r w:rsidR="00551590">
        <w:t>.a.</w:t>
      </w:r>
      <w:r w:rsidR="00B05376">
        <w:t xml:space="preserve"> </w:t>
      </w:r>
      <w:r w:rsidR="00B4426D">
        <w:t xml:space="preserve">analyseras </w:t>
      </w:r>
      <w:r w:rsidR="00B05376">
        <w:t xml:space="preserve">vilken ordning som bör gälla för att utan onödiga dröjsmål ompröva frågan om verkställighetshinder när nya uppgifter framkommer om situationen i hemlandet. Vidare bör </w:t>
      </w:r>
      <w:r w:rsidR="00DD6F67">
        <w:t xml:space="preserve">möjligheterna att skydda samhället mot de personer som konstaterats utgöra ett säkerhetshot förbättras. Utöver de frågor som redan ingår i </w:t>
      </w:r>
      <w:r w:rsidR="00DD6F67">
        <w:lastRenderedPageBreak/>
        <w:t xml:space="preserve">direktivet, såsom elektronisk övervakning (fotboja), kan det handla om andra åtgärder </w:t>
      </w:r>
      <w:r w:rsidR="00845D73">
        <w:t xml:space="preserve">för att begränsa den säkerhetsrisk som följer av att </w:t>
      </w:r>
      <w:r w:rsidR="00DD6F67">
        <w:t xml:space="preserve">personerna </w:t>
      </w:r>
      <w:r w:rsidR="00845D73">
        <w:t>befinner sig i landet</w:t>
      </w:r>
      <w:r w:rsidR="004F551A">
        <w:t>.</w:t>
      </w:r>
      <w:r w:rsidR="006823CC">
        <w:t xml:space="preserve"> Vidare bör påföljderna för överträdelser av beslutad anmälningsplikt och andra begränsningar i sådana situationer skärpas. Till exempel </w:t>
      </w:r>
      <w:r w:rsidR="00933005">
        <w:t xml:space="preserve">kan inte böter ingå i påföljdsskalan för överträdelser av anmälningsplikten i en situation när det finns ett bakomliggande beslut som slår fast att personen utgör en sådan säkerhetsrisk att han eller hon inte alls bör vara kvar i landet. </w:t>
      </w:r>
    </w:p>
    <w:p w:rsidRPr="00A71A44" w:rsidR="00933005" w:rsidP="00A71A44" w:rsidRDefault="00933005" w14:paraId="79BE5283" w14:textId="77777777">
      <w:r>
        <w:t xml:space="preserve">Det får ankomma på regeringen att, antingen genom tilläggsdirektiv till den sittande utredningen eller genom ett nytt utredningsuppdrag, </w:t>
      </w:r>
      <w:r w:rsidR="00FA091E">
        <w:t>genomföra en breddad översyn av lagen om särskild utlänningskontroll i enlighet med vad som beskrivs ovan.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4A1F9942DBF40A19CD23EB3F733535F"/>
        </w:placeholder>
      </w:sdtPr>
      <w:sdtEndPr/>
      <w:sdtContent>
        <w:p w:rsidR="00E7458A" w:rsidP="00E7458A" w:rsidRDefault="00E7458A" w14:paraId="79BE5285" w14:textId="77777777"/>
        <w:p w:rsidRPr="008E0FE2" w:rsidR="004801AC" w:rsidP="00E7458A" w:rsidRDefault="00551590" w14:paraId="79BE52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56458A" w:rsidRDefault="0056458A" w14:paraId="79BE5293" w14:textId="77777777"/>
    <w:sectPr w:rsidR="005645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E5295" w14:textId="77777777" w:rsidR="00FF1C07" w:rsidRDefault="00FF1C07" w:rsidP="000C1CAD">
      <w:pPr>
        <w:spacing w:line="240" w:lineRule="auto"/>
      </w:pPr>
      <w:r>
        <w:separator/>
      </w:r>
    </w:p>
  </w:endnote>
  <w:endnote w:type="continuationSeparator" w:id="0">
    <w:p w14:paraId="79BE5296" w14:textId="77777777" w:rsidR="00FF1C07" w:rsidRDefault="00FF1C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E52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E52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E52A4" w14:textId="77777777" w:rsidR="00262EA3" w:rsidRPr="00E7458A" w:rsidRDefault="00262EA3" w:rsidP="00E745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E5293" w14:textId="77777777" w:rsidR="00FF1C07" w:rsidRDefault="00FF1C07" w:rsidP="000C1CAD">
      <w:pPr>
        <w:spacing w:line="240" w:lineRule="auto"/>
      </w:pPr>
      <w:r>
        <w:separator/>
      </w:r>
    </w:p>
  </w:footnote>
  <w:footnote w:type="continuationSeparator" w:id="0">
    <w:p w14:paraId="79BE5294" w14:textId="77777777" w:rsidR="00FF1C07" w:rsidRDefault="00FF1C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BE52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BE52A6" wp14:anchorId="79BE52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1590" w14:paraId="79BE52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0E301D3CD34F74B895A2E7D2728897"/>
                              </w:placeholder>
                              <w:text/>
                            </w:sdtPr>
                            <w:sdtEndPr/>
                            <w:sdtContent>
                              <w:r w:rsidR="00FF1C0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BECD013AF14725B00B739E762C9C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BE52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1590" w14:paraId="79BE52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0E301D3CD34F74B895A2E7D2728897"/>
                        </w:placeholder>
                        <w:text/>
                      </w:sdtPr>
                      <w:sdtEndPr/>
                      <w:sdtContent>
                        <w:r w:rsidR="00FF1C0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BECD013AF14725B00B739E762C9C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BE52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BE5299" w14:textId="77777777">
    <w:pPr>
      <w:jc w:val="right"/>
    </w:pPr>
  </w:p>
  <w:p w:rsidR="00262EA3" w:rsidP="00776B74" w:rsidRDefault="00262EA3" w14:paraId="79BE52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1590" w14:paraId="79BE52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BE52A8" wp14:anchorId="79BE52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1590" w14:paraId="79BE52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1C0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51590" w14:paraId="79BE52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1590" w14:paraId="79BE52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:3467</w:t>
        </w:r>
      </w:sdtContent>
    </w:sdt>
  </w:p>
  <w:p w:rsidR="00262EA3" w:rsidP="00E03A3D" w:rsidRDefault="00551590" w14:paraId="79BE52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Pehrson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3FBE" w14:paraId="79BE52A2" w14:textId="77777777">
        <w:pPr>
          <w:pStyle w:val="FSHRub2"/>
        </w:pPr>
        <w:r>
          <w:t>med anledning av skr. 2019/20:62 2019 års redogörelse för tillämpningen av lagen om särskild utlänningskontroll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BE52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F1C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A8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8D2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D4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79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51A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590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8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728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3CC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8BE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D7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AE6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005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A44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376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26D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77F99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FBE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061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67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8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91E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C07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BE527C"/>
  <w15:chartTrackingRefBased/>
  <w15:docId w15:val="{927BF59B-DCAC-46AD-B199-89961835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3CBFA4B3A64111865A2F0B6574E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BFF2E-00C8-4D2E-AE3A-848BA8448840}"/>
      </w:docPartPr>
      <w:docPartBody>
        <w:p w:rsidR="00C1044E" w:rsidRDefault="00C1044E">
          <w:pPr>
            <w:pStyle w:val="1A3CBFA4B3A64111865A2F0B6574E3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A3489EA769495BA3A20B2CE9413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D2CFC-9557-4C10-B184-079F020EF198}"/>
      </w:docPartPr>
      <w:docPartBody>
        <w:p w:rsidR="00C1044E" w:rsidRDefault="00C1044E">
          <w:pPr>
            <w:pStyle w:val="FEA3489EA769495BA3A20B2CE94135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0E301D3CD34F74B895A2E7D2728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2A39E-BE40-4F23-9CF3-559DCFFAE510}"/>
      </w:docPartPr>
      <w:docPartBody>
        <w:p w:rsidR="00C1044E" w:rsidRDefault="00C1044E">
          <w:pPr>
            <w:pStyle w:val="2D0E301D3CD34F74B895A2E7D27288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ECD013AF14725B00B739E762C9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C0740-D7F2-4205-ABB3-6A95124DF57A}"/>
      </w:docPartPr>
      <w:docPartBody>
        <w:p w:rsidR="00C1044E" w:rsidRDefault="00C1044E">
          <w:pPr>
            <w:pStyle w:val="8ABECD013AF14725B00B739E762C9CE6"/>
          </w:pPr>
          <w:r>
            <w:t xml:space="preserve"> </w:t>
          </w:r>
        </w:p>
      </w:docPartBody>
    </w:docPart>
    <w:docPart>
      <w:docPartPr>
        <w:name w:val="84A1F9942DBF40A19CD23EB3F7335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9F5DA-8C27-4E07-B328-F976623B30EC}"/>
      </w:docPartPr>
      <w:docPartBody>
        <w:p w:rsidR="005A0E28" w:rsidRDefault="005A0E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4E"/>
    <w:rsid w:val="005A0E28"/>
    <w:rsid w:val="00C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3CBFA4B3A64111865A2F0B6574E354">
    <w:name w:val="1A3CBFA4B3A64111865A2F0B6574E354"/>
  </w:style>
  <w:style w:type="paragraph" w:customStyle="1" w:styleId="52C4ACA4AE2C406BBCE8BE74BEF71CDF">
    <w:name w:val="52C4ACA4AE2C406BBCE8BE74BEF71C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AFB118535247CE8D855C7AFF6406A8">
    <w:name w:val="63AFB118535247CE8D855C7AFF6406A8"/>
  </w:style>
  <w:style w:type="paragraph" w:customStyle="1" w:styleId="FEA3489EA769495BA3A20B2CE941357D">
    <w:name w:val="FEA3489EA769495BA3A20B2CE941357D"/>
  </w:style>
  <w:style w:type="paragraph" w:customStyle="1" w:styleId="08F22420417C4135AB1C464AE0087565">
    <w:name w:val="08F22420417C4135AB1C464AE0087565"/>
  </w:style>
  <w:style w:type="paragraph" w:customStyle="1" w:styleId="32DEC7FF034144EA80AEBC69733E670C">
    <w:name w:val="32DEC7FF034144EA80AEBC69733E670C"/>
  </w:style>
  <w:style w:type="paragraph" w:customStyle="1" w:styleId="2D0E301D3CD34F74B895A2E7D2728897">
    <w:name w:val="2D0E301D3CD34F74B895A2E7D2728897"/>
  </w:style>
  <w:style w:type="paragraph" w:customStyle="1" w:styleId="8ABECD013AF14725B00B739E762C9CE6">
    <w:name w:val="8ABECD013AF14725B00B739E762C9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4D909-02A8-49E7-AAEF-B7EA6DB3CFA9}"/>
</file>

<file path=customXml/itemProps2.xml><?xml version="1.0" encoding="utf-8"?>
<ds:datastoreItem xmlns:ds="http://schemas.openxmlformats.org/officeDocument/2006/customXml" ds:itemID="{FE212477-8876-450E-9F4D-8DA99CB405C6}"/>
</file>

<file path=customXml/itemProps3.xml><?xml version="1.0" encoding="utf-8"?>
<ds:datastoreItem xmlns:ds="http://schemas.openxmlformats.org/officeDocument/2006/customXml" ds:itemID="{89B7739C-21FF-4485-81CB-95FB975A5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2253</Characters>
  <Application>Microsoft Office Word</Application>
  <DocSecurity>0</DocSecurity>
  <Lines>46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skr  2019 20 62 2019 års redogörelse för tillämpningen av lagen om särskild utlänningskontroll</vt:lpstr>
      <vt:lpstr>
      </vt:lpstr>
    </vt:vector>
  </TitlesOfParts>
  <Company>Sveriges riksdag</Company>
  <LinksUpToDate>false</LinksUpToDate>
  <CharactersWithSpaces>2633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