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84D2B">
        <w:tblPrEx>
          <w:tblCellMar>
            <w:top w:w="0" w:type="dxa"/>
            <w:bottom w:w="0" w:type="dxa"/>
          </w:tblCellMar>
        </w:tblPrEx>
        <w:tc>
          <w:tcPr>
            <w:tcW w:w="2268" w:type="dxa"/>
          </w:tcPr>
          <w:p w:rsidR="00C934C7" w:rsidRPr="00584D2B" w:rsidRDefault="00C934C7">
            <w:pPr>
              <w:framePr w:w="4400" w:h="1644" w:wrap="notBeside" w:vAnchor="page" w:hAnchor="page" w:x="6573" w:y="721"/>
              <w:rPr>
                <w:rFonts w:ascii="TradeGothic" w:hAnsi="TradeGothic"/>
                <w:i/>
                <w:sz w:val="18"/>
              </w:rPr>
            </w:pPr>
          </w:p>
        </w:tc>
        <w:tc>
          <w:tcPr>
            <w:tcW w:w="2347" w:type="dxa"/>
            <w:gridSpan w:val="2"/>
          </w:tcPr>
          <w:p w:rsidR="00C934C7" w:rsidRPr="00584D2B" w:rsidRDefault="00C934C7">
            <w:pPr>
              <w:framePr w:w="4400" w:h="1644" w:wrap="notBeside" w:vAnchor="page" w:hAnchor="page" w:x="6573" w:y="721"/>
              <w:rPr>
                <w:rFonts w:ascii="TradeGothic" w:hAnsi="TradeGothic"/>
                <w:i/>
                <w:sz w:val="18"/>
              </w:rPr>
            </w:pPr>
          </w:p>
        </w:tc>
      </w:tr>
      <w:tr w:rsidR="00000000" w:rsidRPr="00584D2B">
        <w:tblPrEx>
          <w:tblCellMar>
            <w:top w:w="0" w:type="dxa"/>
            <w:bottom w:w="0" w:type="dxa"/>
          </w:tblCellMar>
        </w:tblPrEx>
        <w:trPr>
          <w:cantSplit/>
        </w:trPr>
        <w:tc>
          <w:tcPr>
            <w:tcW w:w="4615" w:type="dxa"/>
            <w:gridSpan w:val="3"/>
          </w:tcPr>
          <w:p w:rsidR="00C934C7" w:rsidRPr="00584D2B" w:rsidRDefault="00C934C7">
            <w:pPr>
              <w:framePr w:w="4400" w:h="1644" w:wrap="notBeside" w:vAnchor="page" w:hAnchor="page" w:x="6573" w:y="721"/>
              <w:rPr>
                <w:rFonts w:ascii="TradeGothic" w:hAnsi="TradeGothic"/>
                <w:b/>
                <w:sz w:val="22"/>
              </w:rPr>
            </w:pPr>
            <w:r w:rsidRPr="00584D2B">
              <w:rPr>
                <w:rFonts w:ascii="TradeGothic" w:hAnsi="TradeGothic"/>
                <w:b/>
                <w:sz w:val="22"/>
              </w:rPr>
              <w:t>Rådspromemoria</w:t>
            </w:r>
          </w:p>
        </w:tc>
      </w:tr>
      <w:tr w:rsidR="00000000" w:rsidRPr="00584D2B">
        <w:tblPrEx>
          <w:tblCellMar>
            <w:top w:w="0" w:type="dxa"/>
            <w:bottom w:w="0" w:type="dxa"/>
          </w:tblCellMar>
        </w:tblPrEx>
        <w:tc>
          <w:tcPr>
            <w:tcW w:w="3402" w:type="dxa"/>
            <w:gridSpan w:val="2"/>
          </w:tcPr>
          <w:p w:rsidR="00C934C7" w:rsidRPr="00584D2B" w:rsidRDefault="00C934C7">
            <w:pPr>
              <w:framePr w:w="4400" w:h="1644" w:wrap="notBeside" w:vAnchor="page" w:hAnchor="page" w:x="6573" w:y="721"/>
            </w:pPr>
          </w:p>
        </w:tc>
        <w:tc>
          <w:tcPr>
            <w:tcW w:w="1213" w:type="dxa"/>
          </w:tcPr>
          <w:p w:rsidR="00C934C7" w:rsidRPr="00584D2B" w:rsidRDefault="00C934C7">
            <w:pPr>
              <w:framePr w:w="4400" w:h="1644" w:wrap="notBeside" w:vAnchor="page" w:hAnchor="page" w:x="6573" w:y="721"/>
            </w:pPr>
          </w:p>
        </w:tc>
      </w:tr>
      <w:tr w:rsidR="00000000" w:rsidRPr="00584D2B">
        <w:tblPrEx>
          <w:tblCellMar>
            <w:top w:w="0" w:type="dxa"/>
            <w:bottom w:w="0" w:type="dxa"/>
          </w:tblCellMar>
        </w:tblPrEx>
        <w:tc>
          <w:tcPr>
            <w:tcW w:w="2268" w:type="dxa"/>
          </w:tcPr>
          <w:p w:rsidR="00C934C7" w:rsidRPr="00584D2B" w:rsidRDefault="00C934C7">
            <w:pPr>
              <w:framePr w:w="4400" w:h="1644" w:wrap="notBeside" w:vAnchor="page" w:hAnchor="page" w:x="6573" w:y="721"/>
            </w:pPr>
            <w:r w:rsidRPr="00584D2B">
              <w:t>2006-05-18</w:t>
            </w:r>
          </w:p>
        </w:tc>
        <w:tc>
          <w:tcPr>
            <w:tcW w:w="2347" w:type="dxa"/>
            <w:gridSpan w:val="2"/>
          </w:tcPr>
          <w:p w:rsidR="00C934C7" w:rsidRPr="00584D2B" w:rsidRDefault="00C934C7">
            <w:pPr>
              <w:framePr w:w="4400" w:h="1644" w:wrap="notBeside" w:vAnchor="page" w:hAnchor="page" w:x="6573" w:y="721"/>
            </w:pPr>
          </w:p>
        </w:tc>
      </w:tr>
      <w:tr w:rsidR="00000000" w:rsidRPr="00584D2B">
        <w:tblPrEx>
          <w:tblCellMar>
            <w:top w:w="0" w:type="dxa"/>
            <w:bottom w:w="0" w:type="dxa"/>
          </w:tblCellMar>
        </w:tblPrEx>
        <w:tc>
          <w:tcPr>
            <w:tcW w:w="2268" w:type="dxa"/>
          </w:tcPr>
          <w:p w:rsidR="00C934C7" w:rsidRPr="00584D2B" w:rsidRDefault="00C934C7">
            <w:pPr>
              <w:framePr w:w="4400" w:h="1644" w:wrap="notBeside" w:vAnchor="page" w:hAnchor="page" w:x="6573" w:y="721"/>
            </w:pPr>
          </w:p>
        </w:tc>
        <w:tc>
          <w:tcPr>
            <w:tcW w:w="2347" w:type="dxa"/>
            <w:gridSpan w:val="2"/>
          </w:tcPr>
          <w:p w:rsidR="00C934C7" w:rsidRPr="00584D2B" w:rsidRDefault="00C934C7">
            <w:pPr>
              <w:framePr w:w="4400" w:h="1644" w:wrap="notBeside" w:vAnchor="page" w:hAnchor="page" w:x="6573" w:y="721"/>
            </w:pPr>
          </w:p>
        </w:tc>
      </w:tr>
    </w:tbl>
    <w:tbl>
      <w:tblPr>
        <w:tblW w:w="4917" w:type="dxa"/>
        <w:tblLayout w:type="fixed"/>
        <w:tblLook w:val="0000" w:firstRow="0" w:lastRow="0" w:firstColumn="0" w:lastColumn="0" w:noHBand="0" w:noVBand="0"/>
      </w:tblPr>
      <w:tblGrid>
        <w:gridCol w:w="4917"/>
      </w:tblGrid>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
                <w:i w:val="0"/>
                <w:sz w:val="22"/>
              </w:rPr>
            </w:pPr>
            <w:r w:rsidRPr="00584D2B">
              <w:rPr>
                <w:b/>
                <w:i w:val="0"/>
                <w:sz w:val="22"/>
              </w:rPr>
              <w:t>Justitiedepartementet</w:t>
            </w: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r w:rsidRPr="00584D2B">
              <w:rPr>
                <w:bCs/>
                <w:iCs/>
              </w:rPr>
              <w:t>Enheten för processrätt och domstolsfrågor</w:t>
            </w: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r w:rsidR="00000000" w:rsidRPr="00584D2B">
        <w:tblPrEx>
          <w:tblCellMar>
            <w:top w:w="0" w:type="dxa"/>
            <w:bottom w:w="0" w:type="dxa"/>
          </w:tblCellMar>
        </w:tblPrEx>
        <w:trPr>
          <w:trHeight w:val="283"/>
        </w:trPr>
        <w:tc>
          <w:tcPr>
            <w:tcW w:w="4917" w:type="dxa"/>
          </w:tcPr>
          <w:p w:rsidR="00C934C7" w:rsidRPr="00584D2B" w:rsidRDefault="00C934C7">
            <w:pPr>
              <w:pStyle w:val="Avsndare"/>
              <w:framePr w:h="2483" w:wrap="notBeside" w:x="1454" w:y="2225"/>
              <w:rPr>
                <w:bCs/>
                <w:iCs/>
              </w:rPr>
            </w:pPr>
          </w:p>
        </w:tc>
      </w:tr>
    </w:tbl>
    <w:p w:rsidR="00C934C7" w:rsidRPr="00584D2B" w:rsidRDefault="00C934C7">
      <w:pPr>
        <w:framePr w:w="4400" w:h="2523" w:wrap="notBeside" w:vAnchor="page" w:hAnchor="page" w:x="6453" w:y="2445"/>
        <w:ind w:left="142"/>
        <w:rPr>
          <w:b/>
        </w:rPr>
      </w:pPr>
    </w:p>
    <w:p w:rsidR="00C934C7" w:rsidRPr="00584D2B" w:rsidRDefault="00C934C7">
      <w:pPr>
        <w:pStyle w:val="RKrubrik"/>
        <w:pBdr>
          <w:bottom w:val="single" w:sz="6" w:space="1" w:color="auto"/>
        </w:pBdr>
      </w:pPr>
      <w:bookmarkStart w:id="0" w:name="bRubrik"/>
      <w:bookmarkEnd w:id="0"/>
      <w:r w:rsidRPr="00584D2B">
        <w:t>Rådets möte för rättsliga och inrikes frågor (RIF) den 1-2 juni 2006</w:t>
      </w:r>
    </w:p>
    <w:p w:rsidR="00C934C7" w:rsidRPr="00584D2B" w:rsidRDefault="00C934C7">
      <w:pPr>
        <w:pStyle w:val="RKnormal"/>
      </w:pPr>
    </w:p>
    <w:p w:rsidR="00C934C7" w:rsidRPr="00584D2B" w:rsidRDefault="00C934C7">
      <w:pPr>
        <w:pStyle w:val="RKnormal"/>
        <w:rPr>
          <w:b/>
          <w:bCs/>
        </w:rPr>
      </w:pPr>
      <w:r w:rsidRPr="00584D2B">
        <w:rPr>
          <w:b/>
          <w:bCs/>
        </w:rPr>
        <w:t>Dagordningspunkt 6</w:t>
      </w:r>
    </w:p>
    <w:p w:rsidR="00C934C7" w:rsidRPr="00584D2B" w:rsidRDefault="00C934C7">
      <w:pPr>
        <w:pStyle w:val="RKnormal"/>
      </w:pPr>
    </w:p>
    <w:p w:rsidR="00C934C7" w:rsidRPr="00584D2B" w:rsidRDefault="00C934C7">
      <w:pPr>
        <w:pStyle w:val="RKnormal"/>
        <w:rPr>
          <w:b/>
          <w:bCs/>
        </w:rPr>
      </w:pPr>
      <w:r w:rsidRPr="00584D2B">
        <w:rPr>
          <w:b/>
          <w:bCs/>
        </w:rPr>
        <w:t>Revidering av rådets förordning om delgivning av handlingar i mål och ärenden av civil eller kommersiell natur</w:t>
      </w:r>
    </w:p>
    <w:p w:rsidR="00C934C7" w:rsidRPr="00584D2B" w:rsidRDefault="00C934C7">
      <w:pPr>
        <w:pStyle w:val="RKnormal"/>
      </w:pPr>
    </w:p>
    <w:p w:rsidR="00C934C7" w:rsidRPr="00584D2B" w:rsidRDefault="00C934C7">
      <w:pPr>
        <w:pStyle w:val="RKnormal"/>
      </w:pPr>
      <w:r w:rsidRPr="00584D2B">
        <w:t>Dokument: 8787/06 JUSTCIV 110 CODEC 397 (bifogas)</w:t>
      </w:r>
    </w:p>
    <w:p w:rsidR="00C934C7" w:rsidRPr="00584D2B" w:rsidRDefault="00C934C7">
      <w:pPr>
        <w:pStyle w:val="RKnormal"/>
      </w:pPr>
      <w:r w:rsidRPr="00584D2B">
        <w:t xml:space="preserve">                     </w:t>
      </w:r>
    </w:p>
    <w:p w:rsidR="00C934C7" w:rsidRPr="00584D2B" w:rsidRDefault="00C934C7">
      <w:pPr>
        <w:pStyle w:val="RKnormal"/>
      </w:pPr>
      <w:r w:rsidRPr="00584D2B">
        <w:t xml:space="preserve">Tidigare dokument: KOM (2005) 305 slutlig, Fakta-PM </w:t>
      </w:r>
    </w:p>
    <w:p w:rsidR="00C934C7" w:rsidRPr="00584D2B" w:rsidRDefault="00C934C7">
      <w:pPr>
        <w:pStyle w:val="RKnormal"/>
      </w:pPr>
      <w:r w:rsidRPr="00584D2B">
        <w:t>Justitiedepartementet 2005/06:FPM8</w:t>
      </w:r>
    </w:p>
    <w:p w:rsidR="00C934C7" w:rsidRPr="00584D2B" w:rsidRDefault="00C934C7">
      <w:pPr>
        <w:pStyle w:val="RKnormal"/>
      </w:pPr>
    </w:p>
    <w:p w:rsidR="00C934C7" w:rsidRPr="00584D2B" w:rsidRDefault="00C934C7">
      <w:pPr>
        <w:pStyle w:val="RKnormal"/>
      </w:pPr>
      <w:r w:rsidRPr="00584D2B">
        <w:t>Förslaget har inte tidigare behandlats vid samråd med EU-nämnden</w:t>
      </w:r>
    </w:p>
    <w:p w:rsidR="00C934C7" w:rsidRPr="00584D2B" w:rsidRDefault="00C934C7">
      <w:pPr>
        <w:pStyle w:val="RKrubrik"/>
      </w:pPr>
      <w:r w:rsidRPr="00584D2B">
        <w:t>Bakgrund</w:t>
      </w:r>
    </w:p>
    <w:p w:rsidR="00C934C7" w:rsidRPr="00584D2B" w:rsidRDefault="00C934C7">
      <w:pPr>
        <w:pStyle w:val="RKnormal"/>
      </w:pPr>
    </w:p>
    <w:p w:rsidR="00C934C7" w:rsidRPr="00584D2B" w:rsidRDefault="00C934C7">
      <w:pPr>
        <w:pStyle w:val="RKnormal"/>
      </w:pPr>
      <w:r w:rsidRPr="00584D2B">
        <w:t>EG:s delgivningsförordning syftar till att underlätta översändandet av handlingar mellan medlemsstaterna i mål och ärenden av civil och kommersiell natur.</w:t>
      </w:r>
    </w:p>
    <w:p w:rsidR="00C934C7" w:rsidRPr="00584D2B" w:rsidRDefault="00C934C7">
      <w:pPr>
        <w:pStyle w:val="RKnormal"/>
      </w:pPr>
    </w:p>
    <w:p w:rsidR="00C934C7" w:rsidRPr="00584D2B" w:rsidRDefault="00C934C7">
      <w:pPr>
        <w:pStyle w:val="RKnormal"/>
      </w:pPr>
      <w:r w:rsidRPr="00584D2B">
        <w:t>KOM antog den 1 oktober 2004 en rapport om tillämpningen av delgivningsförordningen. I rapporten konstateras att tillämpningen av förordningen generellt har påskyndat översändning och delgivning av handlingar mellan medlemsstaterna, men att tillämpningen av vissa bestämmelser inte är tillfredsställande.</w:t>
      </w:r>
    </w:p>
    <w:p w:rsidR="00C934C7" w:rsidRPr="00584D2B" w:rsidRDefault="00C934C7">
      <w:pPr>
        <w:pStyle w:val="RKnormal"/>
      </w:pPr>
    </w:p>
    <w:p w:rsidR="00C934C7" w:rsidRPr="00584D2B" w:rsidRDefault="00C934C7">
      <w:pPr>
        <w:pStyle w:val="RKnormal"/>
      </w:pPr>
      <w:r w:rsidRPr="00584D2B">
        <w:t xml:space="preserve">KOM har mot denna bakgrund föreslagit ändringar i förordningen. </w:t>
      </w:r>
    </w:p>
    <w:p w:rsidR="00C934C7" w:rsidRPr="00584D2B" w:rsidRDefault="00C934C7">
      <w:pPr>
        <w:pStyle w:val="RKnormal"/>
      </w:pPr>
    </w:p>
    <w:p w:rsidR="00C934C7" w:rsidRPr="00584D2B" w:rsidRDefault="00C934C7">
      <w:pPr>
        <w:pStyle w:val="RKnormal"/>
      </w:pPr>
      <w:r w:rsidRPr="00584D2B">
        <w:t>Ordförandeskapet söker en politisk överenskommelse rörande en kompromiss avseende samtliga ändringsförslag.</w:t>
      </w:r>
    </w:p>
    <w:p w:rsidR="00C934C7" w:rsidRPr="00584D2B" w:rsidRDefault="00C934C7">
      <w:pPr>
        <w:pStyle w:val="RKrubrik"/>
      </w:pPr>
    </w:p>
    <w:p w:rsidR="00C934C7" w:rsidRPr="00584D2B" w:rsidRDefault="00C934C7">
      <w:pPr>
        <w:pStyle w:val="RKrubrik"/>
      </w:pPr>
      <w:r w:rsidRPr="00584D2B">
        <w:t>Rättslig grund och beslutsförfarande</w:t>
      </w:r>
    </w:p>
    <w:p w:rsidR="00C934C7" w:rsidRPr="00584D2B" w:rsidRDefault="00C934C7">
      <w:pPr>
        <w:pStyle w:val="RKnormal"/>
      </w:pPr>
    </w:p>
    <w:p w:rsidR="00C934C7" w:rsidRPr="00584D2B" w:rsidRDefault="00C934C7">
      <w:pPr>
        <w:pStyle w:val="RKnormal"/>
      </w:pPr>
      <w:r w:rsidRPr="00584D2B">
        <w:t>Artikel 61 c i Fördraget om upprättandet av Europeiska gemenskapen.</w:t>
      </w:r>
    </w:p>
    <w:p w:rsidR="00C934C7" w:rsidRPr="00584D2B" w:rsidRDefault="00C934C7">
      <w:pPr>
        <w:pStyle w:val="RKnormal"/>
      </w:pPr>
      <w:r w:rsidRPr="00584D2B">
        <w:t>Medbeslutandeförfarande. Kvalificerad majoritet</w:t>
      </w:r>
    </w:p>
    <w:p w:rsidR="00C934C7" w:rsidRPr="00584D2B" w:rsidRDefault="00C934C7">
      <w:pPr>
        <w:pStyle w:val="RKrubrik"/>
      </w:pPr>
      <w:r w:rsidRPr="00584D2B">
        <w:t>Svensk ståndpunkt</w:t>
      </w:r>
    </w:p>
    <w:p w:rsidR="00C934C7" w:rsidRPr="00584D2B" w:rsidRDefault="00C934C7">
      <w:pPr>
        <w:pStyle w:val="RKnormal"/>
      </w:pPr>
    </w:p>
    <w:p w:rsidR="00C934C7" w:rsidRPr="00584D2B" w:rsidRDefault="00C934C7">
      <w:pPr>
        <w:pStyle w:val="RKnormal"/>
      </w:pPr>
      <w:r w:rsidRPr="00584D2B">
        <w:t>Sverige stödjer kompromissförslaget som innebär förbättringar av de nuvarande bestämmelserna, nämligen ökad effektivitet och förutsebarhet vid tillämpningen av delgivning mellan medlemsstaterna.</w:t>
      </w:r>
    </w:p>
    <w:p w:rsidR="00C934C7" w:rsidRPr="00584D2B" w:rsidRDefault="00C934C7">
      <w:pPr>
        <w:pStyle w:val="RKrubrik"/>
      </w:pPr>
      <w:r w:rsidRPr="00584D2B">
        <w:t>Europaparlamentets inställning</w:t>
      </w:r>
    </w:p>
    <w:p w:rsidR="00C934C7" w:rsidRPr="00584D2B" w:rsidRDefault="00C934C7">
      <w:pPr>
        <w:pStyle w:val="RKnormal"/>
      </w:pPr>
      <w:r w:rsidRPr="00584D2B">
        <w:t>Parlamentet har ännu inte avgett yttrande.</w:t>
      </w:r>
    </w:p>
    <w:p w:rsidR="00C934C7" w:rsidRPr="00584D2B" w:rsidRDefault="00C934C7">
      <w:pPr>
        <w:pStyle w:val="RKnormal"/>
      </w:pPr>
    </w:p>
    <w:p w:rsidR="00C934C7" w:rsidRPr="00584D2B" w:rsidRDefault="00C934C7">
      <w:pPr>
        <w:pStyle w:val="RKrubrik"/>
        <w:rPr>
          <w:i/>
          <w:iCs/>
        </w:rPr>
      </w:pPr>
      <w:r w:rsidRPr="00584D2B">
        <w:rPr>
          <w:i/>
          <w:iCs/>
        </w:rPr>
        <w:t>Förslaget</w:t>
      </w:r>
    </w:p>
    <w:p w:rsidR="00C934C7" w:rsidRPr="00584D2B" w:rsidRDefault="00C934C7">
      <w:pPr>
        <w:pStyle w:val="RKnormal"/>
      </w:pPr>
    </w:p>
    <w:p w:rsidR="00C934C7" w:rsidRPr="00584D2B" w:rsidRDefault="00C934C7">
      <w:pPr>
        <w:pStyle w:val="RKnormal"/>
      </w:pPr>
      <w:r w:rsidRPr="00584D2B">
        <w:t xml:space="preserve">Ett antal ändringar föreslås i delgivningsförordningen. Som exempel kan följande nämnas. </w:t>
      </w:r>
    </w:p>
    <w:p w:rsidR="00C934C7" w:rsidRPr="00584D2B" w:rsidRDefault="00C934C7">
      <w:pPr>
        <w:pStyle w:val="RKrubrik"/>
        <w:rPr>
          <w:b w:val="0"/>
          <w:bCs/>
        </w:rPr>
      </w:pPr>
      <w:r w:rsidRPr="00584D2B">
        <w:rPr>
          <w:b w:val="0"/>
          <w:bCs/>
        </w:rPr>
        <w:t>1. Snabbare delgivning</w:t>
      </w:r>
    </w:p>
    <w:p w:rsidR="00C934C7" w:rsidRPr="00584D2B" w:rsidRDefault="00C934C7">
      <w:pPr>
        <w:pStyle w:val="RKnormal"/>
      </w:pPr>
    </w:p>
    <w:p w:rsidR="00C934C7" w:rsidRPr="00584D2B" w:rsidRDefault="00C934C7">
      <w:pPr>
        <w:pStyle w:val="RKnormal"/>
      </w:pPr>
      <w:r w:rsidRPr="00584D2B">
        <w:t>En tidsfrist för delgivningen införs genom att det anges att delgivning skall ske snarast möjligt och i alla händelser inom en månad från mottagandet. Enligt den nuvarande lydelsen anges det endast att delgivning skall vidtas så snart som möjligt.</w:t>
      </w:r>
    </w:p>
    <w:p w:rsidR="00C934C7" w:rsidRPr="00584D2B" w:rsidRDefault="00C934C7">
      <w:pPr>
        <w:pStyle w:val="RKrubrik"/>
        <w:rPr>
          <w:b w:val="0"/>
          <w:bCs/>
        </w:rPr>
      </w:pPr>
      <w:r w:rsidRPr="00584D2B">
        <w:rPr>
          <w:b w:val="0"/>
          <w:bCs/>
        </w:rPr>
        <w:t>2. Flexiblare översättningsregel</w:t>
      </w:r>
    </w:p>
    <w:p w:rsidR="00C934C7" w:rsidRPr="00584D2B" w:rsidRDefault="00C934C7">
      <w:pPr>
        <w:pStyle w:val="RKnormal"/>
      </w:pPr>
    </w:p>
    <w:p w:rsidR="00C934C7" w:rsidRPr="00584D2B" w:rsidRDefault="00C934C7">
      <w:pPr>
        <w:pStyle w:val="RKnormal"/>
      </w:pPr>
      <w:r w:rsidRPr="00584D2B">
        <w:t xml:space="preserve">Det blir alltid tillåtet att delge handlingar som är skrivna i, eller översatta till, ett språk som adressaten förstår. Enligt den nuvarande lydelsen måste språket alltid vara ett officiellt språk i antingen den avsändande eller den mottagande medlemsstaten. </w:t>
      </w:r>
    </w:p>
    <w:p w:rsidR="00C934C7" w:rsidRPr="00584D2B" w:rsidRDefault="00C934C7">
      <w:pPr>
        <w:pStyle w:val="RKrubrik"/>
        <w:rPr>
          <w:b w:val="0"/>
          <w:bCs/>
        </w:rPr>
      </w:pPr>
      <w:r w:rsidRPr="00584D2B">
        <w:rPr>
          <w:b w:val="0"/>
          <w:bCs/>
        </w:rPr>
        <w:t>3. Bättre förutsebarhet beträffande delgivningskostnaderna</w:t>
      </w:r>
    </w:p>
    <w:p w:rsidR="00C934C7" w:rsidRPr="00584D2B" w:rsidRDefault="00C934C7">
      <w:pPr>
        <w:pStyle w:val="RKnormal"/>
      </w:pPr>
    </w:p>
    <w:p w:rsidR="00C934C7" w:rsidRPr="00584D2B" w:rsidRDefault="00C934C7">
      <w:pPr>
        <w:pStyle w:val="RKnormal"/>
      </w:pPr>
      <w:r w:rsidRPr="00584D2B">
        <w:t xml:space="preserve">Kostnaden för delgivning med stämningsman skall motsvara en på förhand fastställd avgift. Medlemsstaterna skall underrätta kommissionen om den avgift som tillämpas. Enligt den nuvarande ordningen finns det inte någon möjlighet för sökanden att i förväg få veta vad kostnaderna för delgivningen kommer att bli. </w:t>
      </w:r>
    </w:p>
    <w:p w:rsidR="00C934C7" w:rsidRPr="00584D2B" w:rsidRDefault="00C934C7">
      <w:pPr>
        <w:pStyle w:val="RKnormal"/>
        <w:rPr>
          <w:i/>
          <w:iCs/>
        </w:rPr>
      </w:pPr>
    </w:p>
    <w:p w:rsidR="00C934C7" w:rsidRPr="00584D2B" w:rsidRDefault="00C934C7">
      <w:pPr>
        <w:pStyle w:val="RKrubrik"/>
        <w:rPr>
          <w:i/>
          <w:iCs/>
        </w:rPr>
      </w:pPr>
      <w:r w:rsidRPr="00584D2B">
        <w:rPr>
          <w:i/>
          <w:iCs/>
        </w:rPr>
        <w:t>Gällande svenska regler och förslagets effekter på dessa</w:t>
      </w:r>
    </w:p>
    <w:p w:rsidR="00C934C7" w:rsidRPr="00584D2B" w:rsidRDefault="00C934C7">
      <w:pPr>
        <w:pStyle w:val="RKnormal"/>
      </w:pPr>
    </w:p>
    <w:p w:rsidR="00C934C7" w:rsidRPr="00584D2B" w:rsidRDefault="00C934C7">
      <w:pPr>
        <w:pStyle w:val="RKnormal"/>
      </w:pPr>
      <w:r w:rsidRPr="00584D2B">
        <w:t>Förordningen reglerar endast förfarandet mellan organen i medlems</w:t>
      </w:r>
      <w:r w:rsidRPr="00584D2B">
        <w:softHyphen/>
        <w:t>staterna.  Däremot påverkar förordningen inte de nationella materiella bestämmelserna om delgivning.</w:t>
      </w:r>
    </w:p>
    <w:p w:rsidR="00C934C7" w:rsidRPr="00584D2B" w:rsidRDefault="00C934C7">
      <w:pPr>
        <w:pStyle w:val="RKrubrik"/>
      </w:pPr>
      <w:r w:rsidRPr="00584D2B">
        <w:t>Ekonomiska konsekvenser</w:t>
      </w:r>
    </w:p>
    <w:p w:rsidR="00C934C7" w:rsidRPr="00584D2B" w:rsidRDefault="00C934C7">
      <w:pPr>
        <w:pStyle w:val="RKnormal"/>
      </w:pPr>
    </w:p>
    <w:p w:rsidR="00C934C7" w:rsidRPr="00584D2B" w:rsidRDefault="00C934C7">
      <w:pPr>
        <w:pStyle w:val="RKnormal"/>
      </w:pPr>
      <w:r w:rsidRPr="00584D2B">
        <w:t xml:space="preserve">Förslaget kommer inte att medföra några budgetmässiga konsekvenser som inte kan finansieras inom befintliga ramar. </w:t>
      </w:r>
    </w:p>
    <w:p w:rsidR="00C934C7" w:rsidRPr="00584D2B" w:rsidRDefault="00C934C7">
      <w:pPr>
        <w:pStyle w:val="RKnormal"/>
      </w:pPr>
    </w:p>
    <w:p w:rsidR="00C934C7" w:rsidRPr="00584D2B" w:rsidRDefault="00C934C7">
      <w:pPr>
        <w:pStyle w:val="RKnormal"/>
        <w:ind w:left="-1134"/>
      </w:pPr>
    </w:p>
    <w:p w:rsidR="00C934C7" w:rsidRPr="00584D2B" w:rsidRDefault="00C934C7">
      <w:pPr>
        <w:pStyle w:val="RKrubrik"/>
        <w:spacing w:before="0" w:after="0"/>
      </w:pPr>
    </w:p>
    <w:p w:rsidR="00C934C7" w:rsidRPr="00584D2B" w:rsidRDefault="00C934C7">
      <w:pPr>
        <w:pStyle w:val="RKnormal"/>
      </w:pPr>
    </w:p>
    <w:p w:rsidR="00C934C7" w:rsidRPr="00584D2B" w:rsidRDefault="00C934C7">
      <w:pPr>
        <w:pStyle w:val="RKnormal"/>
      </w:pPr>
    </w:p>
    <w:sectPr w:rsidR="00C934C7" w:rsidRPr="00584D2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4C7" w:rsidRPr="00584D2B" w:rsidRDefault="00C934C7">
      <w:pPr>
        <w:spacing w:line="240" w:lineRule="auto"/>
      </w:pPr>
      <w:r w:rsidRPr="00584D2B">
        <w:separator/>
      </w:r>
    </w:p>
  </w:endnote>
  <w:endnote w:type="continuationSeparator" w:id="0">
    <w:p w:rsidR="00C934C7" w:rsidRPr="00584D2B" w:rsidRDefault="00C934C7">
      <w:pPr>
        <w:spacing w:line="240" w:lineRule="auto"/>
      </w:pPr>
      <w:r w:rsidRPr="00584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4C7" w:rsidRPr="00584D2B" w:rsidRDefault="00C934C7">
      <w:pPr>
        <w:spacing w:line="240" w:lineRule="auto"/>
      </w:pPr>
      <w:r w:rsidRPr="00584D2B">
        <w:separator/>
      </w:r>
    </w:p>
  </w:footnote>
  <w:footnote w:type="continuationSeparator" w:id="0">
    <w:p w:rsidR="00C934C7" w:rsidRPr="00584D2B" w:rsidRDefault="00C934C7">
      <w:pPr>
        <w:spacing w:line="240" w:lineRule="auto"/>
      </w:pPr>
      <w:r w:rsidRPr="00584D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C7" w:rsidRPr="00584D2B" w:rsidRDefault="00C934C7">
    <w:pPr>
      <w:pStyle w:val="Sidhuvud"/>
      <w:framePr w:wrap="around" w:vAnchor="text" w:hAnchor="margin" w:xAlign="right" w:y="1"/>
      <w:rPr>
        <w:rStyle w:val="Sidnummer"/>
      </w:rPr>
    </w:pPr>
    <w:r w:rsidRPr="00584D2B">
      <w:rPr>
        <w:rStyle w:val="Sidnummer"/>
      </w:rPr>
      <w:fldChar w:fldCharType="begin" w:fldLock="1"/>
    </w:r>
    <w:r w:rsidRPr="00584D2B">
      <w:rPr>
        <w:rStyle w:val="Sidnummer"/>
      </w:rPr>
      <w:instrText xml:space="preserve">PAGE  </w:instrText>
    </w:r>
    <w:r w:rsidRPr="00584D2B">
      <w:rPr>
        <w:rStyle w:val="Sidnummer"/>
      </w:rPr>
      <w:fldChar w:fldCharType="separate"/>
    </w:r>
    <w:r w:rsidRPr="00584D2B">
      <w:rPr>
        <w:rStyle w:val="Sidnummer"/>
      </w:rPr>
      <w:t>2</w:t>
    </w:r>
    <w:r w:rsidRPr="00584D2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84D2B">
      <w:tblPrEx>
        <w:tblCellMar>
          <w:top w:w="0" w:type="dxa"/>
          <w:bottom w:w="0" w:type="dxa"/>
        </w:tblCellMar>
      </w:tblPrEx>
      <w:trPr>
        <w:cantSplit/>
      </w:trPr>
      <w:tc>
        <w:tcPr>
          <w:tcW w:w="3119" w:type="dxa"/>
        </w:tcPr>
        <w:p w:rsidR="00C934C7" w:rsidRPr="00584D2B" w:rsidRDefault="00C934C7">
          <w:pPr>
            <w:pStyle w:val="Sidhuvud"/>
            <w:spacing w:line="200" w:lineRule="atLeast"/>
            <w:ind w:right="357"/>
            <w:rPr>
              <w:rFonts w:ascii="TradeGothic" w:hAnsi="TradeGothic"/>
              <w:b/>
              <w:bCs/>
              <w:sz w:val="16"/>
            </w:rPr>
          </w:pPr>
        </w:p>
      </w:tc>
      <w:tc>
        <w:tcPr>
          <w:tcW w:w="4111" w:type="dxa"/>
          <w:tcMar>
            <w:left w:w="567" w:type="dxa"/>
          </w:tcMar>
        </w:tcPr>
        <w:p w:rsidR="00C934C7" w:rsidRPr="00584D2B" w:rsidRDefault="00C934C7">
          <w:pPr>
            <w:pStyle w:val="Sidhuvud"/>
            <w:ind w:right="360"/>
          </w:pPr>
        </w:p>
      </w:tc>
      <w:tc>
        <w:tcPr>
          <w:tcW w:w="1525" w:type="dxa"/>
        </w:tcPr>
        <w:p w:rsidR="00C934C7" w:rsidRPr="00584D2B" w:rsidRDefault="00C934C7">
          <w:pPr>
            <w:pStyle w:val="Sidhuvud"/>
            <w:ind w:right="360"/>
          </w:pPr>
        </w:p>
      </w:tc>
    </w:tr>
  </w:tbl>
  <w:p w:rsidR="00C934C7" w:rsidRPr="00584D2B" w:rsidRDefault="00C934C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C7" w:rsidRPr="00584D2B" w:rsidRDefault="00C934C7">
    <w:pPr>
      <w:pStyle w:val="Sidhuvud"/>
      <w:framePr w:wrap="around" w:vAnchor="text" w:hAnchor="margin" w:xAlign="right" w:y="1"/>
      <w:rPr>
        <w:rStyle w:val="Sidnummer"/>
      </w:rPr>
    </w:pPr>
    <w:r w:rsidRPr="00584D2B">
      <w:rPr>
        <w:rStyle w:val="Sidnummer"/>
      </w:rPr>
      <w:fldChar w:fldCharType="begin" w:fldLock="1"/>
    </w:r>
    <w:r w:rsidRPr="00584D2B">
      <w:rPr>
        <w:rStyle w:val="Sidnummer"/>
      </w:rPr>
      <w:instrText xml:space="preserve">PAGE  </w:instrText>
    </w:r>
    <w:r w:rsidRPr="00584D2B">
      <w:rPr>
        <w:rStyle w:val="Sidnummer"/>
      </w:rPr>
      <w:fldChar w:fldCharType="separate"/>
    </w:r>
    <w:r w:rsidRPr="00584D2B">
      <w:rPr>
        <w:rStyle w:val="Sidnummer"/>
      </w:rPr>
      <w:t>3</w:t>
    </w:r>
    <w:r w:rsidRPr="00584D2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84D2B">
      <w:tblPrEx>
        <w:tblCellMar>
          <w:top w:w="0" w:type="dxa"/>
          <w:bottom w:w="0" w:type="dxa"/>
        </w:tblCellMar>
      </w:tblPrEx>
      <w:trPr>
        <w:cantSplit/>
      </w:trPr>
      <w:tc>
        <w:tcPr>
          <w:tcW w:w="3119" w:type="dxa"/>
        </w:tcPr>
        <w:p w:rsidR="00C934C7" w:rsidRPr="00584D2B" w:rsidRDefault="00C934C7">
          <w:pPr>
            <w:pStyle w:val="Sidhuvud"/>
            <w:spacing w:line="200" w:lineRule="atLeast"/>
            <w:ind w:right="357"/>
            <w:rPr>
              <w:rFonts w:ascii="TradeGothic" w:hAnsi="TradeGothic"/>
              <w:b/>
              <w:bCs/>
              <w:sz w:val="16"/>
            </w:rPr>
          </w:pPr>
        </w:p>
      </w:tc>
      <w:tc>
        <w:tcPr>
          <w:tcW w:w="4111" w:type="dxa"/>
          <w:tcMar>
            <w:left w:w="567" w:type="dxa"/>
          </w:tcMar>
        </w:tcPr>
        <w:p w:rsidR="00C934C7" w:rsidRPr="00584D2B" w:rsidRDefault="00C934C7">
          <w:pPr>
            <w:pStyle w:val="Sidhuvud"/>
            <w:ind w:right="360"/>
          </w:pPr>
        </w:p>
      </w:tc>
      <w:tc>
        <w:tcPr>
          <w:tcW w:w="1525" w:type="dxa"/>
        </w:tcPr>
        <w:p w:rsidR="00C934C7" w:rsidRPr="00584D2B" w:rsidRDefault="00C934C7">
          <w:pPr>
            <w:pStyle w:val="Sidhuvud"/>
            <w:ind w:right="360"/>
          </w:pPr>
        </w:p>
      </w:tc>
    </w:tr>
  </w:tbl>
  <w:p w:rsidR="00C934C7" w:rsidRPr="00584D2B" w:rsidRDefault="00C934C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4C7" w:rsidRPr="00584D2B" w:rsidRDefault="00584D2B">
    <w:pPr>
      <w:framePr w:w="2948" w:h="1321" w:hRule="exact" w:wrap="notBeside" w:vAnchor="page" w:hAnchor="page" w:x="1362" w:y="653"/>
    </w:pPr>
    <w:r w:rsidRPr="00584D2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934C7" w:rsidRPr="00584D2B" w:rsidRDefault="00C934C7">
    <w:pPr>
      <w:pStyle w:val="RKrubrik"/>
      <w:keepNext w:val="0"/>
      <w:tabs>
        <w:tab w:val="clear" w:pos="1134"/>
        <w:tab w:val="clear" w:pos="2835"/>
      </w:tabs>
      <w:spacing w:before="0" w:after="0" w:line="320" w:lineRule="atLeast"/>
      <w:rPr>
        <w:bCs/>
      </w:rPr>
    </w:pPr>
  </w:p>
  <w:p w:rsidR="00C934C7" w:rsidRPr="00584D2B" w:rsidRDefault="00C934C7">
    <w:pPr>
      <w:rPr>
        <w:rFonts w:ascii="TradeGothic" w:hAnsi="TradeGothic"/>
        <w:b/>
        <w:bCs/>
        <w:spacing w:val="12"/>
        <w:sz w:val="22"/>
      </w:rPr>
    </w:pPr>
  </w:p>
  <w:p w:rsidR="00C934C7" w:rsidRPr="00584D2B" w:rsidRDefault="00C934C7">
    <w:pPr>
      <w:pStyle w:val="RKrubrik"/>
      <w:keepNext w:val="0"/>
      <w:tabs>
        <w:tab w:val="clear" w:pos="1134"/>
        <w:tab w:val="clear" w:pos="2835"/>
      </w:tabs>
      <w:spacing w:before="0" w:after="0" w:line="320" w:lineRule="atLeast"/>
      <w:rPr>
        <w:bCs/>
      </w:rPr>
    </w:pPr>
  </w:p>
  <w:p w:rsidR="00C934C7" w:rsidRPr="00584D2B" w:rsidRDefault="00C934C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C72CC"/>
    <w:multiLevelType w:val="hybridMultilevel"/>
    <w:tmpl w:val="7486C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758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65D80"/>
    <w:rsid w:val="00584D2B"/>
    <w:rsid w:val="00A65D80"/>
    <w:rsid w:val="00C934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FA6E1-B341-4A5B-805D-03CFD239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388</Words>
  <Characters>2660</Characters>
  <Application>Microsoft Office Word</Application>
  <DocSecurity>4</DocSecurity>
  <Lines>106</Lines>
  <Paragraphs>41</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2006-05-16T08:08:00Z</cp:lastPrinted>
  <dcterms:created xsi:type="dcterms:W3CDTF">2025-12-16T23:11:00Z</dcterms:created>
  <dcterms:modified xsi:type="dcterms:W3CDTF">2025-12-16T23:11:00Z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