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0D6870">
              <w:rPr>
                <w:b/>
                <w:color w:val="000000" w:themeColor="text1"/>
              </w:rPr>
              <w:t>3</w:t>
            </w:r>
            <w:r w:rsidR="000A23B6">
              <w:rPr>
                <w:b/>
                <w:color w:val="000000" w:themeColor="text1"/>
              </w:rPr>
              <w:t>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0D6870">
              <w:t>-04</w:t>
            </w:r>
            <w:r w:rsidR="004E4521">
              <w:t>-</w:t>
            </w:r>
            <w:r w:rsidR="000D6870">
              <w:t>2</w:t>
            </w:r>
            <w:r w:rsidR="000A23B6">
              <w:t>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24266E">
              <w:t>10.05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0A23B6" w:rsidRPr="00F27182" w:rsidRDefault="000A23B6" w:rsidP="000A23B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27182">
              <w:rPr>
                <w:b/>
                <w:snapToGrid w:val="0"/>
              </w:rPr>
              <w:t>Riksdagens skrivelser till regeringen – åtgärder under 202</w:t>
            </w:r>
            <w:r>
              <w:rPr>
                <w:b/>
                <w:snapToGrid w:val="0"/>
              </w:rPr>
              <w:t>1 (FöU3y)</w:t>
            </w:r>
          </w:p>
          <w:p w:rsidR="000A23B6" w:rsidRPr="00F27182" w:rsidRDefault="000A23B6" w:rsidP="000A23B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A23B6" w:rsidRPr="00F27182" w:rsidRDefault="000A23B6" w:rsidP="000A23B6">
            <w:pPr>
              <w:tabs>
                <w:tab w:val="left" w:pos="1701"/>
              </w:tabs>
              <w:rPr>
                <w:snapToGrid w:val="0"/>
              </w:rPr>
            </w:pPr>
            <w:r w:rsidRPr="00F27182">
              <w:rPr>
                <w:snapToGrid w:val="0"/>
              </w:rPr>
              <w:t>Utskottet</w:t>
            </w:r>
            <w:r>
              <w:rPr>
                <w:snapToGrid w:val="0"/>
              </w:rPr>
              <w:t xml:space="preserve"> fortsatte behandlingen av </w:t>
            </w:r>
            <w:r w:rsidRPr="00F27182">
              <w:rPr>
                <w:snapToGrid w:val="0"/>
              </w:rPr>
              <w:t>fråga om yttrande till konstitutionsutskottet över skrivelse 2021/22:75.</w:t>
            </w:r>
          </w:p>
          <w:p w:rsidR="000A23B6" w:rsidRDefault="000A23B6" w:rsidP="000A23B6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0A23B6" w:rsidRPr="00CD53C6" w:rsidRDefault="000A23B6" w:rsidP="000A23B6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21/</w:t>
            </w:r>
            <w:proofErr w:type="gramStart"/>
            <w:r>
              <w:rPr>
                <w:snapToGrid w:val="0"/>
              </w:rPr>
              <w:t>22:FöU</w:t>
            </w:r>
            <w:proofErr w:type="gramEnd"/>
            <w:r>
              <w:rPr>
                <w:snapToGrid w:val="0"/>
              </w:rPr>
              <w:t>3y</w:t>
            </w:r>
            <w:r w:rsidRPr="00CD53C6">
              <w:rPr>
                <w:snapToGrid w:val="0"/>
              </w:rPr>
              <w:t>.</w:t>
            </w:r>
          </w:p>
          <w:p w:rsidR="00827383" w:rsidRPr="002B7C8D" w:rsidRDefault="00827383" w:rsidP="003E06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40D74" w:rsidTr="008B7243">
        <w:tc>
          <w:tcPr>
            <w:tcW w:w="567" w:type="dxa"/>
          </w:tcPr>
          <w:p w:rsidR="00E40D74" w:rsidRDefault="00E40D7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43859" w:rsidRDefault="00443859" w:rsidP="0044385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43859" w:rsidRDefault="00443859" w:rsidP="00443859">
            <w:pPr>
              <w:tabs>
                <w:tab w:val="left" w:pos="1701"/>
              </w:tabs>
              <w:rPr>
                <w:snapToGrid w:val="0"/>
              </w:rPr>
            </w:pPr>
          </w:p>
          <w:p w:rsidR="00443859" w:rsidRDefault="00443859" w:rsidP="0044385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21/22:</w:t>
            </w:r>
            <w:r w:rsidR="000A23B6">
              <w:rPr>
                <w:snapToGrid w:val="0"/>
              </w:rPr>
              <w:t>30</w:t>
            </w:r>
            <w:r>
              <w:rPr>
                <w:snapToGrid w:val="0"/>
              </w:rPr>
              <w:t>.</w:t>
            </w:r>
          </w:p>
          <w:p w:rsidR="00E40D74" w:rsidRDefault="00E40D74" w:rsidP="0044385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63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D5227B" w:rsidRDefault="00D5227B" w:rsidP="00D5227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5227B" w:rsidRDefault="00D5227B" w:rsidP="00D522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sammanställning över inkomna EU-dokument finns tillgänglig.</w:t>
            </w:r>
          </w:p>
          <w:p w:rsidR="003E0637" w:rsidRDefault="003E0637" w:rsidP="00D5227B">
            <w:pPr>
              <w:tabs>
                <w:tab w:val="left" w:pos="1701"/>
              </w:tabs>
              <w:rPr>
                <w:snapToGrid w:val="0"/>
              </w:rPr>
            </w:pPr>
          </w:p>
          <w:p w:rsidR="00D5227B" w:rsidRDefault="0040279E" w:rsidP="003E063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Vidare informerades om </w:t>
            </w:r>
            <w:r w:rsidR="003E0637">
              <w:rPr>
                <w:snapToGrid w:val="0"/>
              </w:rPr>
              <w:t xml:space="preserve">ev. </w:t>
            </w:r>
            <w:r>
              <w:rPr>
                <w:snapToGrid w:val="0"/>
              </w:rPr>
              <w:t xml:space="preserve">överläggning </w:t>
            </w:r>
            <w:r w:rsidR="003E0637">
              <w:rPr>
                <w:snapToGrid w:val="0"/>
              </w:rPr>
              <w:t>med anledning av Kommissionens f</w:t>
            </w:r>
            <w:r w:rsidR="003E0637" w:rsidRPr="003E0637">
              <w:rPr>
                <w:snapToGrid w:val="0"/>
              </w:rPr>
              <w:t>örslag om</w:t>
            </w:r>
            <w:r w:rsidR="003E0637">
              <w:rPr>
                <w:snapToGrid w:val="0"/>
              </w:rPr>
              <w:t xml:space="preserve"> </w:t>
            </w:r>
            <w:r w:rsidR="003E0637" w:rsidRPr="003E0637">
              <w:rPr>
                <w:snapToGrid w:val="0"/>
              </w:rPr>
              <w:t>åtgärder för en hög gemensam cybersäkerhetsnivå vid unionens institutioner,</w:t>
            </w:r>
            <w:r w:rsidR="003E0637">
              <w:rPr>
                <w:snapToGrid w:val="0"/>
              </w:rPr>
              <w:t xml:space="preserve"> </w:t>
            </w:r>
            <w:r w:rsidR="003E0637" w:rsidRPr="003E0637">
              <w:rPr>
                <w:snapToGrid w:val="0"/>
              </w:rPr>
              <w:t>organ och byråer</w:t>
            </w:r>
            <w:r w:rsidR="003E0637">
              <w:rPr>
                <w:snapToGrid w:val="0"/>
              </w:rPr>
              <w:t xml:space="preserve"> (</w:t>
            </w:r>
            <w:proofErr w:type="gramStart"/>
            <w:r w:rsidR="003E0637" w:rsidRPr="003E0637">
              <w:rPr>
                <w:snapToGrid w:val="0"/>
              </w:rPr>
              <w:t>COM(</w:t>
            </w:r>
            <w:proofErr w:type="gramEnd"/>
            <w:r w:rsidR="003E0637" w:rsidRPr="003E0637">
              <w:rPr>
                <w:snapToGrid w:val="0"/>
              </w:rPr>
              <w:t>2022) 122 final</w:t>
            </w:r>
            <w:r w:rsidR="003E0637">
              <w:rPr>
                <w:snapToGrid w:val="0"/>
              </w:rPr>
              <w:t>). Preliminärt torsdagen den 2 juni 2022.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3484D" w:rsidTr="0001177E">
        <w:tc>
          <w:tcPr>
            <w:tcW w:w="567" w:type="dxa"/>
          </w:tcPr>
          <w:p w:rsidR="0033484D" w:rsidRDefault="0033484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63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3484D" w:rsidRDefault="0040279E" w:rsidP="00767F5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0279E">
              <w:rPr>
                <w:b/>
                <w:snapToGrid w:val="0"/>
              </w:rPr>
              <w:t>Veterandagen 2022</w:t>
            </w:r>
          </w:p>
          <w:p w:rsidR="003E0637" w:rsidRDefault="003E0637" w:rsidP="0040279E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40279E" w:rsidRDefault="0040279E" w:rsidP="003E0637">
            <w:pPr>
              <w:widowControl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bCs/>
                <w:szCs w:val="24"/>
              </w:rPr>
              <w:t>Ledamöterna diskuterade planeringsfrågor inför Veterandagen 2022</w:t>
            </w:r>
            <w:r w:rsidR="003E0637">
              <w:rPr>
                <w:bCs/>
                <w:szCs w:val="24"/>
              </w:rPr>
              <w:t>.</w:t>
            </w:r>
          </w:p>
          <w:p w:rsidR="0040279E" w:rsidRDefault="0040279E" w:rsidP="00767F5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6356">
              <w:rPr>
                <w:b/>
                <w:snapToGrid w:val="0"/>
              </w:rPr>
              <w:t>5</w:t>
            </w:r>
            <w:r w:rsidR="0033484D"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3E0637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3E0637">
              <w:rPr>
                <w:snapToGrid w:val="0"/>
              </w:rPr>
              <w:t xml:space="preserve"> att sammanträde tisdagen den 31 maj 2022 börjar kl. 10.45. Till sammanträdet är Försvarsmaktens veterancentrum och fem </w:t>
            </w:r>
            <w:r w:rsidR="003E0637" w:rsidRPr="003E0637">
              <w:rPr>
                <w:snapToGrid w:val="0"/>
              </w:rPr>
              <w:t xml:space="preserve">frivilligorganisationer </w:t>
            </w:r>
            <w:r w:rsidR="003E0637">
              <w:rPr>
                <w:snapToGrid w:val="0"/>
              </w:rPr>
              <w:t xml:space="preserve">inbjudna för information och diskussion med syfte att </w:t>
            </w:r>
            <w:r w:rsidR="003E0637" w:rsidRPr="003E0637">
              <w:rPr>
                <w:snapToGrid w:val="0"/>
              </w:rPr>
              <w:t xml:space="preserve">fördjupa förståelsen för var svensk veteranpolitik står i dag. </w:t>
            </w:r>
            <w:r w:rsidR="003E0637">
              <w:rPr>
                <w:snapToGrid w:val="0"/>
              </w:rPr>
              <w:t>U</w:t>
            </w:r>
            <w:r w:rsidR="003E0637" w:rsidRPr="003E0637">
              <w:rPr>
                <w:snapToGrid w:val="0"/>
              </w:rPr>
              <w:t xml:space="preserve">trikesutskottets ledamöter kommer </w:t>
            </w:r>
            <w:r w:rsidR="003E0637">
              <w:rPr>
                <w:snapToGrid w:val="0"/>
              </w:rPr>
              <w:t xml:space="preserve">också att </w:t>
            </w:r>
            <w:r w:rsidR="003E0637" w:rsidRPr="003E0637">
              <w:rPr>
                <w:snapToGrid w:val="0"/>
              </w:rPr>
              <w:t>bjudas in</w:t>
            </w:r>
            <w:r w:rsidR="003E0637">
              <w:rPr>
                <w:snapToGrid w:val="0"/>
              </w:rPr>
              <w:t>.</w:t>
            </w:r>
          </w:p>
          <w:p w:rsidR="00F454CA" w:rsidRPr="00543B72" w:rsidRDefault="00F454CA" w:rsidP="003E06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635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33484D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0A23B6">
              <w:rPr>
                <w:szCs w:val="24"/>
              </w:rPr>
              <w:t xml:space="preserve">5 maj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454155">
              <w:rPr>
                <w:szCs w:val="24"/>
              </w:rPr>
              <w:t>2</w:t>
            </w:r>
            <w:r w:rsidR="00022A7C">
              <w:rPr>
                <w:szCs w:val="24"/>
              </w:rPr>
              <w:t xml:space="preserve"> kl. </w:t>
            </w:r>
            <w:r w:rsidR="0033484D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33484D">
              <w:t>tors</w:t>
            </w:r>
            <w:r w:rsidR="00520D71">
              <w:t>dagen den</w:t>
            </w:r>
            <w:r w:rsidR="008156B0">
              <w:t xml:space="preserve"> </w:t>
            </w:r>
            <w:r w:rsidR="000A23B6">
              <w:t xml:space="preserve">5 maj </w:t>
            </w:r>
            <w:r w:rsidR="002C17EC">
              <w:t>20</w:t>
            </w:r>
            <w:r w:rsidR="0039711B">
              <w:t>2</w:t>
            </w:r>
            <w:r w:rsidR="00454155">
              <w:t>2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33484D">
              <w:t>3</w:t>
            </w:r>
            <w:r w:rsidR="000A23B6">
              <w:t>1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3E0637">
              <w:rPr>
                <w:sz w:val="22"/>
              </w:rPr>
              <w:t>-</w:t>
            </w:r>
            <w:r w:rsidR="00666356">
              <w:rPr>
                <w:sz w:val="22"/>
              </w:rPr>
              <w:t>6</w:t>
            </w:r>
            <w:bookmarkStart w:id="0" w:name="_GoBack"/>
            <w:bookmarkEnd w:id="0"/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06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06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0462D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D6158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06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06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06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06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06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06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06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D1D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06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06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F05D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06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06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06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06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06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D1D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D6158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06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E063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80074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</w:t>
            </w:r>
            <w:r w:rsidR="008D61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3E0637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23B6"/>
    <w:rsid w:val="000A7F76"/>
    <w:rsid w:val="000B5D40"/>
    <w:rsid w:val="000C0C72"/>
    <w:rsid w:val="000C5953"/>
    <w:rsid w:val="000D534A"/>
    <w:rsid w:val="000D6870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3A27"/>
    <w:rsid w:val="001A287E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266E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484D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E50"/>
    <w:rsid w:val="003E0637"/>
    <w:rsid w:val="003E6993"/>
    <w:rsid w:val="0040279E"/>
    <w:rsid w:val="00402D5D"/>
    <w:rsid w:val="00406B99"/>
    <w:rsid w:val="004135A4"/>
    <w:rsid w:val="004170BB"/>
    <w:rsid w:val="004214D1"/>
    <w:rsid w:val="00424C64"/>
    <w:rsid w:val="0043481D"/>
    <w:rsid w:val="00443859"/>
    <w:rsid w:val="00447E69"/>
    <w:rsid w:val="004514FD"/>
    <w:rsid w:val="00453542"/>
    <w:rsid w:val="00454155"/>
    <w:rsid w:val="00457FA6"/>
    <w:rsid w:val="004619DA"/>
    <w:rsid w:val="004674B5"/>
    <w:rsid w:val="00477247"/>
    <w:rsid w:val="004817C8"/>
    <w:rsid w:val="004875DF"/>
    <w:rsid w:val="00490FAA"/>
    <w:rsid w:val="00491942"/>
    <w:rsid w:val="00496C6E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A0AE5"/>
    <w:rsid w:val="005A4EAC"/>
    <w:rsid w:val="005A63E8"/>
    <w:rsid w:val="005B1B54"/>
    <w:rsid w:val="005B5989"/>
    <w:rsid w:val="005C1312"/>
    <w:rsid w:val="005C5BD1"/>
    <w:rsid w:val="005D0198"/>
    <w:rsid w:val="005D5298"/>
    <w:rsid w:val="005E36F0"/>
    <w:rsid w:val="005E4AF1"/>
    <w:rsid w:val="005E5848"/>
    <w:rsid w:val="005F5DF2"/>
    <w:rsid w:val="00601C28"/>
    <w:rsid w:val="00602725"/>
    <w:rsid w:val="0060305B"/>
    <w:rsid w:val="0060517D"/>
    <w:rsid w:val="00620A2B"/>
    <w:rsid w:val="00622525"/>
    <w:rsid w:val="00637376"/>
    <w:rsid w:val="00643722"/>
    <w:rsid w:val="0064776F"/>
    <w:rsid w:val="00650ADB"/>
    <w:rsid w:val="00656ECC"/>
    <w:rsid w:val="0066405B"/>
    <w:rsid w:val="00666356"/>
    <w:rsid w:val="00667E8B"/>
    <w:rsid w:val="00670208"/>
    <w:rsid w:val="00673994"/>
    <w:rsid w:val="0067495F"/>
    <w:rsid w:val="00680665"/>
    <w:rsid w:val="00680863"/>
    <w:rsid w:val="00690989"/>
    <w:rsid w:val="00693877"/>
    <w:rsid w:val="006965E4"/>
    <w:rsid w:val="006A16C9"/>
    <w:rsid w:val="006A2991"/>
    <w:rsid w:val="006A37A3"/>
    <w:rsid w:val="006B1BCF"/>
    <w:rsid w:val="006B1D76"/>
    <w:rsid w:val="006B4C5A"/>
    <w:rsid w:val="006B4ECB"/>
    <w:rsid w:val="006B5523"/>
    <w:rsid w:val="006B65A5"/>
    <w:rsid w:val="006B7A08"/>
    <w:rsid w:val="006C19F9"/>
    <w:rsid w:val="006C2C11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67F5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4AF3"/>
    <w:rsid w:val="00827383"/>
    <w:rsid w:val="00830DD3"/>
    <w:rsid w:val="00832BA8"/>
    <w:rsid w:val="00833B94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A3BDF"/>
    <w:rsid w:val="008B448D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8477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F4D2B"/>
    <w:rsid w:val="00AF54D1"/>
    <w:rsid w:val="00AF62C3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B3664"/>
    <w:rsid w:val="00BB4FC6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06F37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D5C10"/>
    <w:rsid w:val="00EF6E47"/>
    <w:rsid w:val="00F04C79"/>
    <w:rsid w:val="00F05DF5"/>
    <w:rsid w:val="00F12574"/>
    <w:rsid w:val="00F12C38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A12EF"/>
    <w:rsid w:val="00FA3B46"/>
    <w:rsid w:val="00FA543D"/>
    <w:rsid w:val="00FB01C0"/>
    <w:rsid w:val="00FC04E6"/>
    <w:rsid w:val="00FC5DAD"/>
    <w:rsid w:val="00FD4B6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7A211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388</Words>
  <Characters>3010</Characters>
  <Application>Microsoft Office Word</Application>
  <DocSecurity>0</DocSecurity>
  <Lines>1505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8</cp:revision>
  <cp:lastPrinted>2022-04-28T08:49:00Z</cp:lastPrinted>
  <dcterms:created xsi:type="dcterms:W3CDTF">2022-04-20T07:19:00Z</dcterms:created>
  <dcterms:modified xsi:type="dcterms:W3CDTF">2022-04-28T08:49:00Z</dcterms:modified>
</cp:coreProperties>
</file>