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A4" w:rsidRPr="00AF28E1" w:rsidRDefault="006E04A4">
      <w:pPr>
        <w:pStyle w:val="Dokumentbeteckning"/>
        <w:rPr>
          <w:u w:val="single"/>
        </w:rPr>
      </w:pPr>
      <w:r w:rsidRPr="00AF28E1">
        <w:fldChar w:fldCharType="begin" w:fldLock="1"/>
      </w:r>
      <w:r w:rsidRPr="00AF28E1">
        <w:instrText xml:space="preserve"> DOCPROPERTY "DocumentYear" </w:instrText>
      </w:r>
      <w:r w:rsidRPr="00AF28E1">
        <w:fldChar w:fldCharType="separate"/>
      </w:r>
      <w:r w:rsidR="0096041E" w:rsidRPr="00AF28E1">
        <w:t>2011/12</w:t>
      </w:r>
      <w:r w:rsidRPr="00AF28E1">
        <w:fldChar w:fldCharType="end"/>
      </w:r>
      <w:r w:rsidRPr="00AF28E1">
        <w:t>:</w:t>
      </w:r>
      <w:r w:rsidRPr="00AF28E1">
        <w:fldChar w:fldCharType="begin" w:fldLock="1"/>
      </w:r>
      <w:r w:rsidRPr="00AF28E1">
        <w:instrText xml:space="preserve"> DOCPROPERTY "DocumentNumber" </w:instrText>
      </w:r>
      <w:r w:rsidRPr="00AF28E1">
        <w:fldChar w:fldCharType="separate"/>
      </w:r>
      <w:r w:rsidR="0096041E" w:rsidRPr="00AF28E1">
        <w:t>138</w:t>
      </w:r>
      <w:r w:rsidRPr="00AF28E1">
        <w:fldChar w:fldCharType="end"/>
      </w:r>
    </w:p>
    <w:p w:rsidR="006E04A4" w:rsidRPr="00AF28E1" w:rsidRDefault="006E04A4">
      <w:pPr>
        <w:pStyle w:val="Datum"/>
        <w:outlineLvl w:val="0"/>
      </w:pPr>
      <w:r w:rsidRPr="00AF28E1">
        <w:fldChar w:fldCharType="begin" w:fldLock="1"/>
      </w:r>
      <w:r w:rsidRPr="00AF28E1">
        <w:instrText xml:space="preserve"> DOCPROPERTY "DocumentDate" </w:instrText>
      </w:r>
      <w:r w:rsidRPr="00AF28E1">
        <w:fldChar w:fldCharType="separate"/>
      </w:r>
      <w:r w:rsidR="0096041E" w:rsidRPr="00AF28E1">
        <w:t>Torsdagen den 23 augusti 2012</w:t>
      </w:r>
      <w:r w:rsidRPr="00AF28E1">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512"/>
      </w:tblGrid>
      <w:tr w:rsidR="006E04A4" w:rsidRPr="00AF28E1">
        <w:tblPrEx>
          <w:tblCellMar>
            <w:top w:w="0" w:type="dxa"/>
            <w:left w:w="0" w:type="dxa"/>
            <w:bottom w:w="0" w:type="dxa"/>
            <w:right w:w="0" w:type="dxa"/>
          </w:tblCellMar>
        </w:tblPrEx>
        <w:tc>
          <w:tcPr>
            <w:tcW w:w="454" w:type="dxa"/>
          </w:tcPr>
          <w:p w:rsidR="006E04A4" w:rsidRPr="00AF28E1" w:rsidRDefault="00894F20">
            <w:pPr>
              <w:pStyle w:val="Plenum"/>
              <w:tabs>
                <w:tab w:val="clear" w:pos="1418"/>
              </w:tabs>
            </w:pPr>
            <w:r w:rsidRPr="00AF28E1">
              <w:t>Kl.</w:t>
            </w:r>
          </w:p>
        </w:tc>
        <w:tc>
          <w:tcPr>
            <w:tcW w:w="851" w:type="dxa"/>
          </w:tcPr>
          <w:p w:rsidR="006E04A4" w:rsidRPr="00AF28E1" w:rsidRDefault="00894F20">
            <w:pPr>
              <w:pStyle w:val="Plenum"/>
              <w:tabs>
                <w:tab w:val="clear" w:pos="1418"/>
              </w:tabs>
              <w:jc w:val="right"/>
            </w:pPr>
            <w:bookmarkStart w:id="0" w:name="StartTidSchema"/>
            <w:bookmarkEnd w:id="0"/>
            <w:r w:rsidRPr="00AF28E1">
              <w:t>13.00</w:t>
            </w:r>
          </w:p>
        </w:tc>
        <w:tc>
          <w:tcPr>
            <w:tcW w:w="397" w:type="dxa"/>
          </w:tcPr>
          <w:p w:rsidR="006E04A4" w:rsidRPr="00AF28E1" w:rsidRDefault="006E04A4">
            <w:pPr>
              <w:pStyle w:val="Plenum"/>
              <w:tabs>
                <w:tab w:val="clear" w:pos="1418"/>
              </w:tabs>
              <w:rPr>
                <w:sz w:val="24"/>
              </w:rPr>
            </w:pPr>
          </w:p>
        </w:tc>
        <w:tc>
          <w:tcPr>
            <w:tcW w:w="7512" w:type="dxa"/>
          </w:tcPr>
          <w:p w:rsidR="006E04A4" w:rsidRPr="00AF28E1" w:rsidRDefault="00894F20">
            <w:pPr>
              <w:pStyle w:val="Plenum"/>
              <w:tabs>
                <w:tab w:val="clear" w:pos="1418"/>
              </w:tabs>
              <w:ind w:right="1"/>
            </w:pPr>
            <w:r w:rsidRPr="00AF28E1">
              <w:t>Interpellationssvar</w:t>
            </w:r>
          </w:p>
        </w:tc>
      </w:tr>
    </w:tbl>
    <w:p w:rsidR="006E04A4" w:rsidRPr="00AF28E1" w:rsidRDefault="006E04A4">
      <w:pPr>
        <w:pStyle w:val="StreckLngt"/>
      </w:pPr>
      <w:r w:rsidRPr="00AF28E1">
        <w:tab/>
      </w:r>
    </w:p>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Ensam"/>
            </w:pPr>
            <w:r w:rsidRPr="00AF28E1">
              <w:t>Justering av protokoll</w:t>
            </w:r>
          </w:p>
        </w:tc>
        <w:tc>
          <w:tcPr>
            <w:tcW w:w="2481" w:type="dxa"/>
          </w:tcPr>
          <w:p w:rsidR="00EA0C66" w:rsidRPr="00AF28E1" w:rsidRDefault="00EA0C66" w:rsidP="00FD5DA7">
            <w:pPr>
              <w:pStyle w:val="HuvudrubrikKolumn3"/>
            </w:pPr>
          </w:p>
        </w:tc>
      </w:tr>
      <w:tr w:rsidR="00EA0C66" w:rsidRPr="00AF28E1" w:rsidTr="00FD5DA7">
        <w:tblPrEx>
          <w:tblCellMar>
            <w:top w:w="0" w:type="dxa"/>
            <w:bottom w:w="0" w:type="dxa"/>
          </w:tblCellMar>
        </w:tblPrEx>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 xml:space="preserve">Protokollet från sammanträdet torsdagen den 16 augusti </w:t>
            </w:r>
          </w:p>
        </w:tc>
        <w:tc>
          <w:tcPr>
            <w:tcW w:w="2481" w:type="dxa"/>
          </w:tcPr>
          <w:p w:rsidR="00EA0C66" w:rsidRPr="00AF28E1" w:rsidRDefault="00EA0C66" w:rsidP="00FD5DA7">
            <w:pPr>
              <w:rPr>
                <w:spacing w:val="-4"/>
              </w:rPr>
            </w:pPr>
          </w:p>
        </w:tc>
      </w:tr>
    </w:tbl>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Ensam"/>
            </w:pPr>
            <w:bookmarkStart w:id="1" w:name="TypRubrik"/>
            <w:bookmarkEnd w:id="1"/>
            <w:r w:rsidRPr="00AF28E1">
              <w:t>Berättelse från Valprövningsnämnden</w:t>
            </w:r>
          </w:p>
        </w:tc>
        <w:tc>
          <w:tcPr>
            <w:tcW w:w="2481" w:type="dxa"/>
          </w:tcPr>
          <w:p w:rsidR="00EA0C66" w:rsidRPr="00AF28E1" w:rsidRDefault="00EA0C66" w:rsidP="00FD5DA7">
            <w:pPr>
              <w:pStyle w:val="HuvudrubrikKolumn3"/>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bookmarkStart w:id="2" w:name="StartText"/>
            <w:bookmarkEnd w:id="2"/>
          </w:p>
        </w:tc>
        <w:tc>
          <w:tcPr>
            <w:tcW w:w="6237" w:type="dxa"/>
          </w:tcPr>
          <w:p w:rsidR="00EA0C66" w:rsidRPr="00AF28E1" w:rsidRDefault="00EA0C66" w:rsidP="00FD5DA7">
            <w:r w:rsidRPr="00AF28E1">
              <w:t xml:space="preserve">Meeri Wasberg (S) som ny ledamot i riksdagen fr.o.m. den 17 augusti 2012 </w:t>
            </w:r>
          </w:p>
        </w:tc>
        <w:tc>
          <w:tcPr>
            <w:tcW w:w="2481" w:type="dxa"/>
          </w:tcPr>
          <w:p w:rsidR="00EA0C66" w:rsidRPr="00AF28E1" w:rsidRDefault="00EA0C66" w:rsidP="00FD5DA7">
            <w:pPr>
              <w:rPr>
                <w:spacing w:val="-4"/>
              </w:rPr>
            </w:pPr>
          </w:p>
        </w:tc>
      </w:tr>
    </w:tbl>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Ensam"/>
            </w:pPr>
            <w:r w:rsidRPr="00AF28E1">
              <w:t>Avsägelse</w:t>
            </w:r>
          </w:p>
        </w:tc>
        <w:tc>
          <w:tcPr>
            <w:tcW w:w="2481" w:type="dxa"/>
          </w:tcPr>
          <w:p w:rsidR="00EA0C66" w:rsidRPr="00AF28E1" w:rsidRDefault="00EA0C66" w:rsidP="00FD5DA7">
            <w:pPr>
              <w:pStyle w:val="HuvudrubrikKolumn3"/>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Elisabeth Svantesson (M) som ledamot i Riksrevisionens parlamentariska råd</w:t>
            </w:r>
          </w:p>
        </w:tc>
        <w:tc>
          <w:tcPr>
            <w:tcW w:w="2481" w:type="dxa"/>
          </w:tcPr>
          <w:p w:rsidR="00EA0C66" w:rsidRPr="00AF28E1" w:rsidRDefault="00EA0C66" w:rsidP="00FD5DA7">
            <w:pPr>
              <w:rPr>
                <w:spacing w:val="-4"/>
              </w:rPr>
            </w:pPr>
          </w:p>
        </w:tc>
      </w:tr>
    </w:tbl>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Ensam"/>
            </w:pPr>
            <w:r w:rsidRPr="00AF28E1">
              <w:t>Anmälan om kompletteringsval</w:t>
            </w:r>
          </w:p>
        </w:tc>
        <w:tc>
          <w:tcPr>
            <w:tcW w:w="2481" w:type="dxa"/>
          </w:tcPr>
          <w:p w:rsidR="00EA0C66" w:rsidRPr="00AF28E1" w:rsidRDefault="00EA0C66" w:rsidP="00FD5DA7">
            <w:pPr>
              <w:pStyle w:val="HuvudrubrikKolumn3"/>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Göran Pettersson (M) som ledamot i Riksrevisionens parlamentariska råd</w:t>
            </w:r>
          </w:p>
        </w:tc>
        <w:tc>
          <w:tcPr>
            <w:tcW w:w="2481" w:type="dxa"/>
          </w:tcPr>
          <w:p w:rsidR="00EA0C66" w:rsidRPr="00AF28E1" w:rsidRDefault="00EA0C66" w:rsidP="00FD5DA7">
            <w:pPr>
              <w:rPr>
                <w:spacing w:val="-4"/>
              </w:rPr>
            </w:pPr>
          </w:p>
        </w:tc>
      </w:tr>
    </w:tbl>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Ensam"/>
              <w:spacing w:after="0"/>
            </w:pPr>
            <w:r w:rsidRPr="00AF28E1">
              <w:t>Meddelande om namnändring</w:t>
            </w:r>
          </w:p>
        </w:tc>
        <w:tc>
          <w:tcPr>
            <w:tcW w:w="2481" w:type="dxa"/>
          </w:tcPr>
          <w:p w:rsidR="00EA0C66" w:rsidRPr="00AF28E1" w:rsidRDefault="00EA0C66" w:rsidP="00FD5DA7">
            <w:pPr>
              <w:pStyle w:val="HuvudrubrikKolumn3"/>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Margareta Sandstedt (SD) har bytt namn till Margareta Larsson (SD)</w:t>
            </w:r>
          </w:p>
        </w:tc>
        <w:tc>
          <w:tcPr>
            <w:tcW w:w="2481" w:type="dxa"/>
          </w:tcPr>
          <w:p w:rsidR="00EA0C66" w:rsidRPr="00AF28E1" w:rsidRDefault="00EA0C66" w:rsidP="00FD5DA7">
            <w:pPr>
              <w:rPr>
                <w:spacing w:val="-4"/>
              </w:rPr>
            </w:pPr>
          </w:p>
        </w:tc>
      </w:tr>
    </w:tbl>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Ensam"/>
            </w:pPr>
            <w:bookmarkStart w:id="3" w:name="Start_FördröjdaInterpellationer"/>
            <w:bookmarkEnd w:id="3"/>
            <w:r w:rsidRPr="00AF28E1">
              <w:t>Anmälan om fördröjda svar på interpellationer</w:t>
            </w:r>
          </w:p>
        </w:tc>
        <w:tc>
          <w:tcPr>
            <w:tcW w:w="2481" w:type="dxa"/>
          </w:tcPr>
          <w:p w:rsidR="00EA0C66" w:rsidRPr="00AF28E1" w:rsidRDefault="00EA0C66" w:rsidP="00FD5DA7">
            <w:pPr>
              <w:pStyle w:val="HuvudrubrikKolumn3"/>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2011/12:433 av Leif Jakobsson (S)</w:t>
            </w:r>
          </w:p>
          <w:p w:rsidR="00EA0C66" w:rsidRPr="00AF28E1" w:rsidRDefault="00EA0C66" w:rsidP="00FD5DA7">
            <w:r w:rsidRPr="00AF28E1">
              <w:t>F-skatt</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2011/12:434 av Leif Jakobsson (S)</w:t>
            </w:r>
          </w:p>
          <w:p w:rsidR="00EA0C66" w:rsidRPr="00AF28E1" w:rsidRDefault="00EA0C66" w:rsidP="00FD5DA7">
            <w:r w:rsidRPr="00AF28E1">
              <w:t>Tonnageskatt och utflaggning</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2011/12:435 av Hans Olsson (S)</w:t>
            </w:r>
          </w:p>
          <w:p w:rsidR="00EA0C66" w:rsidRPr="00AF28E1" w:rsidRDefault="00EA0C66" w:rsidP="00FD5DA7">
            <w:r w:rsidRPr="00AF28E1">
              <w:t>Den ekonomiska politiken och jobben</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2011/12:441 av Monica Green (S)</w:t>
            </w:r>
          </w:p>
          <w:p w:rsidR="00EA0C66" w:rsidRPr="00AF28E1" w:rsidRDefault="00EA0C66" w:rsidP="00FD5DA7">
            <w:r w:rsidRPr="00AF28E1">
              <w:t>Falska F-skattsedlar</w:t>
            </w:r>
          </w:p>
        </w:tc>
        <w:tc>
          <w:tcPr>
            <w:tcW w:w="2481" w:type="dxa"/>
          </w:tcPr>
          <w:p w:rsidR="00EA0C66" w:rsidRPr="00AF28E1" w:rsidRDefault="00EA0C66" w:rsidP="00FD5DA7">
            <w:pPr>
              <w:rPr>
                <w:spacing w:val="-4"/>
              </w:rPr>
            </w:pPr>
          </w:p>
        </w:tc>
      </w:tr>
    </w:tbl>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
            </w:pPr>
            <w:bookmarkStart w:id="4" w:name="Start_HänvisningTillUtskott"/>
            <w:bookmarkEnd w:id="4"/>
            <w:r w:rsidRPr="00AF28E1">
              <w:t>Ärenden för hänvisning till utskott</w:t>
            </w:r>
          </w:p>
        </w:tc>
        <w:tc>
          <w:tcPr>
            <w:tcW w:w="2481" w:type="dxa"/>
          </w:tcPr>
          <w:p w:rsidR="00EA0C66" w:rsidRPr="00AF28E1" w:rsidRDefault="00EA0C66" w:rsidP="00FD5DA7">
            <w:pPr>
              <w:pStyle w:val="HuvudrubrikKolumn3"/>
            </w:pPr>
            <w:r w:rsidRPr="00AF28E1">
              <w:t>Förslag</w:t>
            </w: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renderubrik"/>
            </w:pPr>
          </w:p>
        </w:tc>
        <w:tc>
          <w:tcPr>
            <w:tcW w:w="6237" w:type="dxa"/>
          </w:tcPr>
          <w:p w:rsidR="00EA0C66" w:rsidRPr="00AF28E1" w:rsidRDefault="00EA0C66" w:rsidP="00FD5DA7">
            <w:pPr>
              <w:pStyle w:val="renderubrik"/>
            </w:pPr>
            <w:r w:rsidRPr="00AF28E1">
              <w:t>Skrivelser</w:t>
            </w:r>
          </w:p>
        </w:tc>
        <w:tc>
          <w:tcPr>
            <w:tcW w:w="2481" w:type="dxa"/>
          </w:tcPr>
          <w:p w:rsidR="00EA0C66" w:rsidRPr="00AF28E1" w:rsidRDefault="00EA0C66" w:rsidP="00FD5DA7">
            <w:pPr>
              <w:pStyle w:val="renderubrik"/>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2011/12:164 Biståndets resultat – tema demokrati och mänskliga rättigheter</w:t>
            </w:r>
          </w:p>
        </w:tc>
        <w:tc>
          <w:tcPr>
            <w:tcW w:w="2481" w:type="dxa"/>
          </w:tcPr>
          <w:p w:rsidR="00EA0C66" w:rsidRPr="00AF28E1" w:rsidRDefault="00EA0C66" w:rsidP="00FD5DA7">
            <w:pPr>
              <w:rPr>
                <w:spacing w:val="-4"/>
              </w:rPr>
            </w:pPr>
            <w:r w:rsidRPr="00AF28E1">
              <w:rPr>
                <w:spacing w:val="-4"/>
              </w:rPr>
              <w:t>UU</w:t>
            </w: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2011/12:167 Genomförandet av samstämmighetspolitiken för utveckling – fokus: den globala utmaningen ekonomiskt utanförskap</w:t>
            </w:r>
          </w:p>
          <w:p w:rsidR="00EA0C66" w:rsidRPr="00AF28E1" w:rsidRDefault="00EA0C66" w:rsidP="00FD5DA7">
            <w:r w:rsidRPr="00AF28E1">
              <w:rPr>
                <w:i/>
              </w:rPr>
              <w:t xml:space="preserve">Talmannen föreslår att motionstiden för dessa skrivelser förlängs till den 3 oktober </w:t>
            </w:r>
          </w:p>
        </w:tc>
        <w:tc>
          <w:tcPr>
            <w:tcW w:w="2481" w:type="dxa"/>
          </w:tcPr>
          <w:p w:rsidR="00EA0C66" w:rsidRPr="00AF28E1" w:rsidRDefault="00EA0C66" w:rsidP="00FD5DA7">
            <w:pPr>
              <w:rPr>
                <w:spacing w:val="-4"/>
              </w:rPr>
            </w:pPr>
            <w:r w:rsidRPr="00AF28E1">
              <w:rPr>
                <w:spacing w:val="-4"/>
              </w:rPr>
              <w:t>UU</w:t>
            </w: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renderubrik"/>
            </w:pPr>
          </w:p>
        </w:tc>
        <w:tc>
          <w:tcPr>
            <w:tcW w:w="6237" w:type="dxa"/>
          </w:tcPr>
          <w:p w:rsidR="00EA0C66" w:rsidRPr="00AF28E1" w:rsidRDefault="00EA0C66" w:rsidP="00FD5DA7">
            <w:pPr>
              <w:pStyle w:val="renderubrik"/>
            </w:pPr>
            <w:r w:rsidRPr="00AF28E1">
              <w:t>EU-dokument</w:t>
            </w:r>
          </w:p>
        </w:tc>
        <w:tc>
          <w:tcPr>
            <w:tcW w:w="2481" w:type="dxa"/>
          </w:tcPr>
          <w:p w:rsidR="00EA0C66" w:rsidRPr="00AF28E1" w:rsidRDefault="00EA0C66" w:rsidP="00FD5DA7">
            <w:pPr>
              <w:pStyle w:val="renderubrik"/>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KOM(2012) 280 Förslag till Europaparlamentets och rådets direktiv om inrättande av en ram för återhämtning och rekonstruktion av kreditinstitut och värdepappersföretag och om ändring av rådets direktiv 77/91/EEG och 82/891/EG och direktiven 2001/24/EG, 2002/47/EG, 2004/25/EG, 2005/56/EG, 2007/36/EG och 2011/35/EG samt förordning (EU) nr 1093/2010</w:t>
            </w:r>
          </w:p>
          <w:p w:rsidR="00EA0C66" w:rsidRPr="00AF28E1" w:rsidRDefault="00EA0C66" w:rsidP="00FD5DA7">
            <w:r w:rsidRPr="00AF28E1">
              <w:rPr>
                <w:i/>
              </w:rPr>
              <w:t>Åttaveckorsfristen för att avge ett motiverat yttrande går ut den 24 september</w:t>
            </w:r>
          </w:p>
        </w:tc>
        <w:tc>
          <w:tcPr>
            <w:tcW w:w="2481" w:type="dxa"/>
          </w:tcPr>
          <w:p w:rsidR="00EA0C66" w:rsidRPr="00AF28E1" w:rsidRDefault="00EA0C66" w:rsidP="00FD5DA7">
            <w:pPr>
              <w:rPr>
                <w:spacing w:val="-4"/>
              </w:rPr>
            </w:pPr>
            <w:r w:rsidRPr="00AF28E1">
              <w:rPr>
                <w:spacing w:val="-4"/>
              </w:rPr>
              <w:t xml:space="preserve">FiU </w:t>
            </w: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KOM(2012) 343 Förslag till Europaparlamentets och rådets beslut om ändring av rådets beslut 2003/17/EG genom att dess tillämpningsperiod förlängs och genom att förteckningen över tredjeländer och de myndigheter som ansvarar för godkännande och kontroll av produktionen uppdateras (Text av betydelse för EES)</w:t>
            </w:r>
          </w:p>
          <w:p w:rsidR="00EA0C66" w:rsidRPr="00AF28E1" w:rsidRDefault="00EA0C66" w:rsidP="00FD5DA7">
            <w:r w:rsidRPr="00AF28E1">
              <w:rPr>
                <w:i/>
              </w:rPr>
              <w:t>Åttaveckorsfristen för att avge ett motiverat yttrande går ut den 24 september</w:t>
            </w:r>
          </w:p>
        </w:tc>
        <w:tc>
          <w:tcPr>
            <w:tcW w:w="2481" w:type="dxa"/>
          </w:tcPr>
          <w:p w:rsidR="00EA0C66" w:rsidRPr="00AF28E1" w:rsidRDefault="00EA0C66" w:rsidP="00FD5DA7">
            <w:pPr>
              <w:rPr>
                <w:spacing w:val="-4"/>
              </w:rPr>
            </w:pPr>
            <w:r w:rsidRPr="00AF28E1">
              <w:rPr>
                <w:spacing w:val="-4"/>
              </w:rPr>
              <w:t xml:space="preserve">MJU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350 Förslag till Europaparlamentets och rådet direktiv om ändring av direktiv 2009/65/EG om samordning av lagar och andra författningar som avser företag för kollektiva investeringar i överlåtbara värdepapper (fondföretag) när det gäller förvaringsinstitutsfunktioner, ersättningspolicy och sanktioner</w:t>
            </w:r>
          </w:p>
          <w:p w:rsidR="00AD5E24" w:rsidRPr="00AF28E1" w:rsidRDefault="00AD5E24" w:rsidP="00FD5DA7">
            <w:r w:rsidRPr="00AF28E1">
              <w:rPr>
                <w:i/>
              </w:rPr>
              <w:t>Åttaveckorsfristen för att avge ett motiverat yttrande går ut den 15 oktober</w:t>
            </w:r>
          </w:p>
        </w:tc>
        <w:tc>
          <w:tcPr>
            <w:tcW w:w="2481" w:type="dxa"/>
          </w:tcPr>
          <w:p w:rsidR="00AD5E24" w:rsidRPr="00AF28E1" w:rsidRDefault="00AD5E24" w:rsidP="00FD5DA7">
            <w:pPr>
              <w:rPr>
                <w:spacing w:val="-4"/>
              </w:rPr>
            </w:pPr>
            <w:r w:rsidRPr="00AF28E1">
              <w:rPr>
                <w:spacing w:val="-4"/>
              </w:rPr>
              <w:t xml:space="preserve">FiU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352 Förslag till Europaparlamentets och rådets förordning om faktablad för investeringsprodukter</w:t>
            </w:r>
          </w:p>
          <w:p w:rsidR="00AD5E24" w:rsidRPr="00AF28E1" w:rsidRDefault="00AD5E24" w:rsidP="00FD5DA7">
            <w:r w:rsidRPr="00AF28E1">
              <w:rPr>
                <w:i/>
              </w:rPr>
              <w:t>Åttaveckorsfristen för att avge ett motiverat yttrande går ut den 12 oktober</w:t>
            </w:r>
          </w:p>
        </w:tc>
        <w:tc>
          <w:tcPr>
            <w:tcW w:w="2481" w:type="dxa"/>
          </w:tcPr>
          <w:p w:rsidR="00AD5E24" w:rsidRPr="00AF28E1" w:rsidRDefault="00AD5E24" w:rsidP="00FD5DA7">
            <w:pPr>
              <w:rPr>
                <w:spacing w:val="-4"/>
              </w:rPr>
            </w:pPr>
            <w:r w:rsidRPr="00AF28E1">
              <w:rPr>
                <w:spacing w:val="-4"/>
              </w:rPr>
              <w:t xml:space="preserve">FiU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355 Förslag till Europaparlamentets och rådets beslut om ändring av rådets beslut 2008/971/EG vad gäller införande av skogsodlingsmaterial i kategorin ”individutvalt” i tillämpningsområdet för det beslutet och uppdatering av namnen på de myndigheter som ansvarar för godkännande och kontroll av produktionen</w:t>
            </w:r>
          </w:p>
          <w:p w:rsidR="00AD5E24" w:rsidRPr="00AF28E1" w:rsidRDefault="00AD5E24" w:rsidP="00FD5DA7">
            <w:r w:rsidRPr="00AF28E1">
              <w:rPr>
                <w:i/>
              </w:rPr>
              <w:t>Åttaveckorsfristen för att avge ett motiverat yttrande går ut den 27 september</w:t>
            </w:r>
          </w:p>
        </w:tc>
        <w:tc>
          <w:tcPr>
            <w:tcW w:w="2481" w:type="dxa"/>
          </w:tcPr>
          <w:p w:rsidR="00AD5E24" w:rsidRPr="00AF28E1" w:rsidRDefault="00AD5E24" w:rsidP="00FD5DA7">
            <w:pPr>
              <w:rPr>
                <w:spacing w:val="-4"/>
              </w:rPr>
            </w:pPr>
            <w:r w:rsidRPr="00AF28E1">
              <w:rPr>
                <w:spacing w:val="-4"/>
              </w:rPr>
              <w:t xml:space="preserve">MJU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360 Förslag till Europaparlamentets och rådets direktiv om försäkringsförmedling (omarbetning)</w:t>
            </w:r>
          </w:p>
          <w:p w:rsidR="00AD5E24" w:rsidRPr="00AF28E1" w:rsidRDefault="00AD5E24" w:rsidP="00FD5DA7">
            <w:r w:rsidRPr="00AF28E1">
              <w:rPr>
                <w:i/>
              </w:rPr>
              <w:t>Åttaveckorsfristen för att avge ett motiverat yttrande går ut den 15 oktober</w:t>
            </w:r>
          </w:p>
        </w:tc>
        <w:tc>
          <w:tcPr>
            <w:tcW w:w="2481" w:type="dxa"/>
          </w:tcPr>
          <w:p w:rsidR="00AD5E24" w:rsidRPr="00AF28E1" w:rsidRDefault="00AD5E24" w:rsidP="00FD5DA7">
            <w:pPr>
              <w:rPr>
                <w:spacing w:val="-4"/>
              </w:rPr>
            </w:pPr>
            <w:r w:rsidRPr="00AF28E1">
              <w:rPr>
                <w:spacing w:val="-4"/>
              </w:rPr>
              <w:t xml:space="preserve">FiU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362 Förslag till rådets beslut om associering av de utomeuropeiska länderna och territorierna med Europeiska unionen (ULT-beslutet)</w:t>
            </w:r>
          </w:p>
          <w:p w:rsidR="00AD5E24" w:rsidRPr="00AF28E1" w:rsidRDefault="00AD5E24" w:rsidP="00FD5DA7">
            <w:r w:rsidRPr="00AF28E1">
              <w:rPr>
                <w:i/>
              </w:rPr>
              <w:t>Åttaveckorsfristen för att avge ett motiverat yttrande går ut den 22 oktober</w:t>
            </w:r>
          </w:p>
        </w:tc>
        <w:tc>
          <w:tcPr>
            <w:tcW w:w="2481" w:type="dxa"/>
          </w:tcPr>
          <w:p w:rsidR="00AD5E24" w:rsidRPr="00AF28E1" w:rsidRDefault="00AD5E24" w:rsidP="00FD5DA7">
            <w:pPr>
              <w:rPr>
                <w:spacing w:val="-4"/>
              </w:rPr>
            </w:pPr>
            <w:r w:rsidRPr="00AF28E1">
              <w:rPr>
                <w:spacing w:val="-4"/>
              </w:rPr>
              <w:t xml:space="preserve">UU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363 Förslag till Europaparlamentets och rådets direktiv om bekämpning genom straffrättsliga bestämmelser av bedrägerier som riktar sig mot unionens ekonomiska intressen</w:t>
            </w:r>
          </w:p>
          <w:p w:rsidR="00AD5E24" w:rsidRPr="00AF28E1" w:rsidRDefault="00AD5E24" w:rsidP="00FD5DA7">
            <w:r w:rsidRPr="00AF28E1">
              <w:rPr>
                <w:i/>
              </w:rPr>
              <w:t>Åttaveckorsfristen för att avge ett motiverat yttrande går ut den 18 oktober</w:t>
            </w:r>
          </w:p>
        </w:tc>
        <w:tc>
          <w:tcPr>
            <w:tcW w:w="2481" w:type="dxa"/>
          </w:tcPr>
          <w:p w:rsidR="00AD5E24" w:rsidRPr="00AF28E1" w:rsidRDefault="00AD5E24" w:rsidP="00FD5DA7">
            <w:pPr>
              <w:rPr>
                <w:spacing w:val="-4"/>
              </w:rPr>
            </w:pPr>
            <w:r w:rsidRPr="00AF28E1">
              <w:rPr>
                <w:spacing w:val="-4"/>
              </w:rPr>
              <w:t xml:space="preserve">JuU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369 Förslag till Europaparlamentets och rådets förordning om kliniska prövningar av humanläkemedel och om upphävande av direktiv 2001/20/EG</w:t>
            </w:r>
          </w:p>
          <w:p w:rsidR="00AD5E24" w:rsidRPr="00AF28E1" w:rsidRDefault="00AD5E24" w:rsidP="00FD5DA7">
            <w:r w:rsidRPr="00AF28E1">
              <w:rPr>
                <w:i/>
              </w:rPr>
              <w:t>Åttaveckorsfristen för att avge ett motiverat yttrande går ut den 15 oktober</w:t>
            </w:r>
          </w:p>
        </w:tc>
        <w:tc>
          <w:tcPr>
            <w:tcW w:w="2481" w:type="dxa"/>
          </w:tcPr>
          <w:p w:rsidR="00AD5E24" w:rsidRPr="00AF28E1" w:rsidRDefault="00AD5E24" w:rsidP="00FD5DA7">
            <w:pPr>
              <w:rPr>
                <w:spacing w:val="-4"/>
              </w:rPr>
            </w:pPr>
            <w:r w:rsidRPr="00AF28E1">
              <w:rPr>
                <w:spacing w:val="-4"/>
              </w:rPr>
              <w:t xml:space="preserve">SoU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372 Förslag till Europaparlametets och rådets direktiv om kollektiv förvaltning av upphovsrätt och närstående rättigheter och gränsöverskridande licensiering av rättigheter till musikaliska verk för användning på nätet på den inre marknaden</w:t>
            </w:r>
          </w:p>
          <w:p w:rsidR="00AD5E24" w:rsidRPr="00AF28E1" w:rsidRDefault="00AD5E24" w:rsidP="00FD5DA7">
            <w:r w:rsidRPr="00AF28E1">
              <w:rPr>
                <w:i/>
              </w:rPr>
              <w:t>Åttaveckorsfristen för att avge ett motiverat yttrande går ut den 29 oktober</w:t>
            </w:r>
          </w:p>
        </w:tc>
        <w:tc>
          <w:tcPr>
            <w:tcW w:w="2481" w:type="dxa"/>
          </w:tcPr>
          <w:p w:rsidR="00AD5E24" w:rsidRPr="00AF28E1" w:rsidRDefault="00AD5E24" w:rsidP="00FD5DA7">
            <w:pPr>
              <w:rPr>
                <w:spacing w:val="-4"/>
              </w:rPr>
            </w:pPr>
            <w:r w:rsidRPr="00AF28E1">
              <w:rPr>
                <w:spacing w:val="-4"/>
              </w:rPr>
              <w:t xml:space="preserve">NU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380 Trafiksäkerhetspaketet Förslag till Europaparlamentets och rådets förordning om periodisk provning av motorfordons och tillhörande släpvagnars trafiksäkerhet och om upphävande av direktiv 2009/40/EG</w:t>
            </w:r>
          </w:p>
          <w:p w:rsidR="00AD5E24" w:rsidRPr="00AF28E1" w:rsidRDefault="00AD5E24" w:rsidP="00FD5DA7">
            <w:r w:rsidRPr="00AF28E1">
              <w:rPr>
                <w:i/>
              </w:rPr>
              <w:t>Åttaveckorsfristen för att avge ett motiverat yttrande går ut den 22 oktober</w:t>
            </w:r>
          </w:p>
        </w:tc>
        <w:tc>
          <w:tcPr>
            <w:tcW w:w="2481" w:type="dxa"/>
          </w:tcPr>
          <w:p w:rsidR="00AD5E24" w:rsidRPr="00AF28E1" w:rsidRDefault="00AD5E24" w:rsidP="00FD5DA7">
            <w:pPr>
              <w:rPr>
                <w:spacing w:val="-4"/>
              </w:rPr>
            </w:pPr>
            <w:r w:rsidRPr="00AF28E1">
              <w:rPr>
                <w:spacing w:val="-4"/>
              </w:rPr>
              <w:t xml:space="preserve">TU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381 Trafiksäkerhetspaketet Förslag till Europaparlamentets och rådets direktiv om ändring av rådets direktiv 1999/37/EG om registreringsbevis för fordon</w:t>
            </w:r>
          </w:p>
          <w:p w:rsidR="00AD5E24" w:rsidRPr="00AF28E1" w:rsidRDefault="00AD5E24" w:rsidP="00FD5DA7">
            <w:r w:rsidRPr="00AF28E1">
              <w:rPr>
                <w:i/>
              </w:rPr>
              <w:t>Åttaveckorsfristen för att avge ett motiverat yttrande går ut den 22 oktober</w:t>
            </w:r>
          </w:p>
        </w:tc>
        <w:tc>
          <w:tcPr>
            <w:tcW w:w="2481" w:type="dxa"/>
          </w:tcPr>
          <w:p w:rsidR="00AD5E24" w:rsidRPr="00AF28E1" w:rsidRDefault="00AD5E24" w:rsidP="00FD5DA7">
            <w:pPr>
              <w:rPr>
                <w:spacing w:val="-4"/>
              </w:rPr>
            </w:pPr>
            <w:r w:rsidRPr="00AF28E1">
              <w:rPr>
                <w:spacing w:val="-4"/>
              </w:rPr>
              <w:t xml:space="preserve">TU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382 Trafiksäkerhetspaketet Förslag till Europaparlamentets och rådets förordning om vägkontroller av trafiksäkerheten hos nyttofordon i trafik i unionen och om upphävande av direktiv 2000/30/EG</w:t>
            </w:r>
          </w:p>
          <w:p w:rsidR="00AD5E24" w:rsidRPr="00AF28E1" w:rsidRDefault="00AD5E24" w:rsidP="00FD5DA7">
            <w:r w:rsidRPr="00AF28E1">
              <w:rPr>
                <w:i/>
              </w:rPr>
              <w:t>Åttaveckorsfristen för att avge ett motiverat yttrande går ut den 22 oktober</w:t>
            </w:r>
          </w:p>
        </w:tc>
        <w:tc>
          <w:tcPr>
            <w:tcW w:w="2481" w:type="dxa"/>
          </w:tcPr>
          <w:p w:rsidR="00AD5E24" w:rsidRPr="00AF28E1" w:rsidRDefault="00AD5E24" w:rsidP="00FD5DA7">
            <w:pPr>
              <w:rPr>
                <w:spacing w:val="-4"/>
              </w:rPr>
            </w:pPr>
            <w:r w:rsidRPr="00AF28E1">
              <w:rPr>
                <w:spacing w:val="-4"/>
              </w:rPr>
              <w:t xml:space="preserve">TU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393 Förslag till Europaparlamentets och rådets förordning om ändring av förordning (EG) nr 443/2009 för att fastställa tillvägagångssätten för att till 2020 uppnå målet att minska koldioxidutsläppen från nya personbilar</w:t>
            </w:r>
          </w:p>
          <w:p w:rsidR="00AD5E24" w:rsidRPr="00AF28E1" w:rsidRDefault="00AD5E24" w:rsidP="00FD5DA7">
            <w:r w:rsidRPr="00AF28E1">
              <w:rPr>
                <w:i/>
              </w:rPr>
              <w:t>Åttaveckorsfristen för att avge ett motiverat yttrande går ut den 12 oktober</w:t>
            </w:r>
          </w:p>
        </w:tc>
        <w:tc>
          <w:tcPr>
            <w:tcW w:w="2481" w:type="dxa"/>
          </w:tcPr>
          <w:p w:rsidR="00AD5E24" w:rsidRPr="00AF28E1" w:rsidRDefault="00AD5E24" w:rsidP="00FD5DA7">
            <w:pPr>
              <w:rPr>
                <w:spacing w:val="-4"/>
              </w:rPr>
            </w:pPr>
            <w:r w:rsidRPr="00AF28E1">
              <w:rPr>
                <w:spacing w:val="-4"/>
              </w:rPr>
              <w:t xml:space="preserve">MJU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394 Förslag till Europaparlamentets och rådets förordning om ändring av förordning (EU) nr 510/2011 för att fastställa tillvägagångssätten för att till 2020 uppnå målet att minska koldioxidutsläppen från nya lätta nyttofordon</w:t>
            </w:r>
          </w:p>
          <w:p w:rsidR="00AD5E24" w:rsidRPr="00AF28E1" w:rsidRDefault="00AD5E24" w:rsidP="00FD5DA7">
            <w:r w:rsidRPr="00AF28E1">
              <w:rPr>
                <w:i/>
              </w:rPr>
              <w:t>Åttaveckorsfristen för att avge ett motiverat yttrande går ut den 12 oktober</w:t>
            </w:r>
          </w:p>
        </w:tc>
        <w:tc>
          <w:tcPr>
            <w:tcW w:w="2481" w:type="dxa"/>
          </w:tcPr>
          <w:p w:rsidR="00AD5E24" w:rsidRPr="00AF28E1" w:rsidRDefault="00AD5E24" w:rsidP="00FD5DA7">
            <w:pPr>
              <w:rPr>
                <w:spacing w:val="-4"/>
              </w:rPr>
            </w:pPr>
            <w:r w:rsidRPr="00AF28E1">
              <w:rPr>
                <w:spacing w:val="-4"/>
              </w:rPr>
              <w:t xml:space="preserve">MJU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403 Förslag till Europaparlamentets och rådets förordning om skyddet av arter av vilda djur och växter genom kontroll av handeln med dem (omarbetning)</w:t>
            </w:r>
          </w:p>
          <w:p w:rsidR="00AD5E24" w:rsidRPr="00AF28E1" w:rsidRDefault="00AD5E24" w:rsidP="00FD5DA7">
            <w:r w:rsidRPr="00AF28E1">
              <w:rPr>
                <w:i/>
              </w:rPr>
              <w:t>Åttaveckorsfristen för att avge ett motiverat yttrande går ut den 15 oktober</w:t>
            </w:r>
          </w:p>
        </w:tc>
        <w:tc>
          <w:tcPr>
            <w:tcW w:w="2481" w:type="dxa"/>
          </w:tcPr>
          <w:p w:rsidR="00AD5E24" w:rsidRPr="00AF28E1" w:rsidRDefault="00AD5E24" w:rsidP="00FD5DA7">
            <w:pPr>
              <w:rPr>
                <w:spacing w:val="-4"/>
              </w:rPr>
            </w:pPr>
            <w:r w:rsidRPr="00AF28E1">
              <w:rPr>
                <w:spacing w:val="-4"/>
              </w:rPr>
              <w:t xml:space="preserve">MJU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407 Förslag till Europaparlamentets och rådets beslut om inrättande av en unionsinsats för evenemanget Europeisk kulturhuvudstad för åren 2020 till 2033</w:t>
            </w:r>
          </w:p>
          <w:p w:rsidR="00AD5E24" w:rsidRPr="00AF28E1" w:rsidRDefault="00AD5E24" w:rsidP="00FD5DA7">
            <w:r w:rsidRPr="00AF28E1">
              <w:rPr>
                <w:i/>
              </w:rPr>
              <w:t>Åttaveckorsfristen för att avge ett motiverat yttrande går ut den 18 oktober</w:t>
            </w:r>
          </w:p>
        </w:tc>
        <w:tc>
          <w:tcPr>
            <w:tcW w:w="2481" w:type="dxa"/>
          </w:tcPr>
          <w:p w:rsidR="00AD5E24" w:rsidRPr="00AF28E1" w:rsidRDefault="00AD5E24" w:rsidP="00FD5DA7">
            <w:pPr>
              <w:rPr>
                <w:spacing w:val="-4"/>
              </w:rPr>
            </w:pPr>
            <w:r w:rsidRPr="00AF28E1">
              <w:rPr>
                <w:spacing w:val="-4"/>
              </w:rPr>
              <w:t xml:space="preserve">KrU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416 Förslag till Europaparlamentets och rådets beslut om ändring av direktiv 2003/87/EG vad gäller att förtydliga bestämmelserna om tidsschemat för auktioner av utsläppsrätter för växthusgaser</w:t>
            </w:r>
          </w:p>
          <w:p w:rsidR="00AD5E24" w:rsidRPr="00AF28E1" w:rsidRDefault="00AD5E24" w:rsidP="00FD5DA7">
            <w:r w:rsidRPr="00AF28E1">
              <w:rPr>
                <w:i/>
              </w:rPr>
              <w:t>Åttaveckorsfristen för att avge ett motiverat yttrande går ut den 2 november</w:t>
            </w:r>
          </w:p>
        </w:tc>
        <w:tc>
          <w:tcPr>
            <w:tcW w:w="2481" w:type="dxa"/>
          </w:tcPr>
          <w:p w:rsidR="00AD5E24" w:rsidRPr="00AF28E1" w:rsidRDefault="00AD5E24" w:rsidP="00FD5DA7">
            <w:pPr>
              <w:rPr>
                <w:spacing w:val="-4"/>
              </w:rPr>
            </w:pPr>
            <w:r w:rsidRPr="00AF28E1">
              <w:rPr>
                <w:spacing w:val="-4"/>
              </w:rPr>
              <w:t xml:space="preserve">MJU </w:t>
            </w:r>
          </w:p>
        </w:tc>
      </w:tr>
      <w:tr w:rsidR="00AD5E24" w:rsidRPr="00AF28E1" w:rsidTr="00FD5DA7">
        <w:tblPrEx>
          <w:tblCellMar>
            <w:top w:w="0" w:type="dxa"/>
            <w:bottom w:w="0" w:type="dxa"/>
          </w:tblCellMar>
        </w:tblPrEx>
        <w:trPr>
          <w:cantSplit/>
        </w:trPr>
        <w:tc>
          <w:tcPr>
            <w:tcW w:w="567" w:type="dxa"/>
          </w:tcPr>
          <w:p w:rsidR="00AD5E24" w:rsidRPr="00AF28E1" w:rsidRDefault="00AD5E24" w:rsidP="00FD5DA7">
            <w:pPr>
              <w:pStyle w:val="FlistaNrText"/>
            </w:pPr>
          </w:p>
        </w:tc>
        <w:tc>
          <w:tcPr>
            <w:tcW w:w="6237" w:type="dxa"/>
          </w:tcPr>
          <w:p w:rsidR="00AD5E24" w:rsidRPr="00AF28E1" w:rsidRDefault="00AD5E24" w:rsidP="00FD5DA7">
            <w:r w:rsidRPr="00AF28E1">
              <w:t>KOM(2012) 428 Förslag till rådets direktiv om ändring av direktiv 2006/112/EG om ett gemensamt system för mervärdesskatt vad gäller en mekanism för snabba insatser mot mervärdesskattebedrägeri</w:t>
            </w:r>
          </w:p>
          <w:p w:rsidR="00AD5E24" w:rsidRPr="00AF28E1" w:rsidRDefault="00AD5E24" w:rsidP="00FD5DA7">
            <w:r w:rsidRPr="00AF28E1">
              <w:rPr>
                <w:i/>
              </w:rPr>
              <w:t>Åttaveckorsfristen för att avge ett motiverat yttrande går ut den 29 oktober</w:t>
            </w:r>
          </w:p>
        </w:tc>
        <w:tc>
          <w:tcPr>
            <w:tcW w:w="2481" w:type="dxa"/>
          </w:tcPr>
          <w:p w:rsidR="00AD5E24" w:rsidRPr="00AF28E1" w:rsidRDefault="00AD5E24" w:rsidP="00FD5DA7">
            <w:pPr>
              <w:rPr>
                <w:spacing w:val="-4"/>
              </w:rPr>
            </w:pPr>
            <w:r w:rsidRPr="00AF28E1">
              <w:rPr>
                <w:spacing w:val="-4"/>
              </w:rPr>
              <w:t xml:space="preserve">SkU </w:t>
            </w:r>
          </w:p>
        </w:tc>
      </w:tr>
    </w:tbl>
    <w:p w:rsidR="00EA0C66" w:rsidRPr="00AF28E1" w:rsidRDefault="00EA0C66" w:rsidP="003675A0">
      <w:pPr>
        <w:pStyle w:val="Blankrad"/>
      </w:pPr>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EA0C66" w:rsidRPr="00AF28E1" w:rsidTr="00FD5DA7">
        <w:tblPrEx>
          <w:tblCellMar>
            <w:top w:w="0" w:type="dxa"/>
            <w:bottom w:w="0" w:type="dxa"/>
          </w:tblCellMar>
        </w:tblPrEx>
        <w:tc>
          <w:tcPr>
            <w:tcW w:w="567" w:type="dxa"/>
          </w:tcPr>
          <w:p w:rsidR="00EA0C66" w:rsidRPr="00AF28E1" w:rsidRDefault="00EA0C66" w:rsidP="00FD5DA7">
            <w:pPr>
              <w:pStyle w:val="HuvudrubrikFlisteNr"/>
            </w:pPr>
          </w:p>
        </w:tc>
        <w:tc>
          <w:tcPr>
            <w:tcW w:w="6237" w:type="dxa"/>
          </w:tcPr>
          <w:p w:rsidR="00EA0C66" w:rsidRPr="00AF28E1" w:rsidRDefault="00EA0C66" w:rsidP="00FD5DA7">
            <w:pPr>
              <w:pStyle w:val="HuvudrubrikEnsam"/>
            </w:pPr>
            <w:bookmarkStart w:id="5" w:name="Start_Interpellationer"/>
            <w:bookmarkEnd w:id="5"/>
            <w:r w:rsidRPr="00AF28E1">
              <w:t>Svar på interpellationer</w:t>
            </w:r>
          </w:p>
        </w:tc>
        <w:tc>
          <w:tcPr>
            <w:tcW w:w="2481" w:type="dxa"/>
          </w:tcPr>
          <w:p w:rsidR="00EA0C66" w:rsidRPr="00AF28E1" w:rsidRDefault="00EA0C66" w:rsidP="00FD5DA7">
            <w:pPr>
              <w:pStyle w:val="HuvudrubrikKolumn3"/>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Underrubrik"/>
            </w:pPr>
          </w:p>
        </w:tc>
        <w:tc>
          <w:tcPr>
            <w:tcW w:w="6237" w:type="dxa"/>
          </w:tcPr>
          <w:p w:rsidR="00EA0C66" w:rsidRPr="00AF28E1" w:rsidRDefault="00EA0C66" w:rsidP="00FD5DA7">
            <w:pPr>
              <w:pStyle w:val="Underrubrik"/>
            </w:pPr>
            <w:bookmarkStart w:id="6" w:name="TypUnderrubrik"/>
            <w:bookmarkEnd w:id="6"/>
            <w:r w:rsidRPr="00AF28E1">
              <w:t>Interpellationer upptagna under samma punkt besvaras i ett sammanhang</w:t>
            </w:r>
          </w:p>
        </w:tc>
        <w:tc>
          <w:tcPr>
            <w:tcW w:w="2481" w:type="dxa"/>
          </w:tcPr>
          <w:p w:rsidR="00EA0C66" w:rsidRPr="00AF28E1" w:rsidRDefault="00EA0C66" w:rsidP="00FD5DA7">
            <w:pPr>
              <w:pStyle w:val="Underrubrik"/>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Besvaradav"/>
            </w:pPr>
          </w:p>
        </w:tc>
        <w:tc>
          <w:tcPr>
            <w:tcW w:w="6237" w:type="dxa"/>
          </w:tcPr>
          <w:p w:rsidR="00EA0C66" w:rsidRPr="00AF28E1" w:rsidRDefault="00EA0C66" w:rsidP="00FD5DA7">
            <w:pPr>
              <w:pStyle w:val="Besvaradav"/>
            </w:pPr>
            <w:r w:rsidRPr="00AF28E1">
              <w:t>Miljöminister Lena Ek (C)</w:t>
            </w:r>
          </w:p>
        </w:tc>
        <w:tc>
          <w:tcPr>
            <w:tcW w:w="2481" w:type="dxa"/>
          </w:tcPr>
          <w:p w:rsidR="00EA0C66" w:rsidRPr="00AF28E1" w:rsidRDefault="00EA0C66" w:rsidP="00FD5DA7">
            <w:pPr>
              <w:pStyle w:val="Besvaradav"/>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2011/12:436 av Åsa Romson (MP)</w:t>
            </w:r>
          </w:p>
          <w:p w:rsidR="00EA0C66" w:rsidRPr="00AF28E1" w:rsidRDefault="00EA0C66" w:rsidP="00FD5DA7">
            <w:r w:rsidRPr="00AF28E1">
              <w:t>Sveriges skydd av Natura 2000-områden apropå Ojnare myr på Gotland</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Besvaradav"/>
            </w:pPr>
          </w:p>
        </w:tc>
        <w:tc>
          <w:tcPr>
            <w:tcW w:w="6237" w:type="dxa"/>
          </w:tcPr>
          <w:p w:rsidR="00EA0C66" w:rsidRPr="00AF28E1" w:rsidRDefault="00EA0C66" w:rsidP="00FD5DA7">
            <w:pPr>
              <w:pStyle w:val="Besvaradav"/>
            </w:pPr>
            <w:r w:rsidRPr="00AF28E1">
              <w:t>Justitieminister Beatrice Ask (M)</w:t>
            </w:r>
          </w:p>
        </w:tc>
        <w:tc>
          <w:tcPr>
            <w:tcW w:w="2481" w:type="dxa"/>
          </w:tcPr>
          <w:p w:rsidR="00EA0C66" w:rsidRPr="00AF28E1" w:rsidRDefault="00EA0C66" w:rsidP="00FD5DA7">
            <w:pPr>
              <w:pStyle w:val="Besvaradav"/>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2011/12:429 av Hans Ekström (S)</w:t>
            </w:r>
          </w:p>
          <w:p w:rsidR="00EA0C66" w:rsidRPr="00AF28E1" w:rsidRDefault="00EA0C66" w:rsidP="00FD5DA7">
            <w:r w:rsidRPr="00AF28E1">
              <w:t>Kredittider för underleverantörer</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Besvaradav"/>
            </w:pPr>
          </w:p>
        </w:tc>
        <w:tc>
          <w:tcPr>
            <w:tcW w:w="6237" w:type="dxa"/>
          </w:tcPr>
          <w:p w:rsidR="00EA0C66" w:rsidRPr="00AF28E1" w:rsidRDefault="00EA0C66" w:rsidP="00FD5DA7">
            <w:pPr>
              <w:pStyle w:val="Besvaradav"/>
            </w:pPr>
            <w:r w:rsidRPr="00AF28E1">
              <w:t>Statsrådet Maria Larsson (KD)</w:t>
            </w:r>
          </w:p>
        </w:tc>
        <w:tc>
          <w:tcPr>
            <w:tcW w:w="2481" w:type="dxa"/>
          </w:tcPr>
          <w:p w:rsidR="00EA0C66" w:rsidRPr="00AF28E1" w:rsidRDefault="00EA0C66" w:rsidP="00FD5DA7">
            <w:pPr>
              <w:pStyle w:val="Besvaradav"/>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2011/12:440 av Anna Wallén (S)</w:t>
            </w:r>
          </w:p>
          <w:p w:rsidR="00EA0C66" w:rsidRPr="00AF28E1" w:rsidRDefault="00EA0C66" w:rsidP="00FD5DA7">
            <w:r w:rsidRPr="00AF28E1">
              <w:t>Åtgärder mot drogen MDPV</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Besvaradav"/>
            </w:pPr>
          </w:p>
        </w:tc>
        <w:tc>
          <w:tcPr>
            <w:tcW w:w="6237" w:type="dxa"/>
          </w:tcPr>
          <w:p w:rsidR="00EA0C66" w:rsidRPr="00AF28E1" w:rsidRDefault="00EA0C66" w:rsidP="00FD5DA7">
            <w:pPr>
              <w:pStyle w:val="Besvaradav"/>
            </w:pPr>
            <w:r w:rsidRPr="00AF28E1">
              <w:t>Statsrådet Stefan Attefall (KD)</w:t>
            </w:r>
          </w:p>
        </w:tc>
        <w:tc>
          <w:tcPr>
            <w:tcW w:w="2481" w:type="dxa"/>
          </w:tcPr>
          <w:p w:rsidR="00EA0C66" w:rsidRPr="00AF28E1" w:rsidRDefault="00EA0C66" w:rsidP="00FD5DA7">
            <w:pPr>
              <w:pStyle w:val="Besvaradav"/>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2011/12:430 av Eva-Lena Jansson (S)</w:t>
            </w:r>
          </w:p>
          <w:p w:rsidR="00EA0C66" w:rsidRPr="00AF28E1" w:rsidRDefault="00EA0C66" w:rsidP="00FD5DA7">
            <w:r w:rsidRPr="00AF28E1">
              <w:t>Regeringens utnämningspolitik</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Besvaradav"/>
            </w:pPr>
          </w:p>
        </w:tc>
        <w:tc>
          <w:tcPr>
            <w:tcW w:w="6237" w:type="dxa"/>
          </w:tcPr>
          <w:p w:rsidR="00EA0C66" w:rsidRPr="00AF28E1" w:rsidRDefault="00EA0C66" w:rsidP="00FD5DA7">
            <w:pPr>
              <w:pStyle w:val="Besvaradav"/>
            </w:pPr>
            <w:r w:rsidRPr="00AF28E1">
              <w:t>Statsrådet Ulf Kristersson (M)</w:t>
            </w:r>
          </w:p>
        </w:tc>
        <w:tc>
          <w:tcPr>
            <w:tcW w:w="2481" w:type="dxa"/>
          </w:tcPr>
          <w:p w:rsidR="00EA0C66" w:rsidRPr="00AF28E1" w:rsidRDefault="00EA0C66" w:rsidP="00FD5DA7">
            <w:pPr>
              <w:pStyle w:val="Besvaradav"/>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2011/12:437 av Monica Green (S)</w:t>
            </w:r>
          </w:p>
          <w:p w:rsidR="00EA0C66" w:rsidRPr="00AF28E1" w:rsidRDefault="00EA0C66" w:rsidP="00FD5DA7">
            <w:r w:rsidRPr="00AF28E1">
              <w:t>Ekonomisk trygghet vid sjukdom</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tc>
        <w:tc>
          <w:tcPr>
            <w:tcW w:w="6237" w:type="dxa"/>
          </w:tcPr>
          <w:p w:rsidR="00EA0C66" w:rsidRPr="00AF28E1" w:rsidRDefault="00EA0C66" w:rsidP="00FD5DA7">
            <w:r w:rsidRPr="00AF28E1">
              <w:t>2011/12:438 av Monica Green (S)</w:t>
            </w:r>
          </w:p>
          <w:p w:rsidR="00EA0C66" w:rsidRPr="00AF28E1" w:rsidRDefault="00EA0C66" w:rsidP="00FD5DA7">
            <w:r w:rsidRPr="00AF28E1">
              <w:t>Tilltron till trygghetssystemen</w:t>
            </w:r>
          </w:p>
          <w:p w:rsidR="00EA0C66" w:rsidRPr="00AF28E1" w:rsidRDefault="00EA0C66" w:rsidP="00FD5DA7">
            <w:r w:rsidRPr="00AF28E1">
              <w:t>Lars Johansson (S) tar svaret</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Besvaradav"/>
            </w:pPr>
          </w:p>
        </w:tc>
        <w:tc>
          <w:tcPr>
            <w:tcW w:w="6237" w:type="dxa"/>
          </w:tcPr>
          <w:p w:rsidR="00EA0C66" w:rsidRPr="00AF28E1" w:rsidRDefault="00EA0C66" w:rsidP="00FD5DA7">
            <w:pPr>
              <w:pStyle w:val="Besvaradav"/>
            </w:pPr>
            <w:r w:rsidRPr="00AF28E1">
              <w:t>Statsrådet Catharina Elmsäter-Svärd (M)</w:t>
            </w:r>
          </w:p>
        </w:tc>
        <w:tc>
          <w:tcPr>
            <w:tcW w:w="2481" w:type="dxa"/>
          </w:tcPr>
          <w:p w:rsidR="00EA0C66" w:rsidRPr="00AF28E1" w:rsidRDefault="00EA0C66" w:rsidP="00FD5DA7">
            <w:pPr>
              <w:pStyle w:val="Besvaradav"/>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2011/12:439 av Lars Johansson (S)</w:t>
            </w:r>
          </w:p>
          <w:p w:rsidR="00EA0C66" w:rsidRPr="00AF28E1" w:rsidRDefault="00EA0C66" w:rsidP="00FD5DA7">
            <w:r w:rsidRPr="00AF28E1">
              <w:t>Regiontågen i Västsverige</w:t>
            </w:r>
          </w:p>
        </w:tc>
        <w:tc>
          <w:tcPr>
            <w:tcW w:w="2481" w:type="dxa"/>
          </w:tcPr>
          <w:p w:rsidR="00EA0C66" w:rsidRPr="00AF28E1" w:rsidRDefault="00EA0C66" w:rsidP="00FD5DA7">
            <w:pPr>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Besvaradav"/>
            </w:pPr>
          </w:p>
        </w:tc>
        <w:tc>
          <w:tcPr>
            <w:tcW w:w="6237" w:type="dxa"/>
          </w:tcPr>
          <w:p w:rsidR="00EA0C66" w:rsidRPr="00AF28E1" w:rsidRDefault="00EA0C66" w:rsidP="00FD5DA7">
            <w:pPr>
              <w:pStyle w:val="Besvaradav"/>
            </w:pPr>
            <w:r w:rsidRPr="00AF28E1">
              <w:t>Arbetsmarknadsminister Hillevi Engström (M)</w:t>
            </w:r>
          </w:p>
        </w:tc>
        <w:tc>
          <w:tcPr>
            <w:tcW w:w="2481" w:type="dxa"/>
          </w:tcPr>
          <w:p w:rsidR="00EA0C66" w:rsidRPr="00AF28E1" w:rsidRDefault="00EA0C66" w:rsidP="00FD5DA7">
            <w:pPr>
              <w:pStyle w:val="Besvaradav"/>
              <w:rPr>
                <w:spacing w:val="-4"/>
              </w:rPr>
            </w:pPr>
          </w:p>
        </w:tc>
      </w:tr>
      <w:tr w:rsidR="00EA0C66" w:rsidRPr="00AF28E1" w:rsidTr="00FD5DA7">
        <w:tblPrEx>
          <w:tblCellMar>
            <w:top w:w="0" w:type="dxa"/>
            <w:bottom w:w="0" w:type="dxa"/>
          </w:tblCellMar>
        </w:tblPrEx>
        <w:trPr>
          <w:cantSplit/>
        </w:trPr>
        <w:tc>
          <w:tcPr>
            <w:tcW w:w="567" w:type="dxa"/>
          </w:tcPr>
          <w:p w:rsidR="00EA0C66" w:rsidRPr="00AF28E1" w:rsidRDefault="00EA0C66" w:rsidP="00FD5DA7">
            <w:pPr>
              <w:pStyle w:val="FlistaNrText"/>
            </w:pPr>
          </w:p>
        </w:tc>
        <w:tc>
          <w:tcPr>
            <w:tcW w:w="6237" w:type="dxa"/>
          </w:tcPr>
          <w:p w:rsidR="00EA0C66" w:rsidRPr="00AF28E1" w:rsidRDefault="00EA0C66" w:rsidP="00FD5DA7">
            <w:r w:rsidRPr="00AF28E1">
              <w:t>2011/12:432 av Eva-Lena Jansson (S)</w:t>
            </w:r>
          </w:p>
          <w:p w:rsidR="00EA0C66" w:rsidRPr="00AF28E1" w:rsidRDefault="00EA0C66" w:rsidP="00FD5DA7">
            <w:r w:rsidRPr="00AF28E1">
              <w:t>Arbetsmarknadsåtgärden fas 3</w:t>
            </w:r>
          </w:p>
        </w:tc>
        <w:tc>
          <w:tcPr>
            <w:tcW w:w="2481" w:type="dxa"/>
          </w:tcPr>
          <w:p w:rsidR="00EA0C66" w:rsidRPr="00AF28E1" w:rsidRDefault="00EA0C66" w:rsidP="00FD5DA7">
            <w:pPr>
              <w:rPr>
                <w:spacing w:val="-4"/>
              </w:rPr>
            </w:pPr>
          </w:p>
        </w:tc>
      </w:tr>
    </w:tbl>
    <w:p w:rsidR="00EA0C66" w:rsidRPr="00AF28E1" w:rsidRDefault="00EA0C66" w:rsidP="003675A0">
      <w:pPr>
        <w:pStyle w:val="Blankrad"/>
      </w:pPr>
      <w:r w:rsidRPr="00AF28E1">
        <w:t>     </w:t>
      </w:r>
    </w:p>
    <w:p w:rsidR="004E6DC2" w:rsidRPr="00AF28E1" w:rsidRDefault="00EA0C66" w:rsidP="003675A0">
      <w:pPr>
        <w:pStyle w:val="Blankrad"/>
      </w:pPr>
      <w:bookmarkStart w:id="7" w:name="Start"/>
      <w:bookmarkEnd w:id="7"/>
      <w:r w:rsidRPr="00AF28E1">
        <w:t xml:space="preserve">     </w:t>
      </w:r>
    </w:p>
    <w:tbl>
      <w:tblPr>
        <w:tblW w:w="0" w:type="auto"/>
        <w:tblLayout w:type="fixed"/>
        <w:tblCellMar>
          <w:left w:w="71" w:type="dxa"/>
          <w:right w:w="71" w:type="dxa"/>
        </w:tblCellMar>
        <w:tblLook w:val="0000" w:firstRow="0" w:lastRow="0" w:firstColumn="0" w:lastColumn="0" w:noHBand="0" w:noVBand="0"/>
      </w:tblPr>
      <w:tblGrid>
        <w:gridCol w:w="567"/>
        <w:gridCol w:w="8718"/>
      </w:tblGrid>
      <w:tr w:rsidR="006E04A4" w:rsidRPr="00AF28E1">
        <w:tblPrEx>
          <w:tblCellMar>
            <w:top w:w="0" w:type="dxa"/>
            <w:bottom w:w="0" w:type="dxa"/>
          </w:tblCellMar>
        </w:tblPrEx>
        <w:tc>
          <w:tcPr>
            <w:tcW w:w="567" w:type="dxa"/>
          </w:tcPr>
          <w:p w:rsidR="006E04A4" w:rsidRPr="00AF28E1" w:rsidRDefault="006E04A4">
            <w:pPr>
              <w:pStyle w:val="IngenText"/>
            </w:pPr>
          </w:p>
        </w:tc>
        <w:tc>
          <w:tcPr>
            <w:tcW w:w="8718" w:type="dxa"/>
          </w:tcPr>
          <w:p w:rsidR="006E04A4" w:rsidRPr="00AF28E1" w:rsidRDefault="006E04A4" w:rsidP="00D016E9">
            <w:pPr>
              <w:pStyle w:val="StreckMitten"/>
            </w:pPr>
            <w:r w:rsidRPr="00AF28E1">
              <w:tab/>
            </w:r>
            <w:r w:rsidRPr="00AF28E1">
              <w:tab/>
            </w:r>
          </w:p>
        </w:tc>
      </w:tr>
    </w:tbl>
    <w:p w:rsidR="006E04A4" w:rsidRPr="00AF28E1" w:rsidRDefault="006E04A4" w:rsidP="003675A0">
      <w:pPr>
        <w:pStyle w:val="Blankrad"/>
      </w:pPr>
    </w:p>
    <w:sectPr w:rsidR="006E04A4" w:rsidRPr="00AF28E1">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921" w:rsidRPr="00AF28E1" w:rsidRDefault="00913921">
      <w:r w:rsidRPr="00AF28E1">
        <w:separator/>
      </w:r>
    </w:p>
  </w:endnote>
  <w:endnote w:type="continuationSeparator" w:id="0">
    <w:p w:rsidR="00913921" w:rsidRPr="00AF28E1" w:rsidRDefault="00913921">
      <w:r w:rsidRPr="00AF2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D97" w:rsidRPr="00AF28E1" w:rsidRDefault="00D16D97">
    <w:pPr>
      <w:pStyle w:val="Sidhuvud"/>
      <w:jc w:val="center"/>
    </w:pPr>
    <w:r w:rsidRPr="00AF28E1">
      <w:fldChar w:fldCharType="begin" w:fldLock="1"/>
    </w:r>
    <w:r w:rsidRPr="00AF28E1">
      <w:instrText xml:space="preserve"> PAGE </w:instrText>
    </w:r>
    <w:r w:rsidRPr="00AF28E1">
      <w:fldChar w:fldCharType="separate"/>
    </w:r>
    <w:r w:rsidRPr="00AF28E1">
      <w:t>2</w:t>
    </w:r>
    <w:r w:rsidRPr="00AF28E1">
      <w:fldChar w:fldCharType="end"/>
    </w:r>
    <w:r w:rsidRPr="00AF28E1">
      <w:t xml:space="preserve"> (</w:t>
    </w:r>
    <w:r w:rsidRPr="00AF28E1">
      <w:fldChar w:fldCharType="begin" w:fldLock="1"/>
    </w:r>
    <w:r w:rsidRPr="00AF28E1">
      <w:instrText xml:space="preserve"> NUMPAGES </w:instrText>
    </w:r>
    <w:r w:rsidRPr="00AF28E1">
      <w:fldChar w:fldCharType="separate"/>
    </w:r>
    <w:r w:rsidR="00927303" w:rsidRPr="00AF28E1">
      <w:t>5</w:t>
    </w:r>
    <w:r w:rsidRPr="00AF28E1">
      <w:fldChar w:fldCharType="end"/>
    </w:r>
    <w:r w:rsidRPr="00AF28E1">
      <w:t>)</w:t>
    </w:r>
  </w:p>
  <w:p w:rsidR="00D16D97" w:rsidRPr="00AF28E1" w:rsidRDefault="00D16D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D97" w:rsidRPr="00AF28E1" w:rsidRDefault="00D16D97">
    <w:pPr>
      <w:pStyle w:val="Sidhuvud"/>
      <w:jc w:val="center"/>
    </w:pPr>
    <w:r w:rsidRPr="00AF28E1">
      <w:fldChar w:fldCharType="begin" w:fldLock="1"/>
    </w:r>
    <w:r w:rsidRPr="00AF28E1">
      <w:instrText xml:space="preserve"> PAGE </w:instrText>
    </w:r>
    <w:r w:rsidRPr="00AF28E1">
      <w:fldChar w:fldCharType="separate"/>
    </w:r>
    <w:r w:rsidRPr="00AF28E1">
      <w:t>1</w:t>
    </w:r>
    <w:r w:rsidRPr="00AF28E1">
      <w:fldChar w:fldCharType="end"/>
    </w:r>
    <w:r w:rsidRPr="00AF28E1">
      <w:t xml:space="preserve"> (</w:t>
    </w:r>
    <w:r w:rsidRPr="00AF28E1">
      <w:fldChar w:fldCharType="begin" w:fldLock="1"/>
    </w:r>
    <w:r w:rsidRPr="00AF28E1">
      <w:instrText xml:space="preserve"> NUMPAGES </w:instrText>
    </w:r>
    <w:r w:rsidRPr="00AF28E1">
      <w:fldChar w:fldCharType="separate"/>
    </w:r>
    <w:r w:rsidR="00927303" w:rsidRPr="00AF28E1">
      <w:t>5</w:t>
    </w:r>
    <w:r w:rsidRPr="00AF28E1">
      <w:fldChar w:fldCharType="end"/>
    </w:r>
    <w:r w:rsidRPr="00AF28E1">
      <w:t>)</w:t>
    </w:r>
  </w:p>
  <w:p w:rsidR="00D16D97" w:rsidRPr="00AF28E1" w:rsidRDefault="00D16D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921" w:rsidRPr="00AF28E1" w:rsidRDefault="00913921">
      <w:r w:rsidRPr="00AF28E1">
        <w:separator/>
      </w:r>
    </w:p>
  </w:footnote>
  <w:footnote w:type="continuationSeparator" w:id="0">
    <w:p w:rsidR="00913921" w:rsidRPr="00AF28E1" w:rsidRDefault="00913921">
      <w:r w:rsidRPr="00AF2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D97" w:rsidRPr="00AF28E1" w:rsidRDefault="00D16D97">
    <w:pPr>
      <w:pStyle w:val="Sidhuvud"/>
      <w:tabs>
        <w:tab w:val="clear" w:pos="4536"/>
      </w:tabs>
    </w:pPr>
    <w:r w:rsidRPr="00AF28E1">
      <w:fldChar w:fldCharType="begin" w:fldLock="1"/>
    </w:r>
    <w:r w:rsidRPr="00AF28E1">
      <w:instrText xml:space="preserve"> DOCPROPERTY "DocumentDate" </w:instrText>
    </w:r>
    <w:r w:rsidRPr="00AF28E1">
      <w:fldChar w:fldCharType="separate"/>
    </w:r>
    <w:r w:rsidR="00927303" w:rsidRPr="00AF28E1">
      <w:t>Torsdagen den 23 augusti 2012</w:t>
    </w:r>
    <w:r w:rsidRPr="00AF28E1">
      <w:fldChar w:fldCharType="end"/>
    </w:r>
    <w:r w:rsidRPr="00AF28E1">
      <w:tab/>
    </w:r>
  </w:p>
  <w:p w:rsidR="00D16D97" w:rsidRPr="00AF28E1" w:rsidRDefault="00D16D97">
    <w:pPr>
      <w:pStyle w:val="Sidhuvud"/>
      <w:tabs>
        <w:tab w:val="clear" w:pos="4536"/>
        <w:tab w:val="right" w:leader="underscore" w:pos="9072"/>
      </w:tabs>
      <w:spacing w:after="480"/>
      <w:rPr>
        <w:sz w:val="12"/>
      </w:rPr>
    </w:pPr>
    <w:r w:rsidRPr="00AF28E1">
      <w:rPr>
        <w:sz w:val="12"/>
      </w:rPr>
      <w:tab/>
    </w:r>
  </w:p>
  <w:p w:rsidR="00D16D97" w:rsidRPr="00AF28E1" w:rsidRDefault="00D16D97"/>
  <w:p w:rsidR="00D16D97" w:rsidRPr="00AF28E1" w:rsidRDefault="00D16D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D97" w:rsidRPr="00AF28E1" w:rsidRDefault="00AF28E1">
    <w:pPr>
      <w:pStyle w:val="logo"/>
      <w:framePr w:wrap="around" w:x="9073" w:y="721" w:anchorLock="0"/>
      <w:spacing w:line="240" w:lineRule="atLeast"/>
      <w:rPr>
        <w:rFonts w:ascii="Arial" w:hAnsi="Arial"/>
        <w:sz w:val="60"/>
      </w:rPr>
    </w:pPr>
    <w:r w:rsidRPr="00AF28E1">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16D97" w:rsidRPr="00AF28E1" w:rsidRDefault="00D16D97">
    <w:pPr>
      <w:pStyle w:val="Dokumentrubrik"/>
      <w:spacing w:after="360"/>
    </w:pPr>
    <w:r w:rsidRPr="00AF28E1">
      <w:t>Föredragningslista</w:t>
    </w:r>
  </w:p>
  <w:p w:rsidR="00D16D97" w:rsidRPr="00AF28E1" w:rsidRDefault="00D16D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343EABCC"/>
    <w:lvl w:ilvl="0" w:tplc="2CA29E10">
      <w:start w:val="1"/>
      <w:numFmt w:val="decimal"/>
      <w:pStyle w:val="FlistaNrRubrik"/>
      <w:lvlText w:val="%1"/>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754402876">
    <w:abstractNumId w:val="5"/>
  </w:num>
  <w:num w:numId="2" w16cid:durableId="1013143833">
    <w:abstractNumId w:val="2"/>
  </w:num>
  <w:num w:numId="3" w16cid:durableId="1423064369">
    <w:abstractNumId w:val="4"/>
  </w:num>
  <w:num w:numId="4" w16cid:durableId="1356617245">
    <w:abstractNumId w:val="1"/>
  </w:num>
  <w:num w:numId="5" w16cid:durableId="1591549061">
    <w:abstractNumId w:val="0"/>
  </w:num>
  <w:num w:numId="6" w16cid:durableId="1039092987">
    <w:abstractNumId w:val="3"/>
  </w:num>
  <w:num w:numId="7" w16cid:durableId="2124839493">
    <w:abstractNumId w:val="3"/>
  </w:num>
  <w:num w:numId="8" w16cid:durableId="183143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32C09"/>
    <w:rsid w:val="00000608"/>
    <w:rsid w:val="00000DAE"/>
    <w:rsid w:val="000021B0"/>
    <w:rsid w:val="000025B1"/>
    <w:rsid w:val="00002616"/>
    <w:rsid w:val="00003249"/>
    <w:rsid w:val="00012B9B"/>
    <w:rsid w:val="00013362"/>
    <w:rsid w:val="00014B7E"/>
    <w:rsid w:val="000157A2"/>
    <w:rsid w:val="00016950"/>
    <w:rsid w:val="0002560B"/>
    <w:rsid w:val="00025ED1"/>
    <w:rsid w:val="00030ADD"/>
    <w:rsid w:val="00035B74"/>
    <w:rsid w:val="000451B8"/>
    <w:rsid w:val="000466D5"/>
    <w:rsid w:val="0004699B"/>
    <w:rsid w:val="000473E3"/>
    <w:rsid w:val="00047C27"/>
    <w:rsid w:val="00050A6C"/>
    <w:rsid w:val="0005177F"/>
    <w:rsid w:val="00052BC7"/>
    <w:rsid w:val="000531DC"/>
    <w:rsid w:val="000541FC"/>
    <w:rsid w:val="00056CC9"/>
    <w:rsid w:val="00060EE6"/>
    <w:rsid w:val="0006145A"/>
    <w:rsid w:val="000621FC"/>
    <w:rsid w:val="00063537"/>
    <w:rsid w:val="0006505A"/>
    <w:rsid w:val="00067D5D"/>
    <w:rsid w:val="00074E52"/>
    <w:rsid w:val="00075958"/>
    <w:rsid w:val="00076C5F"/>
    <w:rsid w:val="000804F5"/>
    <w:rsid w:val="000816E1"/>
    <w:rsid w:val="00083022"/>
    <w:rsid w:val="00086017"/>
    <w:rsid w:val="0009271C"/>
    <w:rsid w:val="00092904"/>
    <w:rsid w:val="00096F15"/>
    <w:rsid w:val="000A1CDF"/>
    <w:rsid w:val="000A3B91"/>
    <w:rsid w:val="000A48E1"/>
    <w:rsid w:val="000A51FF"/>
    <w:rsid w:val="000A7D17"/>
    <w:rsid w:val="000B62B2"/>
    <w:rsid w:val="000B79EE"/>
    <w:rsid w:val="000C49EC"/>
    <w:rsid w:val="000C5504"/>
    <w:rsid w:val="000C6BA6"/>
    <w:rsid w:val="000C6C04"/>
    <w:rsid w:val="000D0D53"/>
    <w:rsid w:val="000D6E9F"/>
    <w:rsid w:val="000E0074"/>
    <w:rsid w:val="000E06B1"/>
    <w:rsid w:val="000E1C84"/>
    <w:rsid w:val="000E30A0"/>
    <w:rsid w:val="000E48DD"/>
    <w:rsid w:val="000F3D68"/>
    <w:rsid w:val="00102948"/>
    <w:rsid w:val="00102B56"/>
    <w:rsid w:val="00103C04"/>
    <w:rsid w:val="00111453"/>
    <w:rsid w:val="00112044"/>
    <w:rsid w:val="0012112E"/>
    <w:rsid w:val="00122380"/>
    <w:rsid w:val="00130979"/>
    <w:rsid w:val="00135D30"/>
    <w:rsid w:val="00143280"/>
    <w:rsid w:val="00143518"/>
    <w:rsid w:val="00143D28"/>
    <w:rsid w:val="00146992"/>
    <w:rsid w:val="0014779C"/>
    <w:rsid w:val="00147F56"/>
    <w:rsid w:val="001548E3"/>
    <w:rsid w:val="00160B0C"/>
    <w:rsid w:val="00165404"/>
    <w:rsid w:val="0016727E"/>
    <w:rsid w:val="00170F83"/>
    <w:rsid w:val="00174FCA"/>
    <w:rsid w:val="001763B7"/>
    <w:rsid w:val="0018078C"/>
    <w:rsid w:val="001830BD"/>
    <w:rsid w:val="001903E8"/>
    <w:rsid w:val="00193B94"/>
    <w:rsid w:val="00193E4B"/>
    <w:rsid w:val="00194661"/>
    <w:rsid w:val="0019542B"/>
    <w:rsid w:val="00195593"/>
    <w:rsid w:val="00197857"/>
    <w:rsid w:val="00197CC0"/>
    <w:rsid w:val="001A1CBE"/>
    <w:rsid w:val="001A6303"/>
    <w:rsid w:val="001B02DA"/>
    <w:rsid w:val="001B0897"/>
    <w:rsid w:val="001B2929"/>
    <w:rsid w:val="001B45D3"/>
    <w:rsid w:val="001B470C"/>
    <w:rsid w:val="001B4C8D"/>
    <w:rsid w:val="001B64A0"/>
    <w:rsid w:val="001C35BD"/>
    <w:rsid w:val="001C4530"/>
    <w:rsid w:val="001C66D9"/>
    <w:rsid w:val="001D1131"/>
    <w:rsid w:val="001D19AB"/>
    <w:rsid w:val="001D19E3"/>
    <w:rsid w:val="001D270A"/>
    <w:rsid w:val="001D504A"/>
    <w:rsid w:val="001D7C4B"/>
    <w:rsid w:val="001E0CB1"/>
    <w:rsid w:val="001E1635"/>
    <w:rsid w:val="001E71B1"/>
    <w:rsid w:val="001F45EF"/>
    <w:rsid w:val="001F52AB"/>
    <w:rsid w:val="001F58F3"/>
    <w:rsid w:val="002068C6"/>
    <w:rsid w:val="0021008A"/>
    <w:rsid w:val="002100C3"/>
    <w:rsid w:val="0021037A"/>
    <w:rsid w:val="0021052F"/>
    <w:rsid w:val="00211667"/>
    <w:rsid w:val="00213618"/>
    <w:rsid w:val="00213796"/>
    <w:rsid w:val="00215146"/>
    <w:rsid w:val="00220E39"/>
    <w:rsid w:val="00223EF7"/>
    <w:rsid w:val="002257C6"/>
    <w:rsid w:val="00233D5B"/>
    <w:rsid w:val="00233E62"/>
    <w:rsid w:val="00236B2E"/>
    <w:rsid w:val="00241A96"/>
    <w:rsid w:val="00242820"/>
    <w:rsid w:val="0025181C"/>
    <w:rsid w:val="0026765E"/>
    <w:rsid w:val="00270162"/>
    <w:rsid w:val="002732DA"/>
    <w:rsid w:val="00274A69"/>
    <w:rsid w:val="002760B5"/>
    <w:rsid w:val="002766C2"/>
    <w:rsid w:val="00281841"/>
    <w:rsid w:val="002826A6"/>
    <w:rsid w:val="00286AD2"/>
    <w:rsid w:val="00286D2E"/>
    <w:rsid w:val="002874D6"/>
    <w:rsid w:val="0029262E"/>
    <w:rsid w:val="00292A2E"/>
    <w:rsid w:val="0029386E"/>
    <w:rsid w:val="002A09ED"/>
    <w:rsid w:val="002A185C"/>
    <w:rsid w:val="002A6592"/>
    <w:rsid w:val="002A73EF"/>
    <w:rsid w:val="002B118F"/>
    <w:rsid w:val="002B3051"/>
    <w:rsid w:val="002B73F4"/>
    <w:rsid w:val="002C244C"/>
    <w:rsid w:val="002C2EDB"/>
    <w:rsid w:val="002C63D7"/>
    <w:rsid w:val="002C6F0F"/>
    <w:rsid w:val="002D23AD"/>
    <w:rsid w:val="002D33AA"/>
    <w:rsid w:val="002D569C"/>
    <w:rsid w:val="002D60F8"/>
    <w:rsid w:val="002D6A00"/>
    <w:rsid w:val="002D72ED"/>
    <w:rsid w:val="002E546B"/>
    <w:rsid w:val="002E55DF"/>
    <w:rsid w:val="002E5A5E"/>
    <w:rsid w:val="002E7DB2"/>
    <w:rsid w:val="002F0948"/>
    <w:rsid w:val="002F0C89"/>
    <w:rsid w:val="002F19EC"/>
    <w:rsid w:val="002F2D1A"/>
    <w:rsid w:val="002F7486"/>
    <w:rsid w:val="00302096"/>
    <w:rsid w:val="00303B6B"/>
    <w:rsid w:val="00305353"/>
    <w:rsid w:val="003107BB"/>
    <w:rsid w:val="00312656"/>
    <w:rsid w:val="0031328B"/>
    <w:rsid w:val="00315C69"/>
    <w:rsid w:val="003200DD"/>
    <w:rsid w:val="0032182C"/>
    <w:rsid w:val="003221FF"/>
    <w:rsid w:val="00324C15"/>
    <w:rsid w:val="0032573D"/>
    <w:rsid w:val="003320D1"/>
    <w:rsid w:val="00332C09"/>
    <w:rsid w:val="0033476B"/>
    <w:rsid w:val="00334A3B"/>
    <w:rsid w:val="003368FF"/>
    <w:rsid w:val="00337506"/>
    <w:rsid w:val="00340024"/>
    <w:rsid w:val="0034141E"/>
    <w:rsid w:val="0034178D"/>
    <w:rsid w:val="00341C37"/>
    <w:rsid w:val="00346BF8"/>
    <w:rsid w:val="00346BFE"/>
    <w:rsid w:val="003474E1"/>
    <w:rsid w:val="00350ACF"/>
    <w:rsid w:val="003511C0"/>
    <w:rsid w:val="00351287"/>
    <w:rsid w:val="00352F3D"/>
    <w:rsid w:val="00355158"/>
    <w:rsid w:val="00355222"/>
    <w:rsid w:val="003605E2"/>
    <w:rsid w:val="0036199E"/>
    <w:rsid w:val="003652CF"/>
    <w:rsid w:val="00365CD2"/>
    <w:rsid w:val="003675A0"/>
    <w:rsid w:val="00371E50"/>
    <w:rsid w:val="003721AE"/>
    <w:rsid w:val="00374B8E"/>
    <w:rsid w:val="00376480"/>
    <w:rsid w:val="00377A35"/>
    <w:rsid w:val="00377B34"/>
    <w:rsid w:val="0038132C"/>
    <w:rsid w:val="00382B93"/>
    <w:rsid w:val="003863CC"/>
    <w:rsid w:val="00386486"/>
    <w:rsid w:val="003945BB"/>
    <w:rsid w:val="00395550"/>
    <w:rsid w:val="00395C88"/>
    <w:rsid w:val="00396FD0"/>
    <w:rsid w:val="003A3C72"/>
    <w:rsid w:val="003B796F"/>
    <w:rsid w:val="003C1FD3"/>
    <w:rsid w:val="003C5072"/>
    <w:rsid w:val="003C6664"/>
    <w:rsid w:val="003C7487"/>
    <w:rsid w:val="003C7EDD"/>
    <w:rsid w:val="003D027A"/>
    <w:rsid w:val="003D0E9A"/>
    <w:rsid w:val="003D1C4F"/>
    <w:rsid w:val="003D7E54"/>
    <w:rsid w:val="003E0858"/>
    <w:rsid w:val="003E1314"/>
    <w:rsid w:val="003E1861"/>
    <w:rsid w:val="003E25FD"/>
    <w:rsid w:val="003E395F"/>
    <w:rsid w:val="003E7C19"/>
    <w:rsid w:val="003F3D98"/>
    <w:rsid w:val="003F43D8"/>
    <w:rsid w:val="003F5F0D"/>
    <w:rsid w:val="003F7E25"/>
    <w:rsid w:val="00402365"/>
    <w:rsid w:val="00402AE6"/>
    <w:rsid w:val="00404049"/>
    <w:rsid w:val="00405E4A"/>
    <w:rsid w:val="00407A88"/>
    <w:rsid w:val="00407F0B"/>
    <w:rsid w:val="004100C9"/>
    <w:rsid w:val="004114F9"/>
    <w:rsid w:val="00411994"/>
    <w:rsid w:val="00414672"/>
    <w:rsid w:val="00415884"/>
    <w:rsid w:val="004158EB"/>
    <w:rsid w:val="004166DF"/>
    <w:rsid w:val="0041796D"/>
    <w:rsid w:val="00424119"/>
    <w:rsid w:val="00426681"/>
    <w:rsid w:val="00441339"/>
    <w:rsid w:val="00442A2D"/>
    <w:rsid w:val="004442E5"/>
    <w:rsid w:val="00445027"/>
    <w:rsid w:val="004453D0"/>
    <w:rsid w:val="00446814"/>
    <w:rsid w:val="0045348A"/>
    <w:rsid w:val="00455A42"/>
    <w:rsid w:val="004603CE"/>
    <w:rsid w:val="00463440"/>
    <w:rsid w:val="0046352C"/>
    <w:rsid w:val="00464CE0"/>
    <w:rsid w:val="00465360"/>
    <w:rsid w:val="0046556D"/>
    <w:rsid w:val="0046765A"/>
    <w:rsid w:val="004679A8"/>
    <w:rsid w:val="00474978"/>
    <w:rsid w:val="00481275"/>
    <w:rsid w:val="004823D1"/>
    <w:rsid w:val="004827EF"/>
    <w:rsid w:val="00482A8C"/>
    <w:rsid w:val="004849E6"/>
    <w:rsid w:val="004849E8"/>
    <w:rsid w:val="004A4005"/>
    <w:rsid w:val="004B04E9"/>
    <w:rsid w:val="004B06DE"/>
    <w:rsid w:val="004B0FE1"/>
    <w:rsid w:val="004B295D"/>
    <w:rsid w:val="004B2D2B"/>
    <w:rsid w:val="004B2F2B"/>
    <w:rsid w:val="004B7A73"/>
    <w:rsid w:val="004C0E50"/>
    <w:rsid w:val="004C1300"/>
    <w:rsid w:val="004C1FA3"/>
    <w:rsid w:val="004C4932"/>
    <w:rsid w:val="004D1B3F"/>
    <w:rsid w:val="004D7DD4"/>
    <w:rsid w:val="004E18E1"/>
    <w:rsid w:val="004E295C"/>
    <w:rsid w:val="004E2D20"/>
    <w:rsid w:val="004E4219"/>
    <w:rsid w:val="004E5670"/>
    <w:rsid w:val="004E5AC8"/>
    <w:rsid w:val="004E6DC2"/>
    <w:rsid w:val="004F173D"/>
    <w:rsid w:val="004F2643"/>
    <w:rsid w:val="004F403E"/>
    <w:rsid w:val="004F5548"/>
    <w:rsid w:val="004F58E7"/>
    <w:rsid w:val="004F60B1"/>
    <w:rsid w:val="005020C6"/>
    <w:rsid w:val="00503BE4"/>
    <w:rsid w:val="005103F6"/>
    <w:rsid w:val="00510E80"/>
    <w:rsid w:val="005128A9"/>
    <w:rsid w:val="005166A2"/>
    <w:rsid w:val="00517888"/>
    <w:rsid w:val="00527322"/>
    <w:rsid w:val="00533A3C"/>
    <w:rsid w:val="00537A01"/>
    <w:rsid w:val="00541C7C"/>
    <w:rsid w:val="00543489"/>
    <w:rsid w:val="005460B2"/>
    <w:rsid w:val="005510B5"/>
    <w:rsid w:val="00552917"/>
    <w:rsid w:val="00560161"/>
    <w:rsid w:val="00567E16"/>
    <w:rsid w:val="00571EEC"/>
    <w:rsid w:val="005724E4"/>
    <w:rsid w:val="00576411"/>
    <w:rsid w:val="0058117D"/>
    <w:rsid w:val="00585ED4"/>
    <w:rsid w:val="00587EDB"/>
    <w:rsid w:val="00593F37"/>
    <w:rsid w:val="00594D74"/>
    <w:rsid w:val="0059568C"/>
    <w:rsid w:val="00597CFF"/>
    <w:rsid w:val="005A05F4"/>
    <w:rsid w:val="005A2918"/>
    <w:rsid w:val="005A4129"/>
    <w:rsid w:val="005A641C"/>
    <w:rsid w:val="005A6C87"/>
    <w:rsid w:val="005B067A"/>
    <w:rsid w:val="005B1060"/>
    <w:rsid w:val="005B2016"/>
    <w:rsid w:val="005B50D4"/>
    <w:rsid w:val="005B70D8"/>
    <w:rsid w:val="005C2FB4"/>
    <w:rsid w:val="005C507D"/>
    <w:rsid w:val="005C7F3D"/>
    <w:rsid w:val="005D15F9"/>
    <w:rsid w:val="005D3FB9"/>
    <w:rsid w:val="005D4B9F"/>
    <w:rsid w:val="005D5DA3"/>
    <w:rsid w:val="005D65CC"/>
    <w:rsid w:val="005D6C81"/>
    <w:rsid w:val="005E05A7"/>
    <w:rsid w:val="005E0859"/>
    <w:rsid w:val="005E201A"/>
    <w:rsid w:val="005E3DF0"/>
    <w:rsid w:val="005F080B"/>
    <w:rsid w:val="005F1084"/>
    <w:rsid w:val="005F2E2A"/>
    <w:rsid w:val="005F5AE6"/>
    <w:rsid w:val="005F793C"/>
    <w:rsid w:val="0060198F"/>
    <w:rsid w:val="00602264"/>
    <w:rsid w:val="006025D2"/>
    <w:rsid w:val="00602C19"/>
    <w:rsid w:val="006047EA"/>
    <w:rsid w:val="00607D38"/>
    <w:rsid w:val="0061149D"/>
    <w:rsid w:val="006115DB"/>
    <w:rsid w:val="0061194B"/>
    <w:rsid w:val="0061541F"/>
    <w:rsid w:val="006204A3"/>
    <w:rsid w:val="006320E4"/>
    <w:rsid w:val="00634CAC"/>
    <w:rsid w:val="006359D0"/>
    <w:rsid w:val="00636F88"/>
    <w:rsid w:val="00640D29"/>
    <w:rsid w:val="006417AD"/>
    <w:rsid w:val="0064413C"/>
    <w:rsid w:val="006441B2"/>
    <w:rsid w:val="00645051"/>
    <w:rsid w:val="00650525"/>
    <w:rsid w:val="00652619"/>
    <w:rsid w:val="00652957"/>
    <w:rsid w:val="00654041"/>
    <w:rsid w:val="0065466B"/>
    <w:rsid w:val="00660A6C"/>
    <w:rsid w:val="00662905"/>
    <w:rsid w:val="00662DB5"/>
    <w:rsid w:val="0067195E"/>
    <w:rsid w:val="0067606B"/>
    <w:rsid w:val="006775C2"/>
    <w:rsid w:val="00683F0B"/>
    <w:rsid w:val="00684077"/>
    <w:rsid w:val="006872DB"/>
    <w:rsid w:val="00690C89"/>
    <w:rsid w:val="00691645"/>
    <w:rsid w:val="00691B56"/>
    <w:rsid w:val="00693162"/>
    <w:rsid w:val="00693E34"/>
    <w:rsid w:val="00695350"/>
    <w:rsid w:val="0069595B"/>
    <w:rsid w:val="006B0B9F"/>
    <w:rsid w:val="006B1634"/>
    <w:rsid w:val="006B67A9"/>
    <w:rsid w:val="006C05D9"/>
    <w:rsid w:val="006C4107"/>
    <w:rsid w:val="006C5470"/>
    <w:rsid w:val="006D0C2B"/>
    <w:rsid w:val="006D196C"/>
    <w:rsid w:val="006D5B2A"/>
    <w:rsid w:val="006E04A4"/>
    <w:rsid w:val="006E3810"/>
    <w:rsid w:val="006E4241"/>
    <w:rsid w:val="006E5764"/>
    <w:rsid w:val="006E7DD1"/>
    <w:rsid w:val="006F28F0"/>
    <w:rsid w:val="006F2BA3"/>
    <w:rsid w:val="006F4339"/>
    <w:rsid w:val="006F4563"/>
    <w:rsid w:val="006F4DE6"/>
    <w:rsid w:val="006F5B8F"/>
    <w:rsid w:val="006F63C4"/>
    <w:rsid w:val="006F66D1"/>
    <w:rsid w:val="006F66DE"/>
    <w:rsid w:val="006F7031"/>
    <w:rsid w:val="00701235"/>
    <w:rsid w:val="007022B9"/>
    <w:rsid w:val="0071198D"/>
    <w:rsid w:val="007125DF"/>
    <w:rsid w:val="00712ED9"/>
    <w:rsid w:val="0071440B"/>
    <w:rsid w:val="00715E0F"/>
    <w:rsid w:val="00721555"/>
    <w:rsid w:val="007246B8"/>
    <w:rsid w:val="00724FED"/>
    <w:rsid w:val="00726578"/>
    <w:rsid w:val="00727547"/>
    <w:rsid w:val="007343BD"/>
    <w:rsid w:val="00743846"/>
    <w:rsid w:val="007453D7"/>
    <w:rsid w:val="0074546A"/>
    <w:rsid w:val="00745B90"/>
    <w:rsid w:val="0074605A"/>
    <w:rsid w:val="007467BE"/>
    <w:rsid w:val="007503DA"/>
    <w:rsid w:val="0075111F"/>
    <w:rsid w:val="007526CB"/>
    <w:rsid w:val="007532ED"/>
    <w:rsid w:val="00755F48"/>
    <w:rsid w:val="007603D3"/>
    <w:rsid w:val="007609D3"/>
    <w:rsid w:val="00763C0A"/>
    <w:rsid w:val="007732C5"/>
    <w:rsid w:val="007737CA"/>
    <w:rsid w:val="00773D32"/>
    <w:rsid w:val="007743CC"/>
    <w:rsid w:val="00777E1D"/>
    <w:rsid w:val="0078127D"/>
    <w:rsid w:val="007833F3"/>
    <w:rsid w:val="00796C1C"/>
    <w:rsid w:val="00797ED8"/>
    <w:rsid w:val="007A090E"/>
    <w:rsid w:val="007A0BF3"/>
    <w:rsid w:val="007A12F0"/>
    <w:rsid w:val="007A3C83"/>
    <w:rsid w:val="007A582A"/>
    <w:rsid w:val="007A5D21"/>
    <w:rsid w:val="007B01A2"/>
    <w:rsid w:val="007B2824"/>
    <w:rsid w:val="007B3D13"/>
    <w:rsid w:val="007B4230"/>
    <w:rsid w:val="007B7189"/>
    <w:rsid w:val="007C00AC"/>
    <w:rsid w:val="007C0AB9"/>
    <w:rsid w:val="007C54FD"/>
    <w:rsid w:val="007D165E"/>
    <w:rsid w:val="007D7A4C"/>
    <w:rsid w:val="007D7F1E"/>
    <w:rsid w:val="007E2882"/>
    <w:rsid w:val="007E3283"/>
    <w:rsid w:val="007E4194"/>
    <w:rsid w:val="007E76A6"/>
    <w:rsid w:val="007F32E4"/>
    <w:rsid w:val="007F3C22"/>
    <w:rsid w:val="007F5CBC"/>
    <w:rsid w:val="007F6D63"/>
    <w:rsid w:val="00800178"/>
    <w:rsid w:val="00805253"/>
    <w:rsid w:val="00807049"/>
    <w:rsid w:val="00814CAC"/>
    <w:rsid w:val="008159B7"/>
    <w:rsid w:val="00817F0F"/>
    <w:rsid w:val="0082186E"/>
    <w:rsid w:val="00821A25"/>
    <w:rsid w:val="00824853"/>
    <w:rsid w:val="008271CF"/>
    <w:rsid w:val="00835D03"/>
    <w:rsid w:val="008420E9"/>
    <w:rsid w:val="0084285B"/>
    <w:rsid w:val="0084643C"/>
    <w:rsid w:val="00854C30"/>
    <w:rsid w:val="008600DA"/>
    <w:rsid w:val="008614A3"/>
    <w:rsid w:val="0086222B"/>
    <w:rsid w:val="008676D2"/>
    <w:rsid w:val="00870180"/>
    <w:rsid w:val="00870FA3"/>
    <w:rsid w:val="00873E43"/>
    <w:rsid w:val="00887B6F"/>
    <w:rsid w:val="00891A92"/>
    <w:rsid w:val="00894F20"/>
    <w:rsid w:val="008958A5"/>
    <w:rsid w:val="00895A26"/>
    <w:rsid w:val="00895F3A"/>
    <w:rsid w:val="008A1EE5"/>
    <w:rsid w:val="008A4639"/>
    <w:rsid w:val="008A69A8"/>
    <w:rsid w:val="008B74DB"/>
    <w:rsid w:val="008B788D"/>
    <w:rsid w:val="008C0578"/>
    <w:rsid w:val="008C11FA"/>
    <w:rsid w:val="008C2406"/>
    <w:rsid w:val="008C2C60"/>
    <w:rsid w:val="008C3F55"/>
    <w:rsid w:val="008C528E"/>
    <w:rsid w:val="008C6A30"/>
    <w:rsid w:val="008C75B5"/>
    <w:rsid w:val="008C79FF"/>
    <w:rsid w:val="008D70CE"/>
    <w:rsid w:val="008E0710"/>
    <w:rsid w:val="008E1049"/>
    <w:rsid w:val="008F481D"/>
    <w:rsid w:val="008F66F9"/>
    <w:rsid w:val="0090066C"/>
    <w:rsid w:val="00902758"/>
    <w:rsid w:val="00905F43"/>
    <w:rsid w:val="00913921"/>
    <w:rsid w:val="00914B12"/>
    <w:rsid w:val="00916262"/>
    <w:rsid w:val="0092616A"/>
    <w:rsid w:val="00927303"/>
    <w:rsid w:val="00930B15"/>
    <w:rsid w:val="0093232C"/>
    <w:rsid w:val="009339AC"/>
    <w:rsid w:val="0093527F"/>
    <w:rsid w:val="00935A09"/>
    <w:rsid w:val="00940E87"/>
    <w:rsid w:val="00943639"/>
    <w:rsid w:val="00945CF1"/>
    <w:rsid w:val="00947D7F"/>
    <w:rsid w:val="00953F6C"/>
    <w:rsid w:val="00954C81"/>
    <w:rsid w:val="00955F0E"/>
    <w:rsid w:val="0096041E"/>
    <w:rsid w:val="0096765E"/>
    <w:rsid w:val="0097005E"/>
    <w:rsid w:val="00974789"/>
    <w:rsid w:val="00976944"/>
    <w:rsid w:val="009819CD"/>
    <w:rsid w:val="00981CD7"/>
    <w:rsid w:val="00984094"/>
    <w:rsid w:val="0099091B"/>
    <w:rsid w:val="009918A3"/>
    <w:rsid w:val="00993003"/>
    <w:rsid w:val="009936B7"/>
    <w:rsid w:val="00993C2E"/>
    <w:rsid w:val="009A3C9D"/>
    <w:rsid w:val="009A429E"/>
    <w:rsid w:val="009A4BE1"/>
    <w:rsid w:val="009B39C7"/>
    <w:rsid w:val="009B58A6"/>
    <w:rsid w:val="009B5E12"/>
    <w:rsid w:val="009B6D39"/>
    <w:rsid w:val="009D1C3E"/>
    <w:rsid w:val="009D208A"/>
    <w:rsid w:val="009D21A4"/>
    <w:rsid w:val="009D294C"/>
    <w:rsid w:val="009E024F"/>
    <w:rsid w:val="009E0477"/>
    <w:rsid w:val="009E29D2"/>
    <w:rsid w:val="009E2A19"/>
    <w:rsid w:val="009E53BF"/>
    <w:rsid w:val="009E6DD5"/>
    <w:rsid w:val="009F16CD"/>
    <w:rsid w:val="009F4B33"/>
    <w:rsid w:val="00A00A4D"/>
    <w:rsid w:val="00A020C6"/>
    <w:rsid w:val="00A047C8"/>
    <w:rsid w:val="00A06675"/>
    <w:rsid w:val="00A10980"/>
    <w:rsid w:val="00A11AE4"/>
    <w:rsid w:val="00A14C18"/>
    <w:rsid w:val="00A20302"/>
    <w:rsid w:val="00A209BB"/>
    <w:rsid w:val="00A214D6"/>
    <w:rsid w:val="00A22D7F"/>
    <w:rsid w:val="00A2364A"/>
    <w:rsid w:val="00A2382E"/>
    <w:rsid w:val="00A24FCD"/>
    <w:rsid w:val="00A27213"/>
    <w:rsid w:val="00A27870"/>
    <w:rsid w:val="00A31819"/>
    <w:rsid w:val="00A323E6"/>
    <w:rsid w:val="00A33A32"/>
    <w:rsid w:val="00A40076"/>
    <w:rsid w:val="00A41169"/>
    <w:rsid w:val="00A4142C"/>
    <w:rsid w:val="00A437CC"/>
    <w:rsid w:val="00A4395A"/>
    <w:rsid w:val="00A471C2"/>
    <w:rsid w:val="00A51BBE"/>
    <w:rsid w:val="00A55B5B"/>
    <w:rsid w:val="00A63B75"/>
    <w:rsid w:val="00A65807"/>
    <w:rsid w:val="00A65816"/>
    <w:rsid w:val="00A669E1"/>
    <w:rsid w:val="00A66CD6"/>
    <w:rsid w:val="00A67874"/>
    <w:rsid w:val="00A70B35"/>
    <w:rsid w:val="00A714C9"/>
    <w:rsid w:val="00A726A7"/>
    <w:rsid w:val="00A73D73"/>
    <w:rsid w:val="00A76381"/>
    <w:rsid w:val="00A766BD"/>
    <w:rsid w:val="00A76762"/>
    <w:rsid w:val="00A80A21"/>
    <w:rsid w:val="00A80A58"/>
    <w:rsid w:val="00A82A5D"/>
    <w:rsid w:val="00A87597"/>
    <w:rsid w:val="00A936C6"/>
    <w:rsid w:val="00AA1BD1"/>
    <w:rsid w:val="00AA1F2B"/>
    <w:rsid w:val="00AA23B0"/>
    <w:rsid w:val="00AA4B94"/>
    <w:rsid w:val="00AA5156"/>
    <w:rsid w:val="00AA5BB4"/>
    <w:rsid w:val="00AA66FE"/>
    <w:rsid w:val="00AB538F"/>
    <w:rsid w:val="00AB7B2A"/>
    <w:rsid w:val="00AC0E93"/>
    <w:rsid w:val="00AC4B8D"/>
    <w:rsid w:val="00AC66F6"/>
    <w:rsid w:val="00AD0AE2"/>
    <w:rsid w:val="00AD51C2"/>
    <w:rsid w:val="00AD5E24"/>
    <w:rsid w:val="00AD6580"/>
    <w:rsid w:val="00AE1CA5"/>
    <w:rsid w:val="00AE255A"/>
    <w:rsid w:val="00AE413F"/>
    <w:rsid w:val="00AE4186"/>
    <w:rsid w:val="00AE4BC2"/>
    <w:rsid w:val="00AE770D"/>
    <w:rsid w:val="00AF003C"/>
    <w:rsid w:val="00AF07F6"/>
    <w:rsid w:val="00AF239D"/>
    <w:rsid w:val="00AF25DD"/>
    <w:rsid w:val="00AF28E1"/>
    <w:rsid w:val="00AF62E9"/>
    <w:rsid w:val="00B01905"/>
    <w:rsid w:val="00B03730"/>
    <w:rsid w:val="00B03874"/>
    <w:rsid w:val="00B04D39"/>
    <w:rsid w:val="00B0563F"/>
    <w:rsid w:val="00B10B20"/>
    <w:rsid w:val="00B110D7"/>
    <w:rsid w:val="00B11B39"/>
    <w:rsid w:val="00B15011"/>
    <w:rsid w:val="00B221D7"/>
    <w:rsid w:val="00B256C7"/>
    <w:rsid w:val="00B26D24"/>
    <w:rsid w:val="00B27DC3"/>
    <w:rsid w:val="00B33F8A"/>
    <w:rsid w:val="00B4136F"/>
    <w:rsid w:val="00B4159D"/>
    <w:rsid w:val="00B43D8D"/>
    <w:rsid w:val="00B46B2E"/>
    <w:rsid w:val="00B503C7"/>
    <w:rsid w:val="00B505BD"/>
    <w:rsid w:val="00B51D26"/>
    <w:rsid w:val="00B5220D"/>
    <w:rsid w:val="00B528F7"/>
    <w:rsid w:val="00B52F86"/>
    <w:rsid w:val="00B543C0"/>
    <w:rsid w:val="00B54E2B"/>
    <w:rsid w:val="00B6403A"/>
    <w:rsid w:val="00B6548C"/>
    <w:rsid w:val="00B710EF"/>
    <w:rsid w:val="00B71361"/>
    <w:rsid w:val="00B73A7E"/>
    <w:rsid w:val="00B73B21"/>
    <w:rsid w:val="00B7507C"/>
    <w:rsid w:val="00B76A27"/>
    <w:rsid w:val="00B81DE8"/>
    <w:rsid w:val="00B81FDE"/>
    <w:rsid w:val="00B830D4"/>
    <w:rsid w:val="00B83FE7"/>
    <w:rsid w:val="00B8715B"/>
    <w:rsid w:val="00B90627"/>
    <w:rsid w:val="00B91174"/>
    <w:rsid w:val="00B96B57"/>
    <w:rsid w:val="00B97D51"/>
    <w:rsid w:val="00BA4976"/>
    <w:rsid w:val="00BA5A42"/>
    <w:rsid w:val="00BA667D"/>
    <w:rsid w:val="00BA6962"/>
    <w:rsid w:val="00BA6D0A"/>
    <w:rsid w:val="00BB015B"/>
    <w:rsid w:val="00BB092F"/>
    <w:rsid w:val="00BB32D1"/>
    <w:rsid w:val="00BB5780"/>
    <w:rsid w:val="00BC1B9D"/>
    <w:rsid w:val="00BD1E8E"/>
    <w:rsid w:val="00BD48A4"/>
    <w:rsid w:val="00BD5B2F"/>
    <w:rsid w:val="00BE0F1C"/>
    <w:rsid w:val="00BE1294"/>
    <w:rsid w:val="00BE1EFB"/>
    <w:rsid w:val="00BE1F3F"/>
    <w:rsid w:val="00BE228A"/>
    <w:rsid w:val="00BE26EA"/>
    <w:rsid w:val="00BE2AE5"/>
    <w:rsid w:val="00BE2EB7"/>
    <w:rsid w:val="00BE72E8"/>
    <w:rsid w:val="00BF1A01"/>
    <w:rsid w:val="00BF2ADF"/>
    <w:rsid w:val="00BF319E"/>
    <w:rsid w:val="00BF4579"/>
    <w:rsid w:val="00BF68E5"/>
    <w:rsid w:val="00C02C46"/>
    <w:rsid w:val="00C04A70"/>
    <w:rsid w:val="00C113CE"/>
    <w:rsid w:val="00C11760"/>
    <w:rsid w:val="00C175DA"/>
    <w:rsid w:val="00C20D9F"/>
    <w:rsid w:val="00C2393C"/>
    <w:rsid w:val="00C25CD0"/>
    <w:rsid w:val="00C324D8"/>
    <w:rsid w:val="00C337B2"/>
    <w:rsid w:val="00C339E2"/>
    <w:rsid w:val="00C34AF3"/>
    <w:rsid w:val="00C354BF"/>
    <w:rsid w:val="00C355CA"/>
    <w:rsid w:val="00C373BB"/>
    <w:rsid w:val="00C37D3A"/>
    <w:rsid w:val="00C41550"/>
    <w:rsid w:val="00C43F27"/>
    <w:rsid w:val="00C46972"/>
    <w:rsid w:val="00C46D5F"/>
    <w:rsid w:val="00C506B6"/>
    <w:rsid w:val="00C553BB"/>
    <w:rsid w:val="00C55D66"/>
    <w:rsid w:val="00C64067"/>
    <w:rsid w:val="00C64B5E"/>
    <w:rsid w:val="00C6587A"/>
    <w:rsid w:val="00C7634B"/>
    <w:rsid w:val="00C768F1"/>
    <w:rsid w:val="00C76C1F"/>
    <w:rsid w:val="00C81EDE"/>
    <w:rsid w:val="00C927AD"/>
    <w:rsid w:val="00C94CBC"/>
    <w:rsid w:val="00C94DA6"/>
    <w:rsid w:val="00C959B8"/>
    <w:rsid w:val="00C95FD1"/>
    <w:rsid w:val="00CA0B9A"/>
    <w:rsid w:val="00CA0FEA"/>
    <w:rsid w:val="00CA35C2"/>
    <w:rsid w:val="00CA5C77"/>
    <w:rsid w:val="00CA63A1"/>
    <w:rsid w:val="00CA6FC2"/>
    <w:rsid w:val="00CA781F"/>
    <w:rsid w:val="00CB2C30"/>
    <w:rsid w:val="00CC24C3"/>
    <w:rsid w:val="00CC4FEA"/>
    <w:rsid w:val="00CD26A6"/>
    <w:rsid w:val="00CD2A19"/>
    <w:rsid w:val="00CD2B41"/>
    <w:rsid w:val="00CD5D0A"/>
    <w:rsid w:val="00CD7560"/>
    <w:rsid w:val="00CE06E3"/>
    <w:rsid w:val="00CE2D82"/>
    <w:rsid w:val="00CE4300"/>
    <w:rsid w:val="00CE73D0"/>
    <w:rsid w:val="00CE76D3"/>
    <w:rsid w:val="00CF1802"/>
    <w:rsid w:val="00CF242C"/>
    <w:rsid w:val="00CF3CD1"/>
    <w:rsid w:val="00CF3F3A"/>
    <w:rsid w:val="00CF59D1"/>
    <w:rsid w:val="00CF710F"/>
    <w:rsid w:val="00D016E9"/>
    <w:rsid w:val="00D04310"/>
    <w:rsid w:val="00D06F6A"/>
    <w:rsid w:val="00D1172A"/>
    <w:rsid w:val="00D1178C"/>
    <w:rsid w:val="00D135B5"/>
    <w:rsid w:val="00D149F1"/>
    <w:rsid w:val="00D1688C"/>
    <w:rsid w:val="00D168AD"/>
    <w:rsid w:val="00D16D97"/>
    <w:rsid w:val="00D176C3"/>
    <w:rsid w:val="00D22A02"/>
    <w:rsid w:val="00D2330C"/>
    <w:rsid w:val="00D24759"/>
    <w:rsid w:val="00D24C5A"/>
    <w:rsid w:val="00D27346"/>
    <w:rsid w:val="00D33286"/>
    <w:rsid w:val="00D35FA6"/>
    <w:rsid w:val="00D36F32"/>
    <w:rsid w:val="00D37696"/>
    <w:rsid w:val="00D41247"/>
    <w:rsid w:val="00D420A1"/>
    <w:rsid w:val="00D44740"/>
    <w:rsid w:val="00D45AE3"/>
    <w:rsid w:val="00D46A27"/>
    <w:rsid w:val="00D51FA2"/>
    <w:rsid w:val="00D52B77"/>
    <w:rsid w:val="00D52C90"/>
    <w:rsid w:val="00D5755C"/>
    <w:rsid w:val="00D604D8"/>
    <w:rsid w:val="00D6469C"/>
    <w:rsid w:val="00D648C2"/>
    <w:rsid w:val="00D66127"/>
    <w:rsid w:val="00D66C4D"/>
    <w:rsid w:val="00D6713F"/>
    <w:rsid w:val="00D674D0"/>
    <w:rsid w:val="00D6756A"/>
    <w:rsid w:val="00D7032C"/>
    <w:rsid w:val="00D7044D"/>
    <w:rsid w:val="00D76DAF"/>
    <w:rsid w:val="00D77FF8"/>
    <w:rsid w:val="00D80B4A"/>
    <w:rsid w:val="00D81C06"/>
    <w:rsid w:val="00D82BA7"/>
    <w:rsid w:val="00D852CE"/>
    <w:rsid w:val="00D914B3"/>
    <w:rsid w:val="00D923F2"/>
    <w:rsid w:val="00D93CC8"/>
    <w:rsid w:val="00D952AA"/>
    <w:rsid w:val="00D96F90"/>
    <w:rsid w:val="00DA396E"/>
    <w:rsid w:val="00DB05D5"/>
    <w:rsid w:val="00DB2CA9"/>
    <w:rsid w:val="00DB3C3E"/>
    <w:rsid w:val="00DB414F"/>
    <w:rsid w:val="00DB5953"/>
    <w:rsid w:val="00DB6D32"/>
    <w:rsid w:val="00DC1161"/>
    <w:rsid w:val="00DC6608"/>
    <w:rsid w:val="00DD2846"/>
    <w:rsid w:val="00DD32AE"/>
    <w:rsid w:val="00DD564D"/>
    <w:rsid w:val="00DD5929"/>
    <w:rsid w:val="00DD642D"/>
    <w:rsid w:val="00DD656E"/>
    <w:rsid w:val="00DD7E13"/>
    <w:rsid w:val="00DE1DA3"/>
    <w:rsid w:val="00DE550D"/>
    <w:rsid w:val="00DE5CC0"/>
    <w:rsid w:val="00DE65BE"/>
    <w:rsid w:val="00DF1BC9"/>
    <w:rsid w:val="00DF2854"/>
    <w:rsid w:val="00DF3329"/>
    <w:rsid w:val="00DF64A1"/>
    <w:rsid w:val="00DF7A9D"/>
    <w:rsid w:val="00DF7E06"/>
    <w:rsid w:val="00E000A9"/>
    <w:rsid w:val="00E0128C"/>
    <w:rsid w:val="00E03BF3"/>
    <w:rsid w:val="00E05453"/>
    <w:rsid w:val="00E17E2F"/>
    <w:rsid w:val="00E20333"/>
    <w:rsid w:val="00E24210"/>
    <w:rsid w:val="00E2427D"/>
    <w:rsid w:val="00E248C0"/>
    <w:rsid w:val="00E2788D"/>
    <w:rsid w:val="00E30327"/>
    <w:rsid w:val="00E31377"/>
    <w:rsid w:val="00E32C53"/>
    <w:rsid w:val="00E33544"/>
    <w:rsid w:val="00E33802"/>
    <w:rsid w:val="00E33AC1"/>
    <w:rsid w:val="00E37222"/>
    <w:rsid w:val="00E41505"/>
    <w:rsid w:val="00E4393B"/>
    <w:rsid w:val="00E44BE6"/>
    <w:rsid w:val="00E44E5E"/>
    <w:rsid w:val="00E44E7A"/>
    <w:rsid w:val="00E45215"/>
    <w:rsid w:val="00E47848"/>
    <w:rsid w:val="00E521C9"/>
    <w:rsid w:val="00E52F58"/>
    <w:rsid w:val="00E535B2"/>
    <w:rsid w:val="00E559B8"/>
    <w:rsid w:val="00E57C77"/>
    <w:rsid w:val="00E610C7"/>
    <w:rsid w:val="00E61243"/>
    <w:rsid w:val="00E62231"/>
    <w:rsid w:val="00E635E7"/>
    <w:rsid w:val="00E70164"/>
    <w:rsid w:val="00E7771F"/>
    <w:rsid w:val="00E835F2"/>
    <w:rsid w:val="00E975DB"/>
    <w:rsid w:val="00EA0896"/>
    <w:rsid w:val="00EA0C66"/>
    <w:rsid w:val="00EB446D"/>
    <w:rsid w:val="00EB7767"/>
    <w:rsid w:val="00EC278F"/>
    <w:rsid w:val="00EC3E94"/>
    <w:rsid w:val="00EC40C9"/>
    <w:rsid w:val="00ED095E"/>
    <w:rsid w:val="00ED1A90"/>
    <w:rsid w:val="00EE0105"/>
    <w:rsid w:val="00EE45FE"/>
    <w:rsid w:val="00EE50CF"/>
    <w:rsid w:val="00EF1642"/>
    <w:rsid w:val="00EF2449"/>
    <w:rsid w:val="00EF2F9B"/>
    <w:rsid w:val="00EF5FE1"/>
    <w:rsid w:val="00F01227"/>
    <w:rsid w:val="00F01512"/>
    <w:rsid w:val="00F01896"/>
    <w:rsid w:val="00F0220E"/>
    <w:rsid w:val="00F0446E"/>
    <w:rsid w:val="00F061D3"/>
    <w:rsid w:val="00F1796B"/>
    <w:rsid w:val="00F20263"/>
    <w:rsid w:val="00F20F9E"/>
    <w:rsid w:val="00F221DA"/>
    <w:rsid w:val="00F272B4"/>
    <w:rsid w:val="00F27AE3"/>
    <w:rsid w:val="00F3158D"/>
    <w:rsid w:val="00F31A26"/>
    <w:rsid w:val="00F32AB0"/>
    <w:rsid w:val="00F445A2"/>
    <w:rsid w:val="00F5416E"/>
    <w:rsid w:val="00F57380"/>
    <w:rsid w:val="00F6126D"/>
    <w:rsid w:val="00F63D49"/>
    <w:rsid w:val="00F65389"/>
    <w:rsid w:val="00F7374B"/>
    <w:rsid w:val="00F80555"/>
    <w:rsid w:val="00F849DC"/>
    <w:rsid w:val="00F84BAC"/>
    <w:rsid w:val="00F85B97"/>
    <w:rsid w:val="00F87B10"/>
    <w:rsid w:val="00F9047B"/>
    <w:rsid w:val="00F9179B"/>
    <w:rsid w:val="00F93337"/>
    <w:rsid w:val="00F96145"/>
    <w:rsid w:val="00F9696A"/>
    <w:rsid w:val="00FA3584"/>
    <w:rsid w:val="00FA35BF"/>
    <w:rsid w:val="00FA4133"/>
    <w:rsid w:val="00FA4AC7"/>
    <w:rsid w:val="00FA7415"/>
    <w:rsid w:val="00FB101A"/>
    <w:rsid w:val="00FB2984"/>
    <w:rsid w:val="00FB5261"/>
    <w:rsid w:val="00FB6412"/>
    <w:rsid w:val="00FB6B84"/>
    <w:rsid w:val="00FC0BAE"/>
    <w:rsid w:val="00FC11E2"/>
    <w:rsid w:val="00FC1A2D"/>
    <w:rsid w:val="00FC33C1"/>
    <w:rsid w:val="00FC3DD5"/>
    <w:rsid w:val="00FC5094"/>
    <w:rsid w:val="00FD009B"/>
    <w:rsid w:val="00FD4FB8"/>
    <w:rsid w:val="00FD5AF9"/>
    <w:rsid w:val="00FD5DA7"/>
    <w:rsid w:val="00FD75C3"/>
    <w:rsid w:val="00FD7F5E"/>
    <w:rsid w:val="00FE0492"/>
    <w:rsid w:val="00FE14DB"/>
    <w:rsid w:val="00FE3611"/>
    <w:rsid w:val="00FE68B7"/>
    <w:rsid w:val="00FE73AB"/>
    <w:rsid w:val="00FF05D4"/>
    <w:rsid w:val="00FF0A50"/>
    <w:rsid w:val="00FF2019"/>
    <w:rsid w:val="00FF3127"/>
    <w:rsid w:val="00FF33B6"/>
    <w:rsid w:val="00FF4EF5"/>
    <w:rsid w:val="00FF62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FF22C-8E84-4466-9569-A8EFC189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lang w:val="sv-SE" w:eastAsia="sv-SE"/>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pPr>
      <w:keepNext/>
      <w:tabs>
        <w:tab w:val="clear" w:pos="6804"/>
      </w:tabs>
      <w:spacing w:before="18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Debattregler">
    <w:name w:val="Debattregler"/>
    <w:basedOn w:val="Normal"/>
    <w:pPr>
      <w:spacing w:after="200"/>
    </w:pPr>
  </w:style>
  <w:style w:type="paragraph" w:customStyle="1" w:styleId="Blankrad">
    <w:name w:val="Blankrad"/>
    <w:basedOn w:val="Sidhuvud"/>
    <w:rsid w:val="003675A0"/>
    <w:pPr>
      <w:tabs>
        <w:tab w:val="clear" w:pos="4536"/>
        <w:tab w:val="clear" w:pos="9072"/>
        <w:tab w:val="left" w:pos="6804"/>
      </w:tabs>
      <w:spacing w:after="0" w:line="14" w:lineRule="exact"/>
    </w:pPr>
    <w:rPr>
      <w:rFonts w:ascii="Times New Roman" w:hAnsi="Times New Roman"/>
      <w:sz w:val="2"/>
    </w:rPr>
  </w:style>
  <w:style w:type="paragraph" w:customStyle="1" w:styleId="HuvudrubrikEnsam">
    <w:name w:val="HuvudrubrikEnsam"/>
    <w:basedOn w:val="Normal"/>
    <w:next w:val="Normal"/>
    <w:pPr>
      <w:keepNext/>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CA5C77"/>
    <w:pPr>
      <w:keepNext w:val="0"/>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9E53BF"/>
    <w:pPr>
      <w:widowControl/>
      <w:tabs>
        <w:tab w:val="clear" w:pos="6804"/>
      </w:tabs>
      <w:spacing w:after="140" w:line="280" w:lineRule="atLeast"/>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422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Föredragningslista.dot</Template>
  <TotalTime>0</TotalTime>
  <Pages>2</Pages>
  <Words>1091</Words>
  <Characters>6833</Characters>
  <Application>Microsoft Office Word</Application>
  <DocSecurity>4</DocSecurity>
  <Lines>325</Lines>
  <Paragraphs>180</Paragraphs>
  <ScaleCrop>false</ScaleCrop>
  <HeadingPairs>
    <vt:vector size="2" baseType="variant">
      <vt:variant>
        <vt:lpstr>Rubrik</vt:lpstr>
      </vt:variant>
      <vt:variant>
        <vt:i4>1</vt:i4>
      </vt:variant>
    </vt:vector>
  </HeadingPairs>
  <TitlesOfParts>
    <vt:vector size="1" baseType="lpstr">
      <vt:lpstr>Föredragningslista</vt:lpstr>
    </vt:vector>
  </TitlesOfParts>
  <Company>Riksdagen</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subject>Föredragningslista</dc:subject>
  <dc:creator>Riksdagen</dc:creator>
  <cp:keywords>Riksdagen</cp:keywords>
  <dc:description>v 3.3 stöder Distribution, RiR och Lemur (fpm, kom, protudrag)</dc:description>
  <cp:lastModifiedBy>Lars Brink</cp:lastModifiedBy>
  <cp:revision>2</cp:revision>
  <cp:lastPrinted>2012-08-22T14:36:00Z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Torsdagen den 23 augusti 2012</vt:lpwstr>
  </property>
  <property fmtid="{D5CDD505-2E9C-101B-9397-08002B2CF9AE}" pid="3" name="DocumentNumber">
    <vt:lpwstr>138</vt:lpwstr>
  </property>
  <property fmtid="{D5CDD505-2E9C-101B-9397-08002B2CF9AE}" pid="4" name="DocumentYear">
    <vt:lpwstr>2011/12</vt:lpwstr>
  </property>
  <property fmtid="{D5CDD505-2E9C-101B-9397-08002B2CF9AE}" pid="5" name="DocumentType">
    <vt:lpwstr>Föredragningslista</vt:lpwstr>
  </property>
  <property fmtid="{D5CDD505-2E9C-101B-9397-08002B2CF9AE}" pid="6" name="DocumentDateShort">
    <vt:lpwstr>2012-08-23</vt:lpwstr>
  </property>
  <property fmtid="{D5CDD505-2E9C-101B-9397-08002B2CF9AE}" pid="7" name="DatumAvgörande">
    <vt:lpwstr>2012-08-23</vt:lpwstr>
  </property>
</Properties>
</file>