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7367A2" w:rsidRPr="00C65C01" w:rsidTr="007367A2">
        <w:tblPrEx>
          <w:tblCellMar>
            <w:top w:w="0" w:type="dxa"/>
            <w:bottom w:w="0" w:type="dxa"/>
          </w:tblCellMar>
        </w:tblPrEx>
        <w:tc>
          <w:tcPr>
            <w:tcW w:w="2268" w:type="dxa"/>
          </w:tcPr>
          <w:p w:rsidR="007367A2" w:rsidRPr="00C65C01" w:rsidRDefault="00B20806" w:rsidP="007367A2">
            <w:pPr>
              <w:framePr w:w="4400" w:h="1644" w:wrap="notBeside" w:vAnchor="page" w:hAnchor="page" w:x="6573" w:y="721"/>
              <w:rPr>
                <w:rFonts w:ascii="TradeGothic" w:hAnsi="TradeGothic"/>
                <w:i/>
                <w:sz w:val="18"/>
              </w:rPr>
            </w:pPr>
            <w:r w:rsidRPr="00C65C01">
              <w:rPr>
                <w:rFonts w:ascii="TradeGothic" w:hAnsi="TradeGothic"/>
                <w:i/>
                <w:sz w:val="18"/>
              </w:rPr>
              <w:t>Slutlig</w:t>
            </w:r>
            <w:r w:rsidR="00EF41C6" w:rsidRPr="00C65C01">
              <w:rPr>
                <w:rFonts w:ascii="TradeGothic" w:hAnsi="TradeGothic"/>
                <w:i/>
                <w:sz w:val="18"/>
              </w:rPr>
              <w:t xml:space="preserve"> 2010-12-0</w:t>
            </w:r>
            <w:r w:rsidRPr="00C65C01">
              <w:rPr>
                <w:rFonts w:ascii="TradeGothic" w:hAnsi="TradeGothic"/>
                <w:i/>
                <w:sz w:val="18"/>
              </w:rPr>
              <w:t>6</w:t>
            </w:r>
          </w:p>
        </w:tc>
        <w:tc>
          <w:tcPr>
            <w:tcW w:w="2347" w:type="dxa"/>
            <w:gridSpan w:val="2"/>
          </w:tcPr>
          <w:p w:rsidR="007367A2" w:rsidRPr="00C65C01" w:rsidRDefault="007367A2" w:rsidP="007367A2">
            <w:pPr>
              <w:framePr w:w="4400" w:h="1644" w:wrap="notBeside" w:vAnchor="page" w:hAnchor="page" w:x="6573" w:y="721"/>
              <w:rPr>
                <w:rFonts w:ascii="TradeGothic" w:hAnsi="TradeGothic"/>
                <w:i/>
                <w:sz w:val="18"/>
              </w:rPr>
            </w:pPr>
          </w:p>
        </w:tc>
      </w:tr>
      <w:tr w:rsidR="007367A2" w:rsidRPr="00C65C01" w:rsidTr="007367A2">
        <w:tblPrEx>
          <w:tblCellMar>
            <w:top w:w="0" w:type="dxa"/>
            <w:bottom w:w="0" w:type="dxa"/>
          </w:tblCellMar>
        </w:tblPrEx>
        <w:tc>
          <w:tcPr>
            <w:tcW w:w="2268" w:type="dxa"/>
          </w:tcPr>
          <w:p w:rsidR="007367A2" w:rsidRPr="00C65C01" w:rsidRDefault="007367A2" w:rsidP="007367A2">
            <w:pPr>
              <w:framePr w:w="4400" w:h="1644" w:wrap="notBeside" w:vAnchor="page" w:hAnchor="page" w:x="6573" w:y="721"/>
              <w:rPr>
                <w:rFonts w:ascii="TradeGothic" w:hAnsi="TradeGothic"/>
                <w:b/>
                <w:sz w:val="22"/>
              </w:rPr>
            </w:pPr>
            <w:r w:rsidRPr="00C65C01">
              <w:rPr>
                <w:rFonts w:ascii="TradeGothic" w:hAnsi="TradeGothic"/>
                <w:b/>
                <w:sz w:val="22"/>
              </w:rPr>
              <w:t xml:space="preserve">Kommenterad dagordning </w:t>
            </w:r>
          </w:p>
        </w:tc>
        <w:tc>
          <w:tcPr>
            <w:tcW w:w="2347" w:type="dxa"/>
            <w:gridSpan w:val="2"/>
          </w:tcPr>
          <w:p w:rsidR="007367A2" w:rsidRPr="00C65C01" w:rsidRDefault="007367A2" w:rsidP="007367A2">
            <w:pPr>
              <w:framePr w:w="4400" w:h="1644" w:wrap="notBeside" w:vAnchor="page" w:hAnchor="page" w:x="6573" w:y="721"/>
              <w:rPr>
                <w:rFonts w:ascii="TradeGothic" w:hAnsi="TradeGothic"/>
                <w:b/>
                <w:sz w:val="22"/>
              </w:rPr>
            </w:pPr>
          </w:p>
        </w:tc>
      </w:tr>
      <w:tr w:rsidR="007367A2" w:rsidRPr="00C65C01" w:rsidTr="007367A2">
        <w:tblPrEx>
          <w:tblCellMar>
            <w:top w:w="0" w:type="dxa"/>
            <w:bottom w:w="0" w:type="dxa"/>
          </w:tblCellMar>
        </w:tblPrEx>
        <w:tc>
          <w:tcPr>
            <w:tcW w:w="3402" w:type="dxa"/>
            <w:gridSpan w:val="2"/>
          </w:tcPr>
          <w:p w:rsidR="007367A2" w:rsidRPr="00C65C01" w:rsidRDefault="007367A2" w:rsidP="007367A2">
            <w:pPr>
              <w:framePr w:w="4400" w:h="1644" w:wrap="notBeside" w:vAnchor="page" w:hAnchor="page" w:x="6573" w:y="721"/>
            </w:pPr>
          </w:p>
          <w:p w:rsidR="007367A2" w:rsidRPr="00C65C01" w:rsidRDefault="007367A2" w:rsidP="007367A2">
            <w:pPr>
              <w:framePr w:w="4400" w:h="1644" w:wrap="notBeside" w:vAnchor="page" w:hAnchor="page" w:x="6573" w:y="721"/>
            </w:pPr>
          </w:p>
        </w:tc>
        <w:tc>
          <w:tcPr>
            <w:tcW w:w="1213" w:type="dxa"/>
          </w:tcPr>
          <w:p w:rsidR="007367A2" w:rsidRPr="00C65C01" w:rsidRDefault="007367A2" w:rsidP="007367A2">
            <w:pPr>
              <w:framePr w:w="4400" w:h="1644" w:wrap="notBeside" w:vAnchor="page" w:hAnchor="page" w:x="6573" w:y="721"/>
            </w:pPr>
          </w:p>
        </w:tc>
      </w:tr>
      <w:tr w:rsidR="007367A2" w:rsidRPr="00C65C01" w:rsidTr="007367A2">
        <w:tblPrEx>
          <w:tblCellMar>
            <w:top w:w="0" w:type="dxa"/>
            <w:bottom w:w="0" w:type="dxa"/>
          </w:tblCellMar>
        </w:tblPrEx>
        <w:tc>
          <w:tcPr>
            <w:tcW w:w="2268" w:type="dxa"/>
          </w:tcPr>
          <w:p w:rsidR="007367A2" w:rsidRPr="00C65C01" w:rsidRDefault="007367A2" w:rsidP="007367A2">
            <w:pPr>
              <w:framePr w:w="4400" w:h="1644" w:wrap="notBeside" w:vAnchor="page" w:hAnchor="page" w:x="6573" w:y="721"/>
            </w:pPr>
          </w:p>
        </w:tc>
        <w:tc>
          <w:tcPr>
            <w:tcW w:w="2347" w:type="dxa"/>
            <w:gridSpan w:val="2"/>
          </w:tcPr>
          <w:p w:rsidR="007367A2" w:rsidRPr="00C65C01" w:rsidRDefault="007367A2" w:rsidP="007367A2">
            <w:pPr>
              <w:framePr w:w="4400" w:h="1644" w:wrap="notBeside" w:vAnchor="page" w:hAnchor="page" w:x="6573" w:y="721"/>
            </w:pPr>
          </w:p>
        </w:tc>
      </w:tr>
      <w:tr w:rsidR="007367A2" w:rsidRPr="00C65C01" w:rsidTr="007367A2">
        <w:tblPrEx>
          <w:tblCellMar>
            <w:top w:w="0" w:type="dxa"/>
            <w:bottom w:w="0" w:type="dxa"/>
          </w:tblCellMar>
        </w:tblPrEx>
        <w:tc>
          <w:tcPr>
            <w:tcW w:w="2268" w:type="dxa"/>
          </w:tcPr>
          <w:p w:rsidR="007367A2" w:rsidRPr="00C65C01" w:rsidRDefault="007367A2" w:rsidP="007367A2">
            <w:pPr>
              <w:framePr w:w="4400" w:h="1644" w:wrap="notBeside" w:vAnchor="page" w:hAnchor="page" w:x="6573" w:y="721"/>
            </w:pPr>
          </w:p>
        </w:tc>
        <w:tc>
          <w:tcPr>
            <w:tcW w:w="2347" w:type="dxa"/>
            <w:gridSpan w:val="2"/>
          </w:tcPr>
          <w:p w:rsidR="007367A2" w:rsidRPr="00C65C01" w:rsidRDefault="007367A2" w:rsidP="007367A2">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7367A2" w:rsidRPr="00C65C01" w:rsidTr="007367A2">
        <w:tblPrEx>
          <w:tblCellMar>
            <w:top w:w="0" w:type="dxa"/>
            <w:bottom w:w="0" w:type="dxa"/>
          </w:tblCellMar>
        </w:tblPrEx>
        <w:trPr>
          <w:trHeight w:val="284"/>
        </w:trPr>
        <w:tc>
          <w:tcPr>
            <w:tcW w:w="4911" w:type="dxa"/>
          </w:tcPr>
          <w:p w:rsidR="007367A2" w:rsidRPr="00C65C01" w:rsidRDefault="007367A2" w:rsidP="007367A2">
            <w:pPr>
              <w:pStyle w:val="Avsndare"/>
              <w:framePr w:h="2483" w:wrap="notBeside" w:x="1504"/>
              <w:rPr>
                <w:b/>
                <w:i w:val="0"/>
                <w:sz w:val="22"/>
              </w:rPr>
            </w:pPr>
            <w:r w:rsidRPr="00C65C01">
              <w:rPr>
                <w:b/>
                <w:i w:val="0"/>
                <w:sz w:val="22"/>
              </w:rPr>
              <w:t>Jordbruksdepartementet</w:t>
            </w:r>
          </w:p>
        </w:tc>
      </w:tr>
      <w:tr w:rsidR="007367A2" w:rsidRPr="00C65C01" w:rsidTr="007367A2">
        <w:tblPrEx>
          <w:tblCellMar>
            <w:top w:w="0" w:type="dxa"/>
            <w:bottom w:w="0" w:type="dxa"/>
          </w:tblCellMar>
        </w:tblPrEx>
        <w:trPr>
          <w:trHeight w:val="284"/>
        </w:trPr>
        <w:tc>
          <w:tcPr>
            <w:tcW w:w="4911" w:type="dxa"/>
          </w:tcPr>
          <w:p w:rsidR="007367A2" w:rsidRPr="00C65C01" w:rsidRDefault="007367A2" w:rsidP="007367A2">
            <w:pPr>
              <w:pStyle w:val="Avsndare"/>
              <w:framePr w:h="2483" w:wrap="notBeside" w:x="1504"/>
              <w:rPr>
                <w:bCs/>
                <w:iCs/>
              </w:rPr>
            </w:pPr>
          </w:p>
        </w:tc>
      </w:tr>
      <w:tr w:rsidR="007367A2" w:rsidRPr="00C65C01" w:rsidTr="007367A2">
        <w:tblPrEx>
          <w:tblCellMar>
            <w:top w:w="0" w:type="dxa"/>
            <w:bottom w:w="0" w:type="dxa"/>
          </w:tblCellMar>
        </w:tblPrEx>
        <w:trPr>
          <w:trHeight w:val="284"/>
        </w:trPr>
        <w:tc>
          <w:tcPr>
            <w:tcW w:w="4911" w:type="dxa"/>
          </w:tcPr>
          <w:p w:rsidR="007367A2" w:rsidRPr="00C65C01" w:rsidRDefault="007367A2" w:rsidP="007367A2">
            <w:pPr>
              <w:pStyle w:val="Avsndare"/>
              <w:framePr w:h="2483" w:wrap="notBeside" w:x="1504"/>
              <w:rPr>
                <w:bCs/>
                <w:iCs/>
              </w:rPr>
            </w:pPr>
          </w:p>
        </w:tc>
      </w:tr>
    </w:tbl>
    <w:p w:rsidR="007367A2" w:rsidRPr="00C65C01" w:rsidRDefault="007367A2" w:rsidP="007367A2">
      <w:pPr>
        <w:framePr w:w="4400" w:h="2523" w:wrap="notBeside" w:vAnchor="page" w:hAnchor="page" w:x="6453" w:y="2445"/>
        <w:ind w:firstLine="720"/>
      </w:pPr>
    </w:p>
    <w:p w:rsidR="007367A2" w:rsidRPr="00C65C01" w:rsidRDefault="007367A2" w:rsidP="007367A2">
      <w:pPr>
        <w:framePr w:w="4400" w:h="2523" w:wrap="notBeside" w:vAnchor="page" w:hAnchor="page" w:x="6453" w:y="2445"/>
        <w:ind w:left="142"/>
      </w:pPr>
    </w:p>
    <w:p w:rsidR="007367A2" w:rsidRPr="00C65C01" w:rsidRDefault="007367A2" w:rsidP="007367A2">
      <w:pPr>
        <w:pStyle w:val="RKrubrik"/>
        <w:pBdr>
          <w:bottom w:val="single" w:sz="4" w:space="1" w:color="000000"/>
        </w:pBdr>
        <w:spacing w:before="0" w:after="0"/>
      </w:pPr>
      <w:r w:rsidRPr="00C65C01">
        <w:t>Kommenterad dagordning inför Jordbruks- och fiskerådet den 13-14 december 2010</w:t>
      </w:r>
    </w:p>
    <w:p w:rsidR="007367A2" w:rsidRPr="00C65C01" w:rsidRDefault="007367A2" w:rsidP="007367A2">
      <w:pPr>
        <w:pStyle w:val="RKrubrik"/>
      </w:pPr>
      <w:r w:rsidRPr="00C65C01">
        <w:t>1. Godkännande av dagordningen</w:t>
      </w:r>
    </w:p>
    <w:p w:rsidR="007367A2" w:rsidRPr="00C65C01" w:rsidRDefault="007367A2" w:rsidP="007367A2">
      <w:pPr>
        <w:pStyle w:val="RKrubrik"/>
      </w:pPr>
      <w:r w:rsidRPr="00C65C01">
        <w:t>2. Lagstiftningsöverläggning – (ev.) godkännande av a-punktslistan</w:t>
      </w:r>
      <w:r w:rsidRPr="00C65C01">
        <w:br/>
        <w:t>(Offentlig överläggning enligt artikel 7 i rådets arbetsordning)</w:t>
      </w:r>
    </w:p>
    <w:p w:rsidR="007367A2" w:rsidRPr="00C65C01" w:rsidRDefault="007367A2" w:rsidP="007367A2">
      <w:pPr>
        <w:pStyle w:val="RKrubrik"/>
      </w:pPr>
      <w:r w:rsidRPr="00C65C01">
        <w:t>3. Icke lagstiftande verksamhet - (ev.) godkännande av a-punktslistan</w:t>
      </w:r>
    </w:p>
    <w:p w:rsidR="007367A2" w:rsidRPr="00C65C01" w:rsidRDefault="007367A2" w:rsidP="007367A2">
      <w:pPr>
        <w:pStyle w:val="RKrubrik"/>
        <w:rPr>
          <w:u w:val="single"/>
        </w:rPr>
      </w:pPr>
    </w:p>
    <w:p w:rsidR="007367A2" w:rsidRPr="00C65C01" w:rsidRDefault="007367A2" w:rsidP="007367A2">
      <w:pPr>
        <w:pStyle w:val="RKrubrik"/>
        <w:rPr>
          <w:sz w:val="24"/>
          <w:szCs w:val="24"/>
          <w:u w:val="single"/>
        </w:rPr>
      </w:pPr>
      <w:r w:rsidRPr="00C65C01">
        <w:rPr>
          <w:sz w:val="24"/>
          <w:szCs w:val="24"/>
          <w:u w:val="single"/>
        </w:rPr>
        <w:t>Coreperfrågor</w:t>
      </w:r>
    </w:p>
    <w:p w:rsidR="007367A2" w:rsidRPr="00C65C01" w:rsidRDefault="007367A2" w:rsidP="007367A2">
      <w:pPr>
        <w:pStyle w:val="RKrubrik"/>
        <w:rPr>
          <w:u w:val="single"/>
        </w:rPr>
      </w:pPr>
    </w:p>
    <w:p w:rsidR="007367A2" w:rsidRPr="00C65C01" w:rsidRDefault="007367A2" w:rsidP="007367A2">
      <w:pPr>
        <w:pStyle w:val="RKrubrik"/>
        <w:rPr>
          <w:u w:val="single"/>
        </w:rPr>
      </w:pPr>
      <w:r w:rsidRPr="00C65C01">
        <w:rPr>
          <w:u w:val="single"/>
        </w:rPr>
        <w:t>FISKE</w:t>
      </w:r>
    </w:p>
    <w:p w:rsidR="007367A2" w:rsidRPr="00C65C01" w:rsidRDefault="007367A2" w:rsidP="007367A2">
      <w:pPr>
        <w:pStyle w:val="RKrubrik"/>
        <w:rPr>
          <w:u w:val="single"/>
        </w:rPr>
      </w:pPr>
      <w:r w:rsidRPr="00C65C01">
        <w:rPr>
          <w:u w:val="single"/>
        </w:rPr>
        <w:t>Icke lagstiftande verksamhet</w:t>
      </w:r>
    </w:p>
    <w:p w:rsidR="007367A2" w:rsidRPr="00C65C01" w:rsidRDefault="007367A2" w:rsidP="007367A2">
      <w:pPr>
        <w:pStyle w:val="RKrubrik"/>
      </w:pPr>
      <w:r w:rsidRPr="00C65C01">
        <w:t>4. Förslag till rådets förordning om fastställande för år 2011 av fiskemöjligheterna för vissa fiskbestånd och grupper av fiskbestånd i EU-vatten</w:t>
      </w:r>
      <w:r w:rsidR="005550C7" w:rsidRPr="00C65C01">
        <w:t xml:space="preserve"> </w:t>
      </w:r>
    </w:p>
    <w:p w:rsidR="007367A2" w:rsidRPr="00C65C01" w:rsidRDefault="007367A2" w:rsidP="007367A2">
      <w:pPr>
        <w:pStyle w:val="RKnormal"/>
        <w:rPr>
          <w:b/>
          <w:bCs/>
          <w:iCs/>
        </w:rPr>
      </w:pPr>
      <w:r w:rsidRPr="00C65C01">
        <w:rPr>
          <w:b/>
          <w:bCs/>
          <w:iCs/>
        </w:rPr>
        <w:t xml:space="preserve">- </w:t>
      </w:r>
      <w:r w:rsidRPr="00C65C01">
        <w:rPr>
          <w:b/>
          <w:bCs/>
          <w:i/>
          <w:iCs/>
        </w:rPr>
        <w:t>Politisk överenskommelse</w:t>
      </w:r>
    </w:p>
    <w:p w:rsidR="007367A2" w:rsidRPr="00C65C01" w:rsidRDefault="007367A2" w:rsidP="007367A2">
      <w:pPr>
        <w:pStyle w:val="RKnormal"/>
        <w:rPr>
          <w:i/>
          <w:iCs/>
        </w:rPr>
      </w:pPr>
    </w:p>
    <w:p w:rsidR="002A5F78" w:rsidRPr="00C65C01" w:rsidRDefault="007367A2" w:rsidP="002A5F78">
      <w:pPr>
        <w:pStyle w:val="RKnormal"/>
        <w:rPr>
          <w:i/>
          <w:iCs/>
        </w:rPr>
      </w:pPr>
      <w:r w:rsidRPr="00C65C01">
        <w:rPr>
          <w:i/>
          <w:iCs/>
        </w:rPr>
        <w:t>Dokumentbeteckning</w:t>
      </w:r>
    </w:p>
    <w:p w:rsidR="002A5F78" w:rsidRPr="00C65C01" w:rsidRDefault="002A5F78" w:rsidP="002A5F78">
      <w:pPr>
        <w:pStyle w:val="RKnormal"/>
        <w:rPr>
          <w:i/>
          <w:iCs/>
        </w:rPr>
      </w:pPr>
      <w:r w:rsidRPr="00C65C01">
        <w:t>16068/10 PECHE 277</w:t>
      </w:r>
    </w:p>
    <w:p w:rsidR="007367A2" w:rsidRPr="00C65C01" w:rsidRDefault="007367A2" w:rsidP="007367A2">
      <w:pPr>
        <w:pStyle w:val="RKnormal"/>
        <w:rPr>
          <w:rFonts w:ascii="Times New Roman" w:hAnsi="Times New Roman"/>
        </w:rPr>
      </w:pPr>
    </w:p>
    <w:p w:rsidR="008A37B4" w:rsidRPr="00C65C01" w:rsidRDefault="008A37B4" w:rsidP="008A37B4">
      <w:pPr>
        <w:pStyle w:val="RKnormal"/>
        <w:rPr>
          <w:i/>
          <w:iCs/>
        </w:rPr>
      </w:pPr>
    </w:p>
    <w:p w:rsidR="008A37B4" w:rsidRPr="00C65C01" w:rsidRDefault="008A37B4" w:rsidP="008A37B4">
      <w:pPr>
        <w:pStyle w:val="RKnormal"/>
        <w:rPr>
          <w:i/>
          <w:iCs/>
        </w:rPr>
      </w:pPr>
      <w:r w:rsidRPr="00C65C01">
        <w:rPr>
          <w:i/>
          <w:iCs/>
        </w:rPr>
        <w:t>Rättslig grund</w:t>
      </w:r>
    </w:p>
    <w:p w:rsidR="008A37B4" w:rsidRPr="00C65C01" w:rsidRDefault="008A37B4" w:rsidP="008A37B4">
      <w:pPr>
        <w:pStyle w:val="RKnormal"/>
        <w:rPr>
          <w:i/>
          <w:iCs/>
        </w:rPr>
      </w:pPr>
      <w:r w:rsidRPr="00C65C01">
        <w:t>Artikel 43.3 i Fördraget om Europeiska Unionens funktionssätt samt rådets förordning (EG) nr 2371/2002 av den 20 december 2002, särskilt artikel 20. Beslut fattas av rådet med kvalificerad majoritet på förslag av kommissionen.</w:t>
      </w:r>
    </w:p>
    <w:p w:rsidR="008A37B4" w:rsidRPr="00C65C01" w:rsidRDefault="008A37B4" w:rsidP="008A37B4">
      <w:pPr>
        <w:pStyle w:val="RKnormal"/>
        <w:rPr>
          <w:i/>
          <w:iCs/>
        </w:rPr>
      </w:pPr>
    </w:p>
    <w:p w:rsidR="008A37B4" w:rsidRPr="00C65C01" w:rsidRDefault="008A37B4" w:rsidP="008A37B4">
      <w:pPr>
        <w:pStyle w:val="RKnormal"/>
        <w:rPr>
          <w:i/>
          <w:iCs/>
        </w:rPr>
      </w:pPr>
    </w:p>
    <w:p w:rsidR="00CE531F" w:rsidRPr="00C65C01" w:rsidRDefault="00CE531F" w:rsidP="00CE531F">
      <w:pPr>
        <w:pStyle w:val="RKnormal"/>
        <w:rPr>
          <w:i/>
          <w:iCs/>
        </w:rPr>
      </w:pPr>
      <w:r w:rsidRPr="00C65C01">
        <w:rPr>
          <w:i/>
          <w:iCs/>
        </w:rPr>
        <w:lastRenderedPageBreak/>
        <w:t>Bakgrund</w:t>
      </w:r>
    </w:p>
    <w:p w:rsidR="00CE531F" w:rsidRPr="00C65C01" w:rsidRDefault="00CE531F" w:rsidP="00CE531F">
      <w:pPr>
        <w:pStyle w:val="RKnormal"/>
      </w:pPr>
      <w:r w:rsidRPr="00C65C01">
        <w:t xml:space="preserve">Den gemensamma fiskeripolitikens centrala inslag är begränsningar av fångst och fiskeansträngning. Dessa fastställs årligen, och som en del av detta förhandlas varje år totala tillåtna fångstmängder och kvoter för bestånden i Västerhavet. För Sveriges del handlar det om våra fiskemöjligheter i Nordsjön, Skagerrak och Kattegatt. Förordningen antas som  regel vid jordbruks- och fiskerådsmötet i december. Eftersom många kvoter delas med länder som inte är medlemmar i EU föregås beslutet av ett omfattande förhandlingsarbete med olika tredjeländer. Detta gäller bland annat förhandlingarna mellan EU och Norge, där flera fisken av stor betydelse för Sverige ingår. Dessa förhandlingar pågår för  närvarande och resultaten förs sedan in i kommissionens förslag till förordning, som behandlas i rådsarbetsgruppen för intern fiskeripolitik. </w:t>
      </w:r>
    </w:p>
    <w:p w:rsidR="00CE531F" w:rsidRPr="00C65C01" w:rsidRDefault="00CE531F" w:rsidP="00CE531F">
      <w:pPr>
        <w:pStyle w:val="RKnormal"/>
      </w:pPr>
    </w:p>
    <w:p w:rsidR="00CE531F" w:rsidRPr="00C65C01" w:rsidRDefault="00CE531F" w:rsidP="00CE531F">
      <w:pPr>
        <w:pStyle w:val="RKnormal"/>
      </w:pPr>
      <w:r w:rsidRPr="00C65C01">
        <w:t>Förslaget innehåller kvoter för 2011, men även bestämmelser relaterade till långsiktiga förvaltningsplaner som reglerar kvotsättningen och fiskeansträngningen. Förslagen om kvoter och fiskeansträngning följer kommissionens årliga policymeddelande (dok 9888/10 PECHE 109) samt etablerade förvaltningsplaner. En nyhet för i år är att kommissionen i vissa avseenden föreslår större kvotsänkningar jämfört med tidigare, för att maximalt hållbart uttag ska kunna uppnås till 2015 i enlighet med åtaganden i Johannesburgsdeklarationen.</w:t>
      </w:r>
    </w:p>
    <w:p w:rsidR="00CE531F" w:rsidRPr="00C65C01" w:rsidRDefault="00CE531F" w:rsidP="00CE531F">
      <w:pPr>
        <w:pStyle w:val="RKnormal"/>
      </w:pPr>
    </w:p>
    <w:p w:rsidR="00CE531F" w:rsidRPr="00C65C01" w:rsidRDefault="00CE531F" w:rsidP="00CE531F">
      <w:pPr>
        <w:pStyle w:val="RKnormal"/>
        <w:rPr>
          <w:i/>
          <w:iCs/>
        </w:rPr>
      </w:pPr>
      <w:r w:rsidRPr="00C65C01">
        <w:rPr>
          <w:i/>
          <w:iCs/>
        </w:rPr>
        <w:t>Förslag till svensk ståndpunkt</w:t>
      </w:r>
    </w:p>
    <w:p w:rsidR="00CE531F" w:rsidRPr="00C65C01" w:rsidRDefault="00CE531F" w:rsidP="00CE531F">
      <w:pPr>
        <w:pStyle w:val="RKnormal"/>
        <w:rPr>
          <w:i/>
          <w:iCs/>
        </w:rPr>
      </w:pPr>
      <w:r w:rsidRPr="00C65C01">
        <w:t xml:space="preserve">Regeringens övergripande målsättning är att se till att den gemensamma fiskeripolitikens målsättning och principer om försiktighetsansatsens tillämpning -  baserat på </w:t>
      </w:r>
      <w:r w:rsidRPr="00C65C01">
        <w:rPr>
          <w:rFonts w:cs="Helv"/>
          <w:color w:val="000000"/>
          <w:szCs w:val="24"/>
          <w:lang w:eastAsia="sv-SE"/>
        </w:rPr>
        <w:t>ICES vetenskapliga rådgivning</w:t>
      </w:r>
      <w:r w:rsidRPr="00C65C01">
        <w:rPr>
          <w:szCs w:val="24"/>
        </w:rPr>
        <w:t xml:space="preserve">  </w:t>
      </w:r>
      <w:r w:rsidRPr="00C65C01">
        <w:t xml:space="preserve">och gradvist införande av ekosystemansatsen - efterlevs. Regeringens grundinställning är att fiskeriförvaltningen ska verka för ett långsiktigt hållbart resursutnyttjande. För att nå detta är det viktigt att </w:t>
      </w:r>
      <w:r w:rsidRPr="00C65C01">
        <w:rPr>
          <w:rFonts w:cs="Helv"/>
          <w:color w:val="000000"/>
          <w:szCs w:val="24"/>
          <w:lang w:eastAsia="sv-SE"/>
        </w:rPr>
        <w:t xml:space="preserve">ICES vetenskapliga rådgivning utgör grunden för de politiska besluten, </w:t>
      </w:r>
      <w:r w:rsidRPr="00C65C01">
        <w:t>samt att existerande förvaltnings- och återhämtningsplaner följs.</w:t>
      </w:r>
    </w:p>
    <w:p w:rsidR="00CE531F" w:rsidRPr="00C65C01" w:rsidRDefault="00CE531F" w:rsidP="00CE531F">
      <w:pPr>
        <w:pStyle w:val="RKnormal"/>
        <w:jc w:val="both"/>
      </w:pPr>
    </w:p>
    <w:p w:rsidR="00CE531F" w:rsidRPr="00C65C01" w:rsidRDefault="00CE531F" w:rsidP="00CE531F">
      <w:pPr>
        <w:pStyle w:val="RKnormal"/>
      </w:pPr>
      <w:r w:rsidRPr="00C65C01">
        <w:t>Kommissionens förslag innebär att de flesta kvoter reduceras utifrån den vetenskapliga rådgivningen. Det är en ansvarsfull inriktning som regeringen stödjer.</w:t>
      </w:r>
    </w:p>
    <w:p w:rsidR="00CE531F" w:rsidRPr="00C65C01" w:rsidRDefault="00CE531F" w:rsidP="00CE531F">
      <w:pPr>
        <w:pStyle w:val="RKnormal"/>
        <w:rPr>
          <w:i/>
          <w:iCs/>
        </w:rPr>
      </w:pPr>
    </w:p>
    <w:p w:rsidR="00CE531F" w:rsidRPr="00C65C01" w:rsidRDefault="00CE531F" w:rsidP="00CE531F">
      <w:pPr>
        <w:pStyle w:val="RKnormal"/>
        <w:rPr>
          <w:i/>
          <w:iCs/>
        </w:rPr>
      </w:pPr>
      <w:r w:rsidRPr="00C65C01">
        <w:rPr>
          <w:i/>
          <w:iCs/>
        </w:rPr>
        <w:t>MJU och EU-nämnden</w:t>
      </w:r>
    </w:p>
    <w:p w:rsidR="00CE531F" w:rsidRPr="00C65C01" w:rsidRDefault="00CE531F" w:rsidP="00CE531F">
      <w:pPr>
        <w:pStyle w:val="RKnormal"/>
      </w:pPr>
      <w:r w:rsidRPr="00C65C01">
        <w:t>Frågan var senast föremål för information och överläggning i MJU samt samråd i EU-nämnden i december 2009, i samband med fastställandet av 2010 års fiskemöjligheter inför jordbruks- och fiskerådsmötet.</w:t>
      </w:r>
    </w:p>
    <w:p w:rsidR="007367A2" w:rsidRPr="00C65C01" w:rsidRDefault="007367A2" w:rsidP="007367A2">
      <w:pPr>
        <w:pStyle w:val="RKnormal"/>
        <w:rPr>
          <w:i/>
          <w:iCs/>
        </w:rPr>
      </w:pPr>
    </w:p>
    <w:p w:rsidR="007367A2" w:rsidRPr="00C65C01" w:rsidRDefault="007367A2" w:rsidP="007367A2">
      <w:pPr>
        <w:pStyle w:val="RKrubrik"/>
      </w:pPr>
      <w:r w:rsidRPr="00C65C01">
        <w:t xml:space="preserve">5. </w:t>
      </w:r>
      <w:r w:rsidR="00310022" w:rsidRPr="00C65C01">
        <w:t>Förslag till rådets förordning om fastställande för år 2011 av fiskemöjligheterna för vissa fiskbestånd och grupper av fiskbestånd i Svarta havet</w:t>
      </w:r>
      <w:r w:rsidRPr="00C65C01">
        <w:t xml:space="preserve"> </w:t>
      </w:r>
    </w:p>
    <w:p w:rsidR="00310022" w:rsidRPr="00C65C01" w:rsidRDefault="00310022" w:rsidP="00310022">
      <w:pPr>
        <w:pStyle w:val="RKnormal"/>
        <w:rPr>
          <w:b/>
          <w:bCs/>
          <w:iCs/>
        </w:rPr>
      </w:pPr>
      <w:r w:rsidRPr="00C65C01">
        <w:rPr>
          <w:b/>
          <w:bCs/>
          <w:iCs/>
        </w:rPr>
        <w:t xml:space="preserve">- </w:t>
      </w:r>
      <w:r w:rsidRPr="00C65C01">
        <w:rPr>
          <w:b/>
          <w:bCs/>
          <w:i/>
          <w:iCs/>
        </w:rPr>
        <w:t>Politisk överenskommelse</w:t>
      </w:r>
    </w:p>
    <w:p w:rsidR="007367A2" w:rsidRPr="00C65C01" w:rsidRDefault="007367A2" w:rsidP="007367A2">
      <w:pPr>
        <w:pStyle w:val="RKnormal"/>
        <w:rPr>
          <w:i/>
          <w:iCs/>
        </w:rPr>
      </w:pPr>
      <w:r w:rsidRPr="00C65C01">
        <w:rPr>
          <w:i/>
          <w:iCs/>
        </w:rPr>
        <w:t>Dokumentbeteckning</w:t>
      </w:r>
    </w:p>
    <w:p w:rsidR="00473250" w:rsidRPr="00C65C01" w:rsidRDefault="00473250" w:rsidP="00473250">
      <w:pPr>
        <w:pStyle w:val="RKnormal"/>
        <w:rPr>
          <w:iCs/>
        </w:rPr>
      </w:pPr>
      <w:r w:rsidRPr="00C65C01">
        <w:rPr>
          <w:iCs/>
        </w:rPr>
        <w:t xml:space="preserve"> 17003/10</w:t>
      </w:r>
    </w:p>
    <w:p w:rsidR="007367A2" w:rsidRPr="00C65C01" w:rsidRDefault="007367A2" w:rsidP="007367A2">
      <w:pPr>
        <w:pStyle w:val="RKnormal"/>
        <w:rPr>
          <w:iCs/>
        </w:rPr>
      </w:pPr>
    </w:p>
    <w:p w:rsidR="007367A2" w:rsidRPr="00C65C01" w:rsidRDefault="007367A2" w:rsidP="007367A2">
      <w:pPr>
        <w:pStyle w:val="RKnormal"/>
        <w:rPr>
          <w:i/>
          <w:iCs/>
        </w:rPr>
      </w:pPr>
    </w:p>
    <w:p w:rsidR="007367A2" w:rsidRPr="00C65C01" w:rsidRDefault="007367A2" w:rsidP="007367A2">
      <w:pPr>
        <w:pStyle w:val="RKnormal"/>
        <w:rPr>
          <w:i/>
          <w:iCs/>
        </w:rPr>
      </w:pPr>
      <w:r w:rsidRPr="00C65C01">
        <w:rPr>
          <w:i/>
          <w:iCs/>
        </w:rPr>
        <w:t>Rättslig grund</w:t>
      </w:r>
    </w:p>
    <w:p w:rsidR="00E8748D" w:rsidRPr="00C65C01" w:rsidRDefault="00473250" w:rsidP="00E8748D">
      <w:pPr>
        <w:pStyle w:val="RKnormal"/>
      </w:pPr>
      <w:r w:rsidRPr="00C65C01">
        <w:t xml:space="preserve">Artikel 43.3 i Fördraget om Europeiska Unionens funktionssätt, samt rådets förordning (EG) nr 2371/2002 av den 20 december 2002. </w:t>
      </w:r>
      <w:r w:rsidR="00E8748D" w:rsidRPr="00C65C01">
        <w:t>Beslut fattas av rådet med kvalificerad majoritet på förslag av kommissionen.</w:t>
      </w:r>
    </w:p>
    <w:p w:rsidR="00E8748D" w:rsidRPr="00C65C01" w:rsidRDefault="00E8748D" w:rsidP="00E8748D">
      <w:pPr>
        <w:pStyle w:val="RKnormal"/>
        <w:rPr>
          <w:i/>
          <w:iCs/>
        </w:rPr>
      </w:pPr>
    </w:p>
    <w:p w:rsidR="00CE531F" w:rsidRPr="00C65C01" w:rsidRDefault="00CE531F" w:rsidP="00CE531F">
      <w:pPr>
        <w:rPr>
          <w:i/>
        </w:rPr>
      </w:pPr>
      <w:r w:rsidRPr="00C65C01">
        <w:rPr>
          <w:i/>
        </w:rPr>
        <w:t>Bakgrund</w:t>
      </w:r>
    </w:p>
    <w:p w:rsidR="00CE531F" w:rsidRPr="00C65C01" w:rsidRDefault="00CE531F" w:rsidP="00CE531F">
      <w:pPr>
        <w:tabs>
          <w:tab w:val="left" w:pos="2835"/>
        </w:tabs>
        <w:spacing w:line="240" w:lineRule="atLeast"/>
      </w:pPr>
      <w:r w:rsidRPr="00C65C01">
        <w:t xml:space="preserve">Förslaget till förordning avser fastställande av TAC för 2011 för de kommersiellt sett viktigaste bestånden i Svarta havet, piggvar och skarpsill. Förslaget till förordning innehåller även vissa redskapsregler.  </w:t>
      </w:r>
    </w:p>
    <w:p w:rsidR="00CE531F" w:rsidRPr="00C65C01" w:rsidRDefault="00CE531F" w:rsidP="00CE531F">
      <w:pPr>
        <w:tabs>
          <w:tab w:val="left" w:pos="2835"/>
        </w:tabs>
        <w:spacing w:line="240" w:lineRule="atLeast"/>
      </w:pPr>
    </w:p>
    <w:p w:rsidR="00CE531F" w:rsidRPr="00C65C01" w:rsidRDefault="00F81B4B" w:rsidP="00CE531F">
      <w:pPr>
        <w:tabs>
          <w:tab w:val="left" w:pos="2835"/>
        </w:tabs>
        <w:spacing w:line="240" w:lineRule="atLeast"/>
      </w:pPr>
      <w:r w:rsidRPr="00C65C01">
        <w:t xml:space="preserve">De anda </w:t>
      </w:r>
      <w:r w:rsidR="00CE531F" w:rsidRPr="00C65C01">
        <w:t xml:space="preserve">medlemsstater </w:t>
      </w:r>
      <w:r w:rsidRPr="00C65C01">
        <w:t xml:space="preserve">som berörs </w:t>
      </w:r>
      <w:r w:rsidR="00CE531F" w:rsidRPr="00C65C01">
        <w:t xml:space="preserve">är Bulgarien och Rumänien. Fiskemöjligheter i Svarta havet och därmed förbundna villkor fastställdes för första gången för </w:t>
      </w:r>
      <w:r w:rsidRPr="00C65C01">
        <w:t xml:space="preserve">år </w:t>
      </w:r>
      <w:r w:rsidR="00CE531F" w:rsidRPr="00C65C01">
        <w:t xml:space="preserve">2008. </w:t>
      </w:r>
    </w:p>
    <w:p w:rsidR="00CE531F" w:rsidRPr="00C65C01" w:rsidRDefault="00CE531F" w:rsidP="00CE531F">
      <w:pPr>
        <w:pStyle w:val="RKnormal"/>
        <w:rPr>
          <w:i/>
          <w:iCs/>
        </w:rPr>
      </w:pPr>
    </w:p>
    <w:p w:rsidR="00CE531F" w:rsidRPr="00C65C01" w:rsidRDefault="00CE531F" w:rsidP="00CE531F">
      <w:pPr>
        <w:pStyle w:val="RKnormal"/>
        <w:rPr>
          <w:i/>
          <w:iCs/>
        </w:rPr>
      </w:pPr>
      <w:r w:rsidRPr="00C65C01">
        <w:rPr>
          <w:i/>
          <w:iCs/>
        </w:rPr>
        <w:t>Förslag till svensk ståndpunkt</w:t>
      </w:r>
    </w:p>
    <w:p w:rsidR="00F81B4B" w:rsidRPr="00C65C01" w:rsidRDefault="00F81B4B" w:rsidP="00F81B4B">
      <w:pPr>
        <w:pStyle w:val="RKnormal"/>
      </w:pPr>
      <w:r w:rsidRPr="00C65C01">
        <w:rPr>
          <w:iCs/>
        </w:rPr>
        <w:t xml:space="preserve">Regeringen stödjer kommissionens förslag - </w:t>
      </w:r>
      <w:r w:rsidRPr="00C65C01">
        <w:t>som ligger inom ramen för ett långsiktigt hållbart fiske - samt eventuella smärre förändringar som  kommissionen och berörda medlemsstater kan komma överens om.</w:t>
      </w:r>
    </w:p>
    <w:p w:rsidR="00F81B4B" w:rsidRPr="00C65C01" w:rsidRDefault="00F81B4B" w:rsidP="00CE531F">
      <w:pPr>
        <w:pStyle w:val="RKnormal"/>
        <w:rPr>
          <w:i/>
          <w:iCs/>
        </w:rPr>
      </w:pPr>
    </w:p>
    <w:p w:rsidR="00CE531F" w:rsidRPr="00C65C01" w:rsidRDefault="00CE531F" w:rsidP="00CE531F">
      <w:pPr>
        <w:pStyle w:val="RKnormal"/>
        <w:rPr>
          <w:i/>
          <w:iCs/>
        </w:rPr>
      </w:pPr>
      <w:r w:rsidRPr="00C65C01">
        <w:rPr>
          <w:i/>
          <w:iCs/>
        </w:rPr>
        <w:t>EU-nämnden och MJU</w:t>
      </w:r>
    </w:p>
    <w:p w:rsidR="00CE531F" w:rsidRPr="00C65C01" w:rsidRDefault="00CE531F" w:rsidP="00CE531F">
      <w:pPr>
        <w:pStyle w:val="RKnormal"/>
      </w:pPr>
      <w:r w:rsidRPr="00C65C01">
        <w:t>Frågan var senast föremål för samråd med EU-nämnden och information i MJU inför Jordbruks- och fiskerådet i november 2009.</w:t>
      </w:r>
    </w:p>
    <w:p w:rsidR="00CE531F" w:rsidRPr="00C65C01" w:rsidRDefault="00CE531F" w:rsidP="00CE531F">
      <w:pPr>
        <w:pStyle w:val="RKnormal"/>
      </w:pPr>
    </w:p>
    <w:p w:rsidR="00CE531F" w:rsidRPr="00C65C01" w:rsidRDefault="00CE531F" w:rsidP="00CE531F"/>
    <w:p w:rsidR="00E8748D" w:rsidRPr="00C65C01" w:rsidRDefault="00E8748D" w:rsidP="00E8748D">
      <w:pPr>
        <w:pStyle w:val="RKnormal"/>
      </w:pPr>
    </w:p>
    <w:p w:rsidR="007367A2" w:rsidRPr="00C65C01" w:rsidRDefault="007367A2" w:rsidP="007367A2">
      <w:pPr>
        <w:pStyle w:val="RKrubrik"/>
      </w:pPr>
      <w:r w:rsidRPr="00C65C01">
        <w:t xml:space="preserve">6. </w:t>
      </w:r>
      <w:r w:rsidR="00310022" w:rsidRPr="00C65C01">
        <w:t>Förslag till rådets förordning om fastställande av orienteringspriser och gemenskapens produktionspris för fiskeåret 2011 för vissa fiskeriprodukter i enlighet med förordning (EG) nr 104/2000</w:t>
      </w:r>
    </w:p>
    <w:p w:rsidR="007367A2" w:rsidRPr="00C65C01" w:rsidRDefault="007367A2" w:rsidP="007367A2">
      <w:pPr>
        <w:pStyle w:val="RKrubrik"/>
        <w:rPr>
          <w:rFonts w:ascii="OrigGarmnd BT" w:hAnsi="OrigGarmnd BT"/>
          <w:i/>
          <w:sz w:val="24"/>
          <w:szCs w:val="24"/>
        </w:rPr>
      </w:pPr>
      <w:r w:rsidRPr="00C65C01">
        <w:rPr>
          <w:rFonts w:ascii="OrigGarmnd BT" w:hAnsi="OrigGarmnd BT"/>
          <w:i/>
          <w:sz w:val="24"/>
          <w:szCs w:val="24"/>
        </w:rPr>
        <w:t xml:space="preserve">– </w:t>
      </w:r>
      <w:r w:rsidR="00310022" w:rsidRPr="00C65C01">
        <w:rPr>
          <w:rFonts w:ascii="OrigGarmnd BT" w:hAnsi="OrigGarmnd BT"/>
          <w:i/>
          <w:sz w:val="24"/>
          <w:szCs w:val="24"/>
        </w:rPr>
        <w:t>Politisk överenskommelse/Antagande (Eventuell A-punkt)</w:t>
      </w:r>
    </w:p>
    <w:p w:rsidR="007367A2" w:rsidRPr="00C65C01" w:rsidRDefault="007367A2" w:rsidP="007367A2">
      <w:pPr>
        <w:pStyle w:val="RKnormal"/>
        <w:rPr>
          <w:i/>
          <w:iCs/>
        </w:rPr>
      </w:pPr>
    </w:p>
    <w:p w:rsidR="00CC3B93" w:rsidRPr="00C65C01" w:rsidRDefault="00CC3B93" w:rsidP="007367A2">
      <w:pPr>
        <w:pStyle w:val="RKnormal"/>
        <w:rPr>
          <w:i/>
          <w:iCs/>
        </w:rPr>
      </w:pPr>
    </w:p>
    <w:p w:rsidR="00F64C69" w:rsidRPr="00C65C01" w:rsidRDefault="00F64C69" w:rsidP="00F64C69">
      <w:pPr>
        <w:pStyle w:val="RKnormal"/>
        <w:rPr>
          <w:i/>
          <w:iCs/>
        </w:rPr>
      </w:pPr>
      <w:r w:rsidRPr="00C65C01">
        <w:rPr>
          <w:i/>
          <w:iCs/>
        </w:rPr>
        <w:t>Dokumentbeteckning</w:t>
      </w:r>
    </w:p>
    <w:p w:rsidR="00F64C69" w:rsidRPr="00C65C01" w:rsidRDefault="00F64C69" w:rsidP="00F64C69">
      <w:pPr>
        <w:pStyle w:val="RKnormal"/>
      </w:pPr>
      <w:r w:rsidRPr="00C65C01">
        <w:t>17004/10</w:t>
      </w:r>
    </w:p>
    <w:p w:rsidR="00F64C69" w:rsidRPr="00C65C01" w:rsidRDefault="00F64C69" w:rsidP="00F64C69">
      <w:pPr>
        <w:pStyle w:val="RKnormal"/>
        <w:rPr>
          <w:i/>
          <w:iCs/>
        </w:rPr>
      </w:pPr>
    </w:p>
    <w:p w:rsidR="00F64C69" w:rsidRPr="00C65C01" w:rsidRDefault="00F64C69" w:rsidP="00F64C69">
      <w:pPr>
        <w:pStyle w:val="RKnormal"/>
        <w:rPr>
          <w:i/>
          <w:iCs/>
        </w:rPr>
      </w:pPr>
      <w:r w:rsidRPr="00C65C01">
        <w:rPr>
          <w:i/>
          <w:iCs/>
        </w:rPr>
        <w:t>Rättslig grund</w:t>
      </w:r>
    </w:p>
    <w:p w:rsidR="00F64C69" w:rsidRPr="00C65C01" w:rsidRDefault="00F64C69" w:rsidP="00F64C69">
      <w:pPr>
        <w:pStyle w:val="RKnormal"/>
        <w:rPr>
          <w:i/>
          <w:iCs/>
        </w:rPr>
      </w:pPr>
      <w:r w:rsidRPr="00C65C01">
        <w:t>Artikel 43.3 i Fördraget om Europeiska Unionens funktionssätt. Beslut fattas av rådet med kvalificerad majoritet på förslag av kommissionen.</w:t>
      </w:r>
    </w:p>
    <w:p w:rsidR="00F64C69" w:rsidRPr="00C65C01" w:rsidRDefault="00F64C69" w:rsidP="00F64C69">
      <w:pPr>
        <w:pStyle w:val="RKnormal"/>
        <w:rPr>
          <w:i/>
          <w:iCs/>
        </w:rPr>
      </w:pPr>
    </w:p>
    <w:p w:rsidR="00F64C69" w:rsidRPr="00C65C01" w:rsidRDefault="00F64C69" w:rsidP="00F64C69">
      <w:pPr>
        <w:pStyle w:val="RKnormal"/>
        <w:rPr>
          <w:i/>
          <w:iCs/>
        </w:rPr>
      </w:pPr>
      <w:r w:rsidRPr="00C65C01">
        <w:rPr>
          <w:i/>
          <w:iCs/>
        </w:rPr>
        <w:t>Bakgrund</w:t>
      </w:r>
    </w:p>
    <w:p w:rsidR="00F64C69" w:rsidRPr="00C65C01" w:rsidRDefault="00F64C69" w:rsidP="00F64C69">
      <w:pPr>
        <w:pStyle w:val="RKnormal"/>
      </w:pPr>
      <w:r w:rsidRPr="00C65C01">
        <w:t>Förslaget till förordning avser fastställande av orienteringspriser för 2011 för vissa fiskslag. Orienteringspriserna är en del av den gemensamma organisationen för marknaden och fastställs årligen. Unionen använder orienteringspriserna som ett instrument för att bl</w:t>
      </w:r>
      <w:r w:rsidR="000F299D" w:rsidRPr="00C65C01">
        <w:t xml:space="preserve">and annat </w:t>
      </w:r>
      <w:r w:rsidRPr="00C65C01">
        <w:t xml:space="preserve"> bidra till att säkra producenternas inkomster genom en stabilisering av priserna</w:t>
      </w:r>
      <w:r w:rsidR="000F299D" w:rsidRPr="00C65C01">
        <w:t xml:space="preserve">. Detta sker genom att </w:t>
      </w:r>
      <w:r w:rsidR="007A542E" w:rsidRPr="00C65C01">
        <w:t xml:space="preserve"> </w:t>
      </w:r>
      <w:r w:rsidRPr="00C65C01">
        <w:t xml:space="preserve">bottennivåer </w:t>
      </w:r>
      <w:r w:rsidR="000F299D" w:rsidRPr="00C65C01">
        <w:t xml:space="preserve">och toppar jämnas ut, för </w:t>
      </w:r>
      <w:r w:rsidRPr="00C65C01">
        <w:t xml:space="preserve"> att uppnå en långsiktig</w:t>
      </w:r>
      <w:r w:rsidR="000F299D" w:rsidRPr="00C65C01">
        <w:t>,</w:t>
      </w:r>
      <w:r w:rsidRPr="00C65C01">
        <w:t xml:space="preserve"> balanserad utveckling som kan förstärka konkurrenskraften hos unionens fiskeföretag på världsmarknaderna.</w:t>
      </w:r>
    </w:p>
    <w:p w:rsidR="00F64C69" w:rsidRPr="00C65C01" w:rsidRDefault="00F64C69" w:rsidP="00F64C69">
      <w:pPr>
        <w:pStyle w:val="RKnormal"/>
      </w:pPr>
    </w:p>
    <w:p w:rsidR="00F64C69" w:rsidRPr="00C65C01" w:rsidRDefault="00F64C69" w:rsidP="00F64C69">
      <w:pPr>
        <w:pStyle w:val="RKnormal"/>
      </w:pPr>
      <w:r w:rsidRPr="00C65C01">
        <w:t>Årligen, som regel i oktober/november, lägger kommissionen fram ett förslag på orienteringspriser för kommande år. Förslaget utarbetas på grundval av uppgifter från medlemsstaterna om genomsnittliga marknadspriser under innevarande år och de två föregående åren. Årets förslag presenterades den 1 december 2010</w:t>
      </w:r>
      <w:r w:rsidR="000F299D" w:rsidRPr="00C65C01">
        <w:t>, vilket är senare än vanligt</w:t>
      </w:r>
      <w:r w:rsidRPr="00C65C01">
        <w:t xml:space="preserve">. </w:t>
      </w:r>
    </w:p>
    <w:p w:rsidR="00F64C69" w:rsidRPr="00C65C01" w:rsidRDefault="00F64C69" w:rsidP="00F64C69">
      <w:pPr>
        <w:pStyle w:val="Brdtextmedindrag2"/>
        <w:ind w:left="0"/>
        <w:rPr>
          <w:rStyle w:val="RKnormalChar"/>
        </w:rPr>
      </w:pPr>
    </w:p>
    <w:p w:rsidR="00F64C69" w:rsidRPr="00C65C01" w:rsidRDefault="00F64C69" w:rsidP="00F64C69">
      <w:pPr>
        <w:pStyle w:val="Brdtextmedindrag2"/>
        <w:ind w:left="0"/>
      </w:pPr>
      <w:r w:rsidRPr="00C65C01">
        <w:rPr>
          <w:rStyle w:val="RKnormalChar"/>
        </w:rPr>
        <w:t xml:space="preserve">Kommissionen föreslår att priset sänks för 16 produkter, sju produkter </w:t>
      </w:r>
      <w:r w:rsidR="000F299D" w:rsidRPr="00C65C01">
        <w:rPr>
          <w:rStyle w:val="RKnormalChar"/>
        </w:rPr>
        <w:t xml:space="preserve">får </w:t>
      </w:r>
      <w:r w:rsidRPr="00C65C01">
        <w:rPr>
          <w:rStyle w:val="RKnormalChar"/>
        </w:rPr>
        <w:t>samma pris som föregående år medan priset höjs för åtta produkter. Det är som regel små förändringar som föreslås</w:t>
      </w:r>
      <w:r w:rsidR="00893E7F" w:rsidRPr="00C65C01">
        <w:rPr>
          <w:rStyle w:val="RKnormalChar"/>
        </w:rPr>
        <w:t>,</w:t>
      </w:r>
      <w:r w:rsidRPr="00C65C01">
        <w:rPr>
          <w:rStyle w:val="RKnormalChar"/>
        </w:rPr>
        <w:t xml:space="preserve"> till skillnad mot </w:t>
      </w:r>
      <w:r w:rsidR="00893E7F" w:rsidRPr="00C65C01">
        <w:rPr>
          <w:rStyle w:val="RKnormalChar"/>
        </w:rPr>
        <w:t>förra årets f</w:t>
      </w:r>
      <w:r w:rsidRPr="00C65C01">
        <w:rPr>
          <w:rStyle w:val="RKnormalChar"/>
        </w:rPr>
        <w:t xml:space="preserve">örslag </w:t>
      </w:r>
      <w:r w:rsidR="00893E7F" w:rsidRPr="00C65C01">
        <w:rPr>
          <w:rStyle w:val="RKnormalChar"/>
        </w:rPr>
        <w:t xml:space="preserve"> </w:t>
      </w:r>
      <w:r w:rsidRPr="00C65C01">
        <w:rPr>
          <w:rStyle w:val="RKnormalChar"/>
        </w:rPr>
        <w:t xml:space="preserve"> då det för flera produkter föreslogs en prissänkning med 5</w:t>
      </w:r>
      <w:r w:rsidR="007A542E" w:rsidRPr="00C65C01">
        <w:rPr>
          <w:rStyle w:val="RKnormalChar"/>
        </w:rPr>
        <w:t xml:space="preserve"> </w:t>
      </w:r>
      <w:r w:rsidRPr="00C65C01">
        <w:rPr>
          <w:rStyle w:val="RKnormalChar"/>
        </w:rPr>
        <w:t>– 6 procent</w:t>
      </w:r>
      <w:r w:rsidRPr="00C65C01">
        <w:t>.</w:t>
      </w:r>
    </w:p>
    <w:p w:rsidR="00F64C69" w:rsidRPr="00C65C01" w:rsidRDefault="00F64C69" w:rsidP="00F64C69">
      <w:pPr>
        <w:pStyle w:val="Brdtextmedindrag2"/>
        <w:ind w:left="0"/>
      </w:pPr>
    </w:p>
    <w:p w:rsidR="00F64C69" w:rsidRPr="00C65C01" w:rsidRDefault="00F64C69" w:rsidP="00F64C69">
      <w:pPr>
        <w:pStyle w:val="RKnormal"/>
      </w:pPr>
      <w:r w:rsidRPr="00C65C01">
        <w:t>Synpunkter har hittills underhand inhämtats från Sveriges Fiskares Producent</w:t>
      </w:r>
      <w:r w:rsidRPr="00C65C01">
        <w:softHyphen/>
        <w:t>organisation (SFPO) som anser att det föreslagna orienterings</w:t>
      </w:r>
      <w:r w:rsidRPr="00C65C01">
        <w:softHyphen/>
        <w:t>priset för kokräka är oacceptabelt lågt i relation till marknadspriset.</w:t>
      </w:r>
    </w:p>
    <w:p w:rsidR="00F64C69" w:rsidRPr="00C65C01" w:rsidRDefault="00F64C69" w:rsidP="00F64C69">
      <w:pPr>
        <w:pStyle w:val="RKnormal"/>
      </w:pPr>
    </w:p>
    <w:p w:rsidR="00F64C69" w:rsidRPr="00C65C01" w:rsidRDefault="00F64C69" w:rsidP="00F64C69">
      <w:pPr>
        <w:pStyle w:val="RKnormal"/>
        <w:rPr>
          <w:i/>
          <w:iCs/>
        </w:rPr>
      </w:pPr>
      <w:r w:rsidRPr="00C65C01">
        <w:rPr>
          <w:i/>
          <w:iCs/>
        </w:rPr>
        <w:t>Förslag till svensk ståndpunkt</w:t>
      </w:r>
    </w:p>
    <w:p w:rsidR="00F64C69" w:rsidRPr="00C65C01" w:rsidRDefault="00F64C69" w:rsidP="00F64C69">
      <w:pPr>
        <w:pStyle w:val="RKnormal"/>
        <w:rPr>
          <w:szCs w:val="24"/>
        </w:rPr>
      </w:pPr>
      <w:r w:rsidRPr="00C65C01">
        <w:t xml:space="preserve">Regeringen anser att förslaget i sin helhet speglar marknadssituationen, förutom när det gäller kokräka, där det föreslagna orienteringspriset är väl lågt mot bakgrund av att marknadspriserna är betydligt högre och att inga återtag har skett under 2010 .  Regeringen förespråkar därför en höjning av orienteringspriset från föreslagna 3 procent till 4 procent. </w:t>
      </w:r>
    </w:p>
    <w:p w:rsidR="00F64C69" w:rsidRPr="00C65C01" w:rsidRDefault="00F64C69" w:rsidP="00F64C69">
      <w:pPr>
        <w:pStyle w:val="RKnormal"/>
        <w:rPr>
          <w:i/>
          <w:iCs/>
        </w:rPr>
      </w:pPr>
    </w:p>
    <w:p w:rsidR="00893E7F" w:rsidRPr="00C65C01" w:rsidRDefault="00893E7F" w:rsidP="00F64C69">
      <w:pPr>
        <w:pStyle w:val="RKnormal"/>
        <w:rPr>
          <w:i/>
          <w:iCs/>
        </w:rPr>
      </w:pPr>
    </w:p>
    <w:p w:rsidR="00F64C69" w:rsidRPr="00C65C01" w:rsidRDefault="00F64C69" w:rsidP="00F64C69">
      <w:pPr>
        <w:pStyle w:val="RKnormal"/>
        <w:rPr>
          <w:i/>
          <w:iCs/>
        </w:rPr>
      </w:pPr>
      <w:r w:rsidRPr="00C65C01">
        <w:rPr>
          <w:i/>
          <w:iCs/>
        </w:rPr>
        <w:t>EU-nämnden och MJU</w:t>
      </w:r>
    </w:p>
    <w:p w:rsidR="00F64C69" w:rsidRPr="00C65C01" w:rsidRDefault="00F64C69" w:rsidP="00F64C69">
      <w:pPr>
        <w:pStyle w:val="RKnormal"/>
      </w:pPr>
      <w:r w:rsidRPr="00C65C01">
        <w:t xml:space="preserve">Frågan var senast föremål för samråd med EU-nämnden och information i MJU inför Jordbruks- och fiskerådet i december 2010.  </w:t>
      </w:r>
    </w:p>
    <w:p w:rsidR="00F64C69" w:rsidRPr="00C65C01" w:rsidRDefault="00F64C69" w:rsidP="00F64C69"/>
    <w:p w:rsidR="007367A2" w:rsidRPr="00C65C01" w:rsidRDefault="007367A2" w:rsidP="007367A2">
      <w:pPr>
        <w:pStyle w:val="RKrubrik"/>
        <w:rPr>
          <w:u w:val="single"/>
        </w:rPr>
      </w:pPr>
      <w:r w:rsidRPr="00C65C01">
        <w:rPr>
          <w:u w:val="single"/>
        </w:rPr>
        <w:t>JORDBRUK</w:t>
      </w:r>
    </w:p>
    <w:p w:rsidR="007367A2" w:rsidRPr="00C65C01" w:rsidRDefault="007367A2" w:rsidP="007367A2">
      <w:pPr>
        <w:pStyle w:val="RKrubrik"/>
        <w:rPr>
          <w:u w:val="single"/>
        </w:rPr>
      </w:pPr>
      <w:r w:rsidRPr="00C65C01">
        <w:rPr>
          <w:u w:val="single"/>
        </w:rPr>
        <w:t>SJK-punkter</w:t>
      </w:r>
    </w:p>
    <w:p w:rsidR="007367A2" w:rsidRPr="00C65C01" w:rsidRDefault="007367A2" w:rsidP="007367A2">
      <w:pPr>
        <w:pStyle w:val="RKrubrik"/>
        <w:rPr>
          <w:u w:val="single"/>
        </w:rPr>
      </w:pPr>
      <w:r w:rsidRPr="00C65C01">
        <w:rPr>
          <w:u w:val="single"/>
        </w:rPr>
        <w:t>Lagstiftande verksamhet</w:t>
      </w:r>
    </w:p>
    <w:p w:rsidR="00EF4701" w:rsidRPr="00C65C01" w:rsidRDefault="007367A2" w:rsidP="00EF4701">
      <w:pPr>
        <w:pStyle w:val="RKrubrik"/>
      </w:pPr>
      <w:r w:rsidRPr="00C65C01">
        <w:t xml:space="preserve">7. </w:t>
      </w:r>
      <w:r w:rsidR="00EF4701" w:rsidRPr="00C65C01">
        <w:t>(ev.) Förslag till Europaparlamentets och rådets förordning om ändring av förordning (EG) nr 1234/2007 vad gäller avtalsförbindelser i sektorn för mjölk och mjölkprodukter</w:t>
      </w:r>
    </w:p>
    <w:p w:rsidR="00E53B7B" w:rsidRPr="00C65C01" w:rsidRDefault="00E53B7B" w:rsidP="00E53B7B">
      <w:pPr>
        <w:pStyle w:val="RKrubrik"/>
        <w:rPr>
          <w:rFonts w:ascii="OrigGarmnd BT" w:hAnsi="OrigGarmnd BT"/>
          <w:bCs/>
          <w:i/>
          <w:iCs/>
          <w:sz w:val="24"/>
          <w:szCs w:val="24"/>
        </w:rPr>
      </w:pPr>
      <w:r w:rsidRPr="00C65C01">
        <w:rPr>
          <w:rFonts w:ascii="OrigGarmnd BT" w:hAnsi="OrigGarmnd BT"/>
          <w:bCs/>
          <w:i/>
          <w:iCs/>
          <w:sz w:val="24"/>
          <w:szCs w:val="24"/>
        </w:rPr>
        <w:t>- Föredragning av kommissionen</w:t>
      </w:r>
    </w:p>
    <w:p w:rsidR="00E53B7B" w:rsidRPr="00C65C01" w:rsidRDefault="00E53B7B" w:rsidP="00E53B7B">
      <w:pPr>
        <w:pStyle w:val="RKnormal"/>
        <w:rPr>
          <w:i/>
          <w:iCs/>
        </w:rPr>
      </w:pPr>
    </w:p>
    <w:p w:rsidR="00E53B7B" w:rsidRPr="00C65C01" w:rsidRDefault="00E53B7B" w:rsidP="00E53B7B">
      <w:pPr>
        <w:pStyle w:val="RKnormal"/>
        <w:rPr>
          <w:i/>
          <w:iCs/>
        </w:rPr>
      </w:pPr>
      <w:r w:rsidRPr="00C65C01">
        <w:rPr>
          <w:i/>
          <w:iCs/>
        </w:rPr>
        <w:t>Dokumentbeteckning</w:t>
      </w:r>
    </w:p>
    <w:p w:rsidR="00E53B7B" w:rsidRPr="00C65C01" w:rsidRDefault="00E53B7B" w:rsidP="00E53B7B">
      <w:pPr>
        <w:pStyle w:val="RKnormal"/>
        <w:rPr>
          <w:iCs/>
        </w:rPr>
      </w:pPr>
      <w:r w:rsidRPr="00C65C01">
        <w:rPr>
          <w:iCs/>
        </w:rPr>
        <w:t>Dokument saknas</w:t>
      </w:r>
    </w:p>
    <w:p w:rsidR="00E53B7B" w:rsidRPr="00C65C01" w:rsidRDefault="00E53B7B" w:rsidP="00E53B7B">
      <w:pPr>
        <w:pStyle w:val="RKnormal"/>
        <w:rPr>
          <w:iCs/>
        </w:rPr>
      </w:pPr>
    </w:p>
    <w:p w:rsidR="00E53B7B" w:rsidRPr="00C65C01" w:rsidRDefault="00E53B7B" w:rsidP="00E53B7B">
      <w:pPr>
        <w:pStyle w:val="RKnormal"/>
        <w:rPr>
          <w:i/>
          <w:iCs/>
        </w:rPr>
      </w:pPr>
      <w:r w:rsidRPr="00C65C01">
        <w:rPr>
          <w:i/>
          <w:iCs/>
        </w:rPr>
        <w:t>Rättslig grund</w:t>
      </w:r>
    </w:p>
    <w:p w:rsidR="00E53B7B" w:rsidRPr="00C65C01" w:rsidRDefault="00E53B7B" w:rsidP="00E53B7B">
      <w:pPr>
        <w:pStyle w:val="RKnormal"/>
        <w:rPr>
          <w:i/>
          <w:iCs/>
        </w:rPr>
      </w:pPr>
      <w:r w:rsidRPr="00C65C01">
        <w:rPr>
          <w:i/>
          <w:iCs/>
        </w:rPr>
        <w:t>-</w:t>
      </w:r>
    </w:p>
    <w:p w:rsidR="00E53B7B" w:rsidRPr="00C65C01" w:rsidRDefault="00E53B7B" w:rsidP="00E53B7B">
      <w:pPr>
        <w:pStyle w:val="RKnormal"/>
        <w:rPr>
          <w:i/>
          <w:iCs/>
        </w:rPr>
      </w:pPr>
    </w:p>
    <w:p w:rsidR="00E53B7B" w:rsidRPr="00C65C01" w:rsidRDefault="00E53B7B" w:rsidP="00E53B7B">
      <w:pPr>
        <w:pStyle w:val="RKnormal"/>
        <w:rPr>
          <w:i/>
          <w:iCs/>
        </w:rPr>
      </w:pPr>
      <w:r w:rsidRPr="00C65C01">
        <w:rPr>
          <w:i/>
          <w:iCs/>
        </w:rPr>
        <w:t>Bakgrund</w:t>
      </w:r>
    </w:p>
    <w:p w:rsidR="00E53B7B" w:rsidRPr="00C65C01" w:rsidRDefault="00E53B7B" w:rsidP="00E53B7B">
      <w:pPr>
        <w:pStyle w:val="RKnormal"/>
        <w:rPr>
          <w:iCs/>
        </w:rPr>
      </w:pPr>
      <w:r w:rsidRPr="00C65C01">
        <w:rPr>
          <w:iCs/>
        </w:rPr>
        <w:t xml:space="preserve">Kommissionen inrättade under 2009 en högnivåexpertgrupp för mjölk med syftet att utarbeta förslag till åtgärder på medellång och lång sikt för mjölksektorn. Områden som diskuterades var; kontraktsförhållanden mellan mjölkproducenter och mejerier, lämpligheten med nuvarande marknadsinstrument, ökad marknadstransparens och marknadsinformation, produktutveckling och forskning, terminshandel samt erfarenheter av mjölkpolitik utanför EU. </w:t>
      </w:r>
    </w:p>
    <w:p w:rsidR="00E53B7B" w:rsidRPr="00C65C01" w:rsidRDefault="00E53B7B" w:rsidP="00E53B7B">
      <w:pPr>
        <w:pStyle w:val="RKnormal"/>
        <w:rPr>
          <w:iCs/>
        </w:rPr>
      </w:pPr>
    </w:p>
    <w:p w:rsidR="00E53B7B" w:rsidRPr="00C65C01" w:rsidRDefault="00E53B7B" w:rsidP="00E53B7B">
      <w:pPr>
        <w:pStyle w:val="RKnormal"/>
        <w:rPr>
          <w:iCs/>
        </w:rPr>
      </w:pPr>
      <w:r w:rsidRPr="00C65C01">
        <w:rPr>
          <w:iCs/>
        </w:rPr>
        <w:t>I juni 2010 avslutades högnivåexpertgruppens arbete enligt plan och samtidigt offentliggjordes en rapport innehållande bland annat ett antal rekommendationer. På Jordbruks- och fiskerådes möte i september 2010 försökte det belgiska ordförandeskapet anta Rådslutsatser på grundval av denna rapport, slutsatserna antogs dock inte då ett antal medlemsstater, däribland Sverige, inte kunde acceptera senare kompromissförslag från ordförandeskapet. Ett antal av rapportens rekommendationer kommer nu enligt kommissionen att tas om hand i ett lagstiftningsförslag. Förslaget har ännu inte offentliggjorts, men kommer enligt uppgift att innebära ökade möjligheter till samarbeten mellan primärproducenter av mjölk, samt möjlighet för medlemsstaterna att införa detaljkrav för kontrakt med mjölkproducenter.</w:t>
      </w:r>
    </w:p>
    <w:p w:rsidR="00E53B7B" w:rsidRPr="00C65C01" w:rsidRDefault="00E53B7B" w:rsidP="00E53B7B">
      <w:pPr>
        <w:pStyle w:val="RKnormal"/>
        <w:rPr>
          <w:i/>
          <w:iCs/>
        </w:rPr>
      </w:pPr>
    </w:p>
    <w:p w:rsidR="00E53B7B" w:rsidRPr="00C65C01" w:rsidRDefault="00E53B7B" w:rsidP="00E53B7B">
      <w:pPr>
        <w:pStyle w:val="RKnormal"/>
        <w:rPr>
          <w:i/>
          <w:iCs/>
        </w:rPr>
      </w:pPr>
      <w:r w:rsidRPr="00C65C01">
        <w:rPr>
          <w:i/>
          <w:iCs/>
        </w:rPr>
        <w:t>Förslag till svensk ståndpunkt</w:t>
      </w:r>
    </w:p>
    <w:p w:rsidR="00E53B7B" w:rsidRPr="00C65C01" w:rsidRDefault="00E53B7B" w:rsidP="00E53B7B">
      <w:pPr>
        <w:pStyle w:val="RKnormal"/>
        <w:rPr>
          <w:iCs/>
        </w:rPr>
      </w:pPr>
      <w:r w:rsidRPr="00C65C01">
        <w:rPr>
          <w:iCs/>
        </w:rPr>
        <w:t>Regeringen anser inte att de strukturella problem som råder inom mjölksektorn kan lösas genom att konkurrensen begränsas.</w:t>
      </w:r>
    </w:p>
    <w:p w:rsidR="00E53B7B" w:rsidRPr="00C65C01" w:rsidRDefault="00E53B7B" w:rsidP="00E53B7B">
      <w:pPr>
        <w:pStyle w:val="RKnormal"/>
        <w:rPr>
          <w:i/>
          <w:iCs/>
        </w:rPr>
      </w:pPr>
    </w:p>
    <w:p w:rsidR="00E53B7B" w:rsidRPr="00C65C01" w:rsidRDefault="00E53B7B" w:rsidP="00E53B7B">
      <w:pPr>
        <w:pStyle w:val="RKnormal"/>
        <w:rPr>
          <w:i/>
          <w:iCs/>
        </w:rPr>
      </w:pPr>
      <w:r w:rsidRPr="00C65C01">
        <w:rPr>
          <w:i/>
          <w:iCs/>
        </w:rPr>
        <w:t>MJU och EU-nämnden</w:t>
      </w:r>
    </w:p>
    <w:p w:rsidR="00E53B7B" w:rsidRPr="00C65C01" w:rsidRDefault="00E53B7B" w:rsidP="00E53B7B">
      <w:pPr>
        <w:pStyle w:val="RKnormal"/>
      </w:pPr>
      <w:r w:rsidRPr="00C65C01">
        <w:t>Frågan har inte tidigare varit föremål för samråd med EU-nämnden eller för information i MJU. Sakfrågan behandlades dock senast inför Jordbruks- och fiskerådet i september 2010 i samband med ordförandeskapets förslag till rådslutsatser på grundval av högnivåexpertgruppens rapport.</w:t>
      </w:r>
    </w:p>
    <w:p w:rsidR="00EF4701" w:rsidRPr="00C65C01" w:rsidRDefault="00EF4701" w:rsidP="007367A2">
      <w:pPr>
        <w:pStyle w:val="RKnormal"/>
        <w:rPr>
          <w:i/>
          <w:iCs/>
        </w:rPr>
      </w:pPr>
    </w:p>
    <w:p w:rsidR="003C4D14" w:rsidRPr="00C65C01" w:rsidRDefault="003C4D14" w:rsidP="003C4D14">
      <w:pPr>
        <w:pStyle w:val="RKnormal"/>
        <w:rPr>
          <w:i/>
          <w:iCs/>
        </w:rPr>
      </w:pPr>
    </w:p>
    <w:p w:rsidR="002D4EF3" w:rsidRPr="00C65C01" w:rsidRDefault="002D4EF3" w:rsidP="002D4EF3">
      <w:pPr>
        <w:pStyle w:val="RKrubrik"/>
      </w:pPr>
      <w:r w:rsidRPr="00C65C01">
        <w:t xml:space="preserve">8. Lagstiftningspaket om livsmedelskvalitet  </w:t>
      </w:r>
    </w:p>
    <w:p w:rsidR="002D4EF3" w:rsidRPr="00C65C01" w:rsidRDefault="002D4EF3" w:rsidP="002D4EF3">
      <w:pPr>
        <w:pStyle w:val="RKnormal"/>
      </w:pPr>
    </w:p>
    <w:p w:rsidR="002D4EF3" w:rsidRPr="00C65C01" w:rsidRDefault="002D4EF3" w:rsidP="002D4EF3">
      <w:pPr>
        <w:pStyle w:val="RKnormal"/>
        <w:rPr>
          <w:b/>
          <w:bCs/>
          <w:i/>
          <w:iCs/>
        </w:rPr>
      </w:pPr>
      <w:r w:rsidRPr="00C65C01">
        <w:t xml:space="preserve">- </w:t>
      </w:r>
      <w:r w:rsidRPr="00C65C01">
        <w:rPr>
          <w:i/>
        </w:rPr>
        <w:t>Föredragning av kommissionen</w:t>
      </w:r>
    </w:p>
    <w:p w:rsidR="002D4EF3" w:rsidRPr="00C65C01" w:rsidRDefault="002D4EF3" w:rsidP="002D4EF3">
      <w:pPr>
        <w:pStyle w:val="RKnormal"/>
        <w:rPr>
          <w:i/>
          <w:iCs/>
        </w:rPr>
      </w:pPr>
    </w:p>
    <w:p w:rsidR="002D4EF3" w:rsidRPr="00C65C01" w:rsidRDefault="002D4EF3" w:rsidP="002D4EF3">
      <w:pPr>
        <w:pStyle w:val="RKnormal"/>
        <w:rPr>
          <w:i/>
          <w:iCs/>
        </w:rPr>
      </w:pPr>
      <w:r w:rsidRPr="00C65C01">
        <w:rPr>
          <w:i/>
          <w:iCs/>
        </w:rPr>
        <w:t>Dokumentbeteckning</w:t>
      </w:r>
    </w:p>
    <w:p w:rsidR="002D4EF3" w:rsidRPr="00C65C01" w:rsidRDefault="002D4EF3" w:rsidP="002D4EF3">
      <w:pPr>
        <w:pStyle w:val="RKnormal"/>
        <w:rPr>
          <w:iCs/>
        </w:rPr>
      </w:pPr>
      <w:r w:rsidRPr="00C65C01">
        <w:rPr>
          <w:iCs/>
        </w:rPr>
        <w:t>Dokument saknas</w:t>
      </w:r>
    </w:p>
    <w:p w:rsidR="002D4EF3" w:rsidRPr="00C65C01" w:rsidRDefault="002D4EF3" w:rsidP="002D4EF3">
      <w:pPr>
        <w:pStyle w:val="RKnormal"/>
        <w:rPr>
          <w:i/>
          <w:iCs/>
        </w:rPr>
      </w:pPr>
    </w:p>
    <w:p w:rsidR="002D4EF3" w:rsidRPr="00C65C01" w:rsidRDefault="002D4EF3" w:rsidP="002D4EF3">
      <w:pPr>
        <w:pStyle w:val="RKnormal"/>
        <w:rPr>
          <w:i/>
          <w:iCs/>
        </w:rPr>
      </w:pPr>
      <w:r w:rsidRPr="00C65C01">
        <w:rPr>
          <w:i/>
          <w:iCs/>
        </w:rPr>
        <w:t>Rättslig grund</w:t>
      </w:r>
    </w:p>
    <w:p w:rsidR="002D4EF3" w:rsidRPr="00C65C01" w:rsidRDefault="002D4EF3" w:rsidP="002D4EF3">
      <w:pPr>
        <w:pStyle w:val="RKnormal"/>
        <w:rPr>
          <w:iCs/>
        </w:rPr>
      </w:pPr>
      <w:r w:rsidRPr="00C65C01">
        <w:rPr>
          <w:iCs/>
        </w:rPr>
        <w:t xml:space="preserve">Artikel  43 (2) i </w:t>
      </w:r>
      <w:r w:rsidR="00823BC6" w:rsidRPr="00C65C01">
        <w:t>Fördraget om Europeiska Unionens funktionssätt</w:t>
      </w:r>
      <w:r w:rsidRPr="00C65C01">
        <w:rPr>
          <w:iCs/>
        </w:rPr>
        <w:t xml:space="preserve">. Beslut fattas enligt det ordinarie lagstiftningsförfarandet. </w:t>
      </w:r>
    </w:p>
    <w:p w:rsidR="002D4EF3" w:rsidRPr="00C65C01" w:rsidRDefault="002D4EF3" w:rsidP="002D4EF3">
      <w:pPr>
        <w:pStyle w:val="RKnormal"/>
        <w:rPr>
          <w:i/>
          <w:iCs/>
        </w:rPr>
      </w:pPr>
    </w:p>
    <w:p w:rsidR="002D4EF3" w:rsidRPr="00C65C01" w:rsidRDefault="002D4EF3" w:rsidP="002D4EF3">
      <w:pPr>
        <w:pStyle w:val="RKnormal"/>
        <w:rPr>
          <w:i/>
          <w:iCs/>
        </w:rPr>
      </w:pPr>
      <w:r w:rsidRPr="00C65C01">
        <w:rPr>
          <w:i/>
          <w:iCs/>
        </w:rPr>
        <w:t>Bakgrund</w:t>
      </w:r>
    </w:p>
    <w:p w:rsidR="002D4EF3" w:rsidRPr="00C65C01" w:rsidRDefault="002D4EF3" w:rsidP="002D4EF3">
      <w:pPr>
        <w:pStyle w:val="RKnormal"/>
        <w:rPr>
          <w:iCs/>
        </w:rPr>
      </w:pPr>
      <w:r w:rsidRPr="00C65C01">
        <w:rPr>
          <w:iCs/>
        </w:rPr>
        <w:t>Hösten 2008 presenterade k</w:t>
      </w:r>
      <w:r w:rsidR="00732024" w:rsidRPr="00C65C01">
        <w:rPr>
          <w:iCs/>
        </w:rPr>
        <w:t>ommissionen en s.k. g</w:t>
      </w:r>
      <w:r w:rsidRPr="00C65C01">
        <w:rPr>
          <w:iCs/>
        </w:rPr>
        <w:t xml:space="preserve">rönbok som behandlade några av de områden inom EU:s jordbrukspolitik som är knutna </w:t>
      </w:r>
      <w:r w:rsidR="00732024" w:rsidRPr="00C65C01">
        <w:rPr>
          <w:iCs/>
        </w:rPr>
        <w:t>till livsmedelskvalitet. I g</w:t>
      </w:r>
      <w:r w:rsidRPr="00C65C01">
        <w:rPr>
          <w:iCs/>
        </w:rPr>
        <w:t>rönboken ställdes ett antal frågor till EU:s medborgare, företag och institutioner i syfte att få in synpunkter på hur kvalitetsfrågorna ska hanteras i den framtida jordbrukspolitiken. Svaren som inkom sammanfattades i en kommunikation till rådet och parlamentet i maj 2009. Frågan behandlades sedan vid jordbruksrådet den 22-23 juni 2009 då rådslutsatser antogs. Därefter har kommissionen utarbetat ett förslag till ett lagstiftningspaket som även innehåller delar av nu gällande regelverk.</w:t>
      </w:r>
    </w:p>
    <w:p w:rsidR="002D4EF3" w:rsidRPr="00C65C01" w:rsidRDefault="002D4EF3" w:rsidP="002D4EF3">
      <w:pPr>
        <w:pStyle w:val="RKnormal"/>
        <w:rPr>
          <w:iCs/>
        </w:rPr>
      </w:pPr>
    </w:p>
    <w:p w:rsidR="002D4EF3" w:rsidRPr="00C65C01" w:rsidRDefault="002D4EF3" w:rsidP="002D4EF3">
      <w:pPr>
        <w:pStyle w:val="RKnormal"/>
        <w:rPr>
          <w:iCs/>
        </w:rPr>
      </w:pPr>
      <w:r w:rsidRPr="00C65C01">
        <w:rPr>
          <w:iCs/>
        </w:rPr>
        <w:t>Lagstiftningspaketet om livsmedelskvalitet – ”kvalitetspaketet” -  har tagits fram i syfte att skapa bättre förutsättningar för primär- och livsmedelsproducenter i EU att marknadsföra sina varor och tydligare kommunicera deras fördelar, som t.ex. hög kvalitet</w:t>
      </w:r>
      <w:r w:rsidRPr="00C65C01">
        <w:t xml:space="preserve"> eller att produkten kommer från ett visst geografiskt område eller har tillverkats med en traditionell metod.</w:t>
      </w:r>
      <w:r w:rsidRPr="00C65C01">
        <w:rPr>
          <w:iCs/>
        </w:rPr>
        <w:t xml:space="preserve"> Detta kommer konsumenterna till godo genom att det blir lättare för dem att göra medvetna val. Konsumenterna kan också känna sig trygga i att det är livsmedel av godkänd kvalitet som de köper. Kvalitetspaketet är dessutom ett led i regelförenklingsarbetet som bedrivs inom EU i syfte att minska företagares administrativa bördor. </w:t>
      </w:r>
    </w:p>
    <w:p w:rsidR="002D4EF3" w:rsidRPr="00C65C01" w:rsidRDefault="002D4EF3" w:rsidP="002D4EF3">
      <w:pPr>
        <w:pStyle w:val="RKnormal"/>
        <w:rPr>
          <w:iCs/>
        </w:rPr>
      </w:pPr>
    </w:p>
    <w:p w:rsidR="002D4EF3" w:rsidRPr="00C65C01" w:rsidRDefault="002D4EF3" w:rsidP="002D4EF3">
      <w:pPr>
        <w:pStyle w:val="RKnormal"/>
        <w:rPr>
          <w:iCs/>
        </w:rPr>
      </w:pPr>
      <w:r w:rsidRPr="00C65C01">
        <w:rPr>
          <w:iCs/>
        </w:rPr>
        <w:t xml:space="preserve">Kvalitetspaketet omfattar bl.a. handelsnormer för livsmedel och de olika formerna för skyddade beteckningar baserade på geografiskt ursprung och traditionell produktionsmetod samt övriga certifieringssystem. </w:t>
      </w:r>
    </w:p>
    <w:p w:rsidR="002D4EF3" w:rsidRPr="00C65C01" w:rsidRDefault="002D4EF3" w:rsidP="002D4EF3">
      <w:pPr>
        <w:pStyle w:val="RKnormal"/>
        <w:rPr>
          <w:iCs/>
        </w:rPr>
      </w:pPr>
    </w:p>
    <w:p w:rsidR="002D4EF3" w:rsidRPr="00C65C01" w:rsidRDefault="002D4EF3" w:rsidP="002D4EF3">
      <w:pPr>
        <w:pStyle w:val="RKnormal"/>
        <w:rPr>
          <w:iCs/>
        </w:rPr>
      </w:pPr>
      <w:r w:rsidRPr="00C65C01">
        <w:rPr>
          <w:iCs/>
        </w:rPr>
        <w:t>Paketet innehåller fyra delar:</w:t>
      </w:r>
    </w:p>
    <w:p w:rsidR="002D4EF3" w:rsidRPr="00C65C01" w:rsidRDefault="002D4EF3" w:rsidP="002D4EF3">
      <w:pPr>
        <w:pStyle w:val="RKnormal"/>
        <w:rPr>
          <w:iCs/>
        </w:rPr>
      </w:pPr>
    </w:p>
    <w:p w:rsidR="002D4EF3" w:rsidRPr="00C65C01" w:rsidRDefault="002D4EF3" w:rsidP="002D4EF3">
      <w:pPr>
        <w:pStyle w:val="RKnormal"/>
        <w:numPr>
          <w:ilvl w:val="0"/>
          <w:numId w:val="4"/>
        </w:numPr>
        <w:rPr>
          <w:iCs/>
        </w:rPr>
      </w:pPr>
      <w:r w:rsidRPr="00C65C01">
        <w:rPr>
          <w:iCs/>
        </w:rPr>
        <w:t>ny förordning om olika certifieringssystem, dvs. skyddade</w:t>
      </w:r>
      <w:r w:rsidRPr="00C65C01">
        <w:rPr>
          <w:rStyle w:val="Fotnotsreferens"/>
          <w:iCs/>
        </w:rPr>
        <w:footnoteReference w:id="1"/>
      </w:r>
      <w:r w:rsidRPr="00C65C01">
        <w:rPr>
          <w:iCs/>
        </w:rPr>
        <w:t xml:space="preserve"> beteckningar för vissa livsmedel</w:t>
      </w:r>
    </w:p>
    <w:p w:rsidR="002D4EF3" w:rsidRPr="00C65C01" w:rsidRDefault="002D4EF3" w:rsidP="002D4EF3">
      <w:pPr>
        <w:pStyle w:val="RKnormal"/>
        <w:numPr>
          <w:ilvl w:val="0"/>
          <w:numId w:val="4"/>
        </w:numPr>
        <w:rPr>
          <w:iCs/>
        </w:rPr>
      </w:pPr>
      <w:r w:rsidRPr="00C65C01">
        <w:rPr>
          <w:iCs/>
        </w:rPr>
        <w:t>ändringsförslag av nu gällande förordning om handelsnormer</w:t>
      </w:r>
    </w:p>
    <w:p w:rsidR="002D4EF3" w:rsidRPr="00C65C01" w:rsidRDefault="002D4EF3" w:rsidP="002D4EF3">
      <w:pPr>
        <w:pStyle w:val="RKnormal"/>
        <w:numPr>
          <w:ilvl w:val="0"/>
          <w:numId w:val="4"/>
        </w:numPr>
        <w:rPr>
          <w:iCs/>
        </w:rPr>
      </w:pPr>
      <w:r w:rsidRPr="00C65C01">
        <w:rPr>
          <w:iCs/>
        </w:rPr>
        <w:t>vägledning om märkning av livsmedel med skyddad beteckning</w:t>
      </w:r>
    </w:p>
    <w:p w:rsidR="002D4EF3" w:rsidRPr="00C65C01" w:rsidRDefault="002D4EF3" w:rsidP="002D4EF3">
      <w:pPr>
        <w:pStyle w:val="RKnormal"/>
        <w:numPr>
          <w:ilvl w:val="0"/>
          <w:numId w:val="4"/>
        </w:numPr>
        <w:rPr>
          <w:iCs/>
        </w:rPr>
      </w:pPr>
      <w:r w:rsidRPr="00C65C01">
        <w:rPr>
          <w:iCs/>
        </w:rPr>
        <w:t>vägledning om hur certifieringssystem kan utvecklas och genomföras</w:t>
      </w:r>
    </w:p>
    <w:p w:rsidR="002D4EF3" w:rsidRPr="00C65C01" w:rsidRDefault="002D4EF3" w:rsidP="002D4EF3">
      <w:pPr>
        <w:pStyle w:val="RKnormal"/>
        <w:rPr>
          <w:iCs/>
        </w:rPr>
      </w:pPr>
    </w:p>
    <w:p w:rsidR="002D4EF3" w:rsidRPr="00C65C01" w:rsidRDefault="002D4EF3" w:rsidP="002D4EF3">
      <w:pPr>
        <w:pStyle w:val="RKnormal"/>
        <w:rPr>
          <w:bCs/>
          <w:iCs/>
        </w:rPr>
      </w:pPr>
      <w:r w:rsidRPr="00C65C01">
        <w:rPr>
          <w:bCs/>
          <w:iCs/>
        </w:rPr>
        <w:t>Förslaget till lagstiftning bereds för närvarande inom kommissionen och beslut om förslaget förväntas fattas den 10 december.</w:t>
      </w:r>
    </w:p>
    <w:p w:rsidR="002D4EF3" w:rsidRPr="00C65C01" w:rsidRDefault="002D4EF3" w:rsidP="002D4EF3">
      <w:pPr>
        <w:pStyle w:val="RKnormal"/>
        <w:rPr>
          <w:iCs/>
        </w:rPr>
      </w:pPr>
      <w:r w:rsidRPr="00C65C01">
        <w:rPr>
          <w:iCs/>
        </w:rPr>
        <w:t xml:space="preserve"> </w:t>
      </w:r>
    </w:p>
    <w:p w:rsidR="002D4EF3" w:rsidRPr="00C65C01" w:rsidRDefault="002D4EF3" w:rsidP="002D4EF3">
      <w:pPr>
        <w:pStyle w:val="RKnormal"/>
        <w:rPr>
          <w:i/>
          <w:iCs/>
        </w:rPr>
      </w:pPr>
      <w:r w:rsidRPr="00C65C01">
        <w:rPr>
          <w:i/>
          <w:iCs/>
        </w:rPr>
        <w:t>Förslag till svensk ståndpunkt</w:t>
      </w:r>
    </w:p>
    <w:p w:rsidR="002D4EF3" w:rsidRPr="00C65C01" w:rsidRDefault="002D4EF3" w:rsidP="002D4EF3">
      <w:pPr>
        <w:pStyle w:val="RKnormal"/>
        <w:rPr>
          <w:iCs/>
        </w:rPr>
      </w:pPr>
      <w:r w:rsidRPr="00C65C01">
        <w:rPr>
          <w:iCs/>
        </w:rPr>
        <w:t>Regeringen välkomnar förslaget som förväntas leda till enklare regler för marknadsföring av livsmedel och bättre information till konsumenterna om livsmedlens kvalitet. Detta kommer såväl producenter som konsumenter till godo. Regeringen anser också att förslaget måste bidra till att minska primär- och livsmedelsproducenters administrativa bördor.</w:t>
      </w:r>
    </w:p>
    <w:p w:rsidR="002D4EF3" w:rsidRPr="00C65C01" w:rsidRDefault="002D4EF3" w:rsidP="002D4EF3">
      <w:pPr>
        <w:pStyle w:val="RKnormal"/>
        <w:rPr>
          <w:i/>
          <w:iCs/>
        </w:rPr>
      </w:pPr>
    </w:p>
    <w:p w:rsidR="002D4EF3" w:rsidRPr="00C65C01" w:rsidRDefault="002D4EF3" w:rsidP="002D4EF3">
      <w:pPr>
        <w:pStyle w:val="RKnormal"/>
        <w:rPr>
          <w:i/>
          <w:iCs/>
        </w:rPr>
      </w:pPr>
    </w:p>
    <w:p w:rsidR="002D4EF3" w:rsidRPr="00C65C01" w:rsidRDefault="002D4EF3" w:rsidP="002D4EF3">
      <w:pPr>
        <w:pStyle w:val="RKnormal"/>
        <w:rPr>
          <w:i/>
          <w:iCs/>
        </w:rPr>
      </w:pPr>
      <w:r w:rsidRPr="00C65C01">
        <w:rPr>
          <w:i/>
          <w:iCs/>
        </w:rPr>
        <w:t>EU-nämnden och MJU</w:t>
      </w:r>
    </w:p>
    <w:p w:rsidR="002D4EF3" w:rsidRPr="00C65C01" w:rsidRDefault="00534055" w:rsidP="002D4EF3">
      <w:pPr>
        <w:pStyle w:val="RKnormal"/>
      </w:pPr>
      <w:r w:rsidRPr="00C65C01">
        <w:t>Då g</w:t>
      </w:r>
      <w:r w:rsidR="002D4EF3" w:rsidRPr="00C65C01">
        <w:t xml:space="preserve">rönboken </w:t>
      </w:r>
      <w:r w:rsidRPr="00C65C01">
        <w:t xml:space="preserve">(KOM (2008) 641) </w:t>
      </w:r>
      <w:r w:rsidR="002D4EF3" w:rsidRPr="00C65C01">
        <w:t xml:space="preserve">presenterades den 15 oktober 2008 skrevs en faktapromemoria (2008/09: FPM38 Grönbok om jordbruksprodukters kvalitet) som </w:t>
      </w:r>
      <w:r w:rsidRPr="00C65C01">
        <w:t xml:space="preserve">skickades till </w:t>
      </w:r>
      <w:r w:rsidR="002D4EF3" w:rsidRPr="00C65C01">
        <w:t xml:space="preserve">riksdagen. </w:t>
      </w:r>
      <w:r w:rsidRPr="00C65C01">
        <w:t>Frågan var senast föremål för information i MJU och samråd i EUN inför  J</w:t>
      </w:r>
      <w:r w:rsidR="002D4EF3" w:rsidRPr="00C65C01">
        <w:t>ordbruks</w:t>
      </w:r>
      <w:r w:rsidRPr="00C65C01">
        <w:t>- och fiske</w:t>
      </w:r>
      <w:r w:rsidR="002D4EF3" w:rsidRPr="00C65C01">
        <w:t xml:space="preserve">rådet </w:t>
      </w:r>
      <w:r w:rsidRPr="00C65C01">
        <w:t xml:space="preserve">i </w:t>
      </w:r>
      <w:r w:rsidR="002D4EF3" w:rsidRPr="00C65C01">
        <w:t xml:space="preserve"> juni 2009,</w:t>
      </w:r>
      <w:r w:rsidRPr="00C65C01">
        <w:t xml:space="preserve"> </w:t>
      </w:r>
      <w:r w:rsidR="002D4EF3" w:rsidRPr="00C65C01">
        <w:t xml:space="preserve">då rådslutsatser antogs. </w:t>
      </w:r>
    </w:p>
    <w:p w:rsidR="002D4EF3" w:rsidRPr="00C65C01" w:rsidRDefault="002D4EF3" w:rsidP="002D4EF3">
      <w:pPr>
        <w:pStyle w:val="RKnormal"/>
      </w:pPr>
    </w:p>
    <w:p w:rsidR="002D4EF3" w:rsidRPr="00C65C01" w:rsidRDefault="002D4EF3" w:rsidP="002D4EF3"/>
    <w:p w:rsidR="002D4EF3" w:rsidRPr="00C65C01" w:rsidRDefault="002D4EF3" w:rsidP="003C4D14">
      <w:pPr>
        <w:pStyle w:val="RKnormal"/>
        <w:rPr>
          <w:i/>
          <w:iCs/>
        </w:rPr>
      </w:pPr>
    </w:p>
    <w:p w:rsidR="007367A2" w:rsidRPr="00C65C01" w:rsidRDefault="002339CD" w:rsidP="007367A2">
      <w:pPr>
        <w:pStyle w:val="RKrubrik"/>
        <w:rPr>
          <w:u w:val="single"/>
        </w:rPr>
      </w:pPr>
      <w:r w:rsidRPr="00C65C01">
        <w:rPr>
          <w:u w:val="single"/>
        </w:rPr>
        <w:t>Icke lagstiftande verksamhet</w:t>
      </w:r>
    </w:p>
    <w:p w:rsidR="007367A2" w:rsidRPr="00C65C01" w:rsidRDefault="007367A2" w:rsidP="00957745">
      <w:pPr>
        <w:pStyle w:val="RKrubrik"/>
      </w:pPr>
      <w:r w:rsidRPr="00C65C01">
        <w:t xml:space="preserve">9. </w:t>
      </w:r>
      <w:r w:rsidR="00957745" w:rsidRPr="00C65C01">
        <w:t>Meddelande från kommissionen till Europaparlamentet, rådet, Europeiska ekonomiska och sociala k</w:t>
      </w:r>
      <w:r w:rsidR="00312379" w:rsidRPr="00C65C01">
        <w:t xml:space="preserve">ommittén samt Regionkommittén: </w:t>
      </w:r>
      <w:r w:rsidR="00957745" w:rsidRPr="00C65C01">
        <w:t>Den gemensa</w:t>
      </w:r>
      <w:r w:rsidR="00312379" w:rsidRPr="00C65C01">
        <w:t xml:space="preserve">mma jordbrukspolitiken mot 2020 - </w:t>
      </w:r>
      <w:r w:rsidR="00957745" w:rsidRPr="00C65C01">
        <w:t>Att klara framtidens utmaningar i fråga om livsmedel, naturresurser och territoriell balans</w:t>
      </w:r>
      <w:r w:rsidR="00086F01" w:rsidRPr="00C65C01">
        <w:t xml:space="preserve"> </w:t>
      </w:r>
    </w:p>
    <w:p w:rsidR="007367A2" w:rsidRPr="00C65C01" w:rsidRDefault="007367A2" w:rsidP="007367A2">
      <w:pPr>
        <w:pStyle w:val="RKnormal"/>
        <w:rPr>
          <w:b/>
          <w:bCs/>
          <w:i/>
          <w:iCs/>
        </w:rPr>
      </w:pPr>
      <w:r w:rsidRPr="00C65C01">
        <w:rPr>
          <w:b/>
          <w:bCs/>
          <w:i/>
          <w:iCs/>
        </w:rPr>
        <w:t xml:space="preserve">- </w:t>
      </w:r>
      <w:r w:rsidR="00957745" w:rsidRPr="00C65C01">
        <w:rPr>
          <w:i/>
          <w:iCs/>
        </w:rPr>
        <w:t>Riktlinjedebatt</w:t>
      </w:r>
    </w:p>
    <w:p w:rsidR="007367A2" w:rsidRPr="00C65C01" w:rsidRDefault="007367A2" w:rsidP="007367A2">
      <w:pPr>
        <w:pStyle w:val="RKnormal"/>
        <w:rPr>
          <w:b/>
          <w:bCs/>
          <w:i/>
          <w:iCs/>
        </w:rPr>
      </w:pPr>
    </w:p>
    <w:p w:rsidR="007367A2" w:rsidRPr="00C65C01" w:rsidRDefault="007367A2" w:rsidP="007367A2">
      <w:pPr>
        <w:pStyle w:val="RKnormal"/>
        <w:rPr>
          <w:i/>
          <w:iCs/>
        </w:rPr>
      </w:pPr>
    </w:p>
    <w:p w:rsidR="00086F01" w:rsidRPr="00C65C01" w:rsidRDefault="00086F01" w:rsidP="00086F01">
      <w:pPr>
        <w:pStyle w:val="RKnormal"/>
        <w:rPr>
          <w:i/>
          <w:iCs/>
        </w:rPr>
      </w:pPr>
      <w:r w:rsidRPr="00C65C01">
        <w:rPr>
          <w:i/>
          <w:iCs/>
        </w:rPr>
        <w:t>Dokumentbeteckning</w:t>
      </w:r>
    </w:p>
    <w:p w:rsidR="00086F01" w:rsidRPr="00C65C01" w:rsidRDefault="00086F01" w:rsidP="00086F01">
      <w:pPr>
        <w:pStyle w:val="RKnormal"/>
        <w:rPr>
          <w:i/>
          <w:iCs/>
        </w:rPr>
      </w:pPr>
      <w:r w:rsidRPr="00C65C01">
        <w:t>16348/10 AGRI 477 AGRISTR 14 AGRIORG 51</w:t>
      </w:r>
    </w:p>
    <w:p w:rsidR="00086F01" w:rsidRPr="00C65C01" w:rsidRDefault="00086F01" w:rsidP="00086F01">
      <w:pPr>
        <w:pStyle w:val="RKnormal"/>
        <w:rPr>
          <w:i/>
          <w:iCs/>
        </w:rPr>
      </w:pPr>
    </w:p>
    <w:p w:rsidR="00086F01" w:rsidRPr="00C65C01" w:rsidRDefault="00086F01" w:rsidP="00086F01">
      <w:pPr>
        <w:pStyle w:val="RKnormal"/>
        <w:rPr>
          <w:i/>
          <w:iCs/>
        </w:rPr>
      </w:pPr>
      <w:r w:rsidRPr="00C65C01">
        <w:rPr>
          <w:i/>
          <w:iCs/>
        </w:rPr>
        <w:t>Rättslig grund</w:t>
      </w:r>
    </w:p>
    <w:p w:rsidR="00086F01" w:rsidRPr="00C65C01" w:rsidRDefault="00086F01" w:rsidP="00086F01">
      <w:pPr>
        <w:pStyle w:val="RKnormal"/>
        <w:rPr>
          <w:i/>
          <w:iCs/>
        </w:rPr>
      </w:pPr>
      <w:r w:rsidRPr="00C65C01">
        <w:t xml:space="preserve">Artikel 43 i Fördraget om Europeiska Unionens funktionssätt. </w:t>
      </w:r>
    </w:p>
    <w:p w:rsidR="00086F01" w:rsidRPr="00C65C01" w:rsidRDefault="00086F01" w:rsidP="00086F01">
      <w:pPr>
        <w:pStyle w:val="RKnormal"/>
      </w:pPr>
    </w:p>
    <w:p w:rsidR="00086F01" w:rsidRPr="00C65C01" w:rsidRDefault="00086F01" w:rsidP="00086F01">
      <w:pPr>
        <w:pStyle w:val="RKnormal"/>
        <w:rPr>
          <w:i/>
          <w:iCs/>
        </w:rPr>
      </w:pPr>
      <w:r w:rsidRPr="00C65C01">
        <w:rPr>
          <w:i/>
          <w:iCs/>
        </w:rPr>
        <w:t>Bakgrund</w:t>
      </w:r>
    </w:p>
    <w:p w:rsidR="00086F01" w:rsidRPr="00C65C01" w:rsidRDefault="00086F01" w:rsidP="00086F01">
      <w:pPr>
        <w:pStyle w:val="RKnormal"/>
        <w:rPr>
          <w:iCs/>
        </w:rPr>
      </w:pPr>
      <w:r w:rsidRPr="00C65C01">
        <w:rPr>
          <w:iCs/>
        </w:rPr>
        <w:t xml:space="preserve">Den 18 november presenterade kommissionen ett meddelande om jordbrukspolitiken. Meddelandet kommer att diskuteras i rådet i slutet av 2010 och under våren 2011. Det ungerska ordförandeskapet planerar rådslutsatser i mars. Parallellt med detta kommer Europaparlamentet att yttra sig i frågan. Ansvarig rapportör är den tyske kristdemokraten Albert Dess. Kommissionen kommer att presentera ett förordningsförslag sommaren 2011 som sannolikt kommer att antas under 2012. I oktober 2010 presenterades budgetöversynsmeddelandet,  i vilket det finns ett avsnitt om den gemensamma jordbrukspolitiken som stämmer väl överens med innehållet i meddelandet och jordbrukspolitiken. </w:t>
      </w:r>
    </w:p>
    <w:p w:rsidR="00086F01" w:rsidRPr="00C65C01" w:rsidRDefault="00086F01" w:rsidP="00086F01">
      <w:pPr>
        <w:pStyle w:val="RKnormal"/>
        <w:rPr>
          <w:iCs/>
        </w:rPr>
      </w:pPr>
    </w:p>
    <w:p w:rsidR="00086F01" w:rsidRPr="00C65C01" w:rsidRDefault="00086F01" w:rsidP="00086F01">
      <w:pPr>
        <w:pStyle w:val="RKnormal"/>
        <w:rPr>
          <w:rFonts w:cs="OrigGarmnd BT"/>
          <w:iCs/>
        </w:rPr>
      </w:pPr>
      <w:r w:rsidRPr="00C65C01">
        <w:rPr>
          <w:iCs/>
        </w:rPr>
        <w:t>I det nu aktuella meddelandet argumenterar kommissionen för att CAP även fortsättningsvis ska bestå av en stark gemensam jordbrukspolitik som är uppbyggd av två pelare. Den första pelaren ska bli grönare med en mer rättvis fördelning av medlen. Den andra pelaren ska fokusera på konkurrenskraft, innovation, miljö och klimat. Övergripande målsättningar för CAP är en t</w:t>
      </w:r>
      <w:r w:rsidRPr="00C65C01">
        <w:rPr>
          <w:rFonts w:cs="OrigGarmnd BT"/>
          <w:iCs/>
        </w:rPr>
        <w:t>ryggad livsmedelsförsörjning inom EU och ett globalt och hållbart nyttjande av naturresurser samt bibehållandet av levande landsbygder, där jordbruket utgör kärnverksamheten och skapar lokal sysselsättning.</w:t>
      </w:r>
    </w:p>
    <w:p w:rsidR="00086F01" w:rsidRPr="00C65C01" w:rsidRDefault="00086F01" w:rsidP="00086F01">
      <w:pPr>
        <w:pStyle w:val="RKnormal"/>
        <w:rPr>
          <w:rFonts w:cs="OrigGarmnd BT"/>
          <w:iCs/>
        </w:rPr>
      </w:pPr>
    </w:p>
    <w:p w:rsidR="00086F01" w:rsidRPr="00C65C01" w:rsidRDefault="00086F01" w:rsidP="00086F01">
      <w:pPr>
        <w:pStyle w:val="RKnormal"/>
        <w:rPr>
          <w:rFonts w:cs="OrigGarmnd BT"/>
          <w:iCs/>
        </w:rPr>
      </w:pPr>
      <w:r w:rsidRPr="00C65C01">
        <w:rPr>
          <w:rFonts w:cs="OrigGarmnd BT"/>
          <w:iCs/>
        </w:rPr>
        <w:t>Meddelandet diskuterades vid jordbruks- och fiskerådet den 29 november 2010. De flesta medlemsstaterna välkomnade kommissionens meddelande. Flera medlemsstater hade dock frågor kring framför allt definitionen av aktiva brukare och småbrukare. Många ville också se tydliga förenklingar av den gemensamma jordbrukspolitiken och ställde frågor kring hur en förgröning av den första pelaren kan utformas utan att det innebär ytterligare administrativa bördor.</w:t>
      </w:r>
    </w:p>
    <w:p w:rsidR="00086F01" w:rsidRPr="00C65C01" w:rsidRDefault="00086F01" w:rsidP="00086F01">
      <w:pPr>
        <w:pStyle w:val="RKnormal"/>
        <w:rPr>
          <w:iCs/>
        </w:rPr>
      </w:pPr>
    </w:p>
    <w:p w:rsidR="00086F01" w:rsidRPr="00C65C01" w:rsidRDefault="00086F01" w:rsidP="00086F01">
      <w:pPr>
        <w:pStyle w:val="RKnormal"/>
        <w:rPr>
          <w:i/>
          <w:iCs/>
        </w:rPr>
      </w:pPr>
      <w:r w:rsidRPr="00C65C01">
        <w:rPr>
          <w:i/>
          <w:iCs/>
        </w:rPr>
        <w:t>Förslag till svensk ståndpunkt</w:t>
      </w:r>
    </w:p>
    <w:p w:rsidR="00086F01" w:rsidRPr="00C65C01" w:rsidRDefault="00086F01" w:rsidP="00086F01">
      <w:pPr>
        <w:pStyle w:val="RKnormal"/>
        <w:rPr>
          <w:iCs/>
        </w:rPr>
      </w:pPr>
      <w:r w:rsidRPr="00C65C01">
        <w:rPr>
          <w:iCs/>
        </w:rPr>
        <w:t>Den allmänna svenska linjen är att det krävs fortsatt kraftfulla reformer av den gemensamma jordbrukspolitiken som leder till väsentligt lägre utgifter och ökad marknadsorientering. Sverige ska vara en konstruktiv förhandlingspart i syfte att få ett så stort inflytande som möjligt över slutresultatet. Direktstöden ska frikopplas helt, utjämnas genom att de högsta stöden sänks</w:t>
      </w:r>
      <w:r w:rsidR="00524BE0" w:rsidRPr="00C65C01">
        <w:rPr>
          <w:iCs/>
        </w:rPr>
        <w:t>,</w:t>
      </w:r>
      <w:r w:rsidRPr="00C65C01">
        <w:rPr>
          <w:iCs/>
        </w:rPr>
        <w:t xml:space="preserve"> och fasas ut. Sveriges målsättning är att marknadsstöden bör avskaffas senast 2013.</w:t>
      </w:r>
    </w:p>
    <w:p w:rsidR="00086F01" w:rsidRPr="00C65C01" w:rsidRDefault="00086F01" w:rsidP="00086F01">
      <w:pPr>
        <w:pStyle w:val="RKnormal"/>
        <w:rPr>
          <w:iCs/>
        </w:rPr>
      </w:pPr>
    </w:p>
    <w:p w:rsidR="00086F01" w:rsidRPr="00C65C01" w:rsidRDefault="00086F01" w:rsidP="00086F01">
      <w:pPr>
        <w:pStyle w:val="RKnormal"/>
        <w:rPr>
          <w:iCs/>
        </w:rPr>
      </w:pPr>
      <w:r w:rsidRPr="00C65C01">
        <w:rPr>
          <w:iCs/>
        </w:rPr>
        <w:t xml:space="preserve">Tillhandahållandet av gränsöverskridande kollektiva nyttigheter genom riktade åtgärder kommer även i fortsättningen att vara ett viktigt mål för EU och medlemsstaterna. Inom ramen för en minskning av jordbruksbudgeten förespråkar Sverige åtgärder för landsbygdsutveckling som bidrar till att tillhandahålla kollektiva nyttigheter. </w:t>
      </w:r>
    </w:p>
    <w:p w:rsidR="00086F01" w:rsidRPr="00C65C01" w:rsidRDefault="00086F01" w:rsidP="00086F01">
      <w:pPr>
        <w:pStyle w:val="RKnormal"/>
        <w:rPr>
          <w:iCs/>
        </w:rPr>
      </w:pPr>
    </w:p>
    <w:p w:rsidR="00086F01" w:rsidRPr="00C65C01" w:rsidRDefault="00086F01" w:rsidP="00086F01">
      <w:pPr>
        <w:pStyle w:val="RKnormal"/>
      </w:pPr>
      <w:r w:rsidRPr="00C65C01">
        <w:t>Det är i nuläget oklart hur kommissionen tänker utforma stöd till aktiva jordbrukare.  Sverige ställer sig försiktigt positiv till förslaget men behöver mer information för att kunna ta slutligt ställningstagande.   Sverige vill understryka att förslaget inte får innebära en återkoppling av stöden eller ökad administrativ börda.</w:t>
      </w:r>
    </w:p>
    <w:p w:rsidR="00086F01" w:rsidRPr="00C65C01" w:rsidRDefault="00086F01" w:rsidP="00086F01">
      <w:pPr>
        <w:pStyle w:val="RKnormal"/>
      </w:pPr>
    </w:p>
    <w:p w:rsidR="00086F01" w:rsidRPr="00C65C01" w:rsidRDefault="00086F01" w:rsidP="00086F01">
      <w:pPr>
        <w:pStyle w:val="RKnormal"/>
        <w:rPr>
          <w:iCs/>
        </w:rPr>
      </w:pPr>
      <w:r w:rsidRPr="00C65C01">
        <w:rPr>
          <w:iCs/>
        </w:rPr>
        <w:t xml:space="preserve">Sverige beklagar att kommissionens meddelande inte är mer ambitiöst vad gäller fortsatta reformer och en ökad marknadsorientering. Såväl marknadsstöden som de kopplade direktstöden föreslås fortsätta, vilket inte är i linje med den svenska ståndpunkten. Sverige välkomnar dock förslaget att jämna ut stödnivåerna mellan medlemsstaterna. </w:t>
      </w:r>
    </w:p>
    <w:p w:rsidR="00086F01" w:rsidRPr="00C65C01" w:rsidRDefault="00086F01" w:rsidP="00086F01">
      <w:pPr>
        <w:pStyle w:val="RKnormal"/>
        <w:rPr>
          <w:iCs/>
        </w:rPr>
      </w:pPr>
    </w:p>
    <w:p w:rsidR="00086F01" w:rsidRPr="00C65C01" w:rsidRDefault="00086F01" w:rsidP="00086F01">
      <w:pPr>
        <w:pStyle w:val="RKnormal"/>
        <w:rPr>
          <w:iCs/>
        </w:rPr>
      </w:pPr>
      <w:r w:rsidRPr="00C65C01">
        <w:rPr>
          <w:iCs/>
        </w:rPr>
        <w:t>Sverige anser också att det är nödvändigt med viss styrning av medel inom landsbygdsprogrammet, i synnerhet till miljöinsatser.</w:t>
      </w:r>
    </w:p>
    <w:p w:rsidR="00086F01" w:rsidRPr="00C65C01" w:rsidRDefault="00086F01" w:rsidP="00086F01">
      <w:pPr>
        <w:pStyle w:val="RKnormal"/>
        <w:rPr>
          <w:iCs/>
        </w:rPr>
      </w:pPr>
      <w:r w:rsidRPr="00C65C01">
        <w:rPr>
          <w:iCs/>
        </w:rPr>
        <w:t xml:space="preserve"> </w:t>
      </w:r>
    </w:p>
    <w:p w:rsidR="00086F01" w:rsidRPr="00C65C01" w:rsidRDefault="00086F01" w:rsidP="00086F01">
      <w:pPr>
        <w:pStyle w:val="RKnormal"/>
        <w:rPr>
          <w:iCs/>
        </w:rPr>
      </w:pPr>
      <w:r w:rsidRPr="00C65C01">
        <w:rPr>
          <w:iCs/>
        </w:rPr>
        <w:t xml:space="preserve">Sverige saknar också kraftfulla förenklingsförslag i kommissionens förslag. </w:t>
      </w:r>
    </w:p>
    <w:p w:rsidR="00086F01" w:rsidRPr="00C65C01" w:rsidRDefault="00086F01" w:rsidP="00086F01">
      <w:pPr>
        <w:pStyle w:val="RKnormal"/>
        <w:rPr>
          <w:i/>
          <w:iCs/>
        </w:rPr>
      </w:pPr>
    </w:p>
    <w:p w:rsidR="00086F01" w:rsidRPr="00C65C01" w:rsidRDefault="00086F01" w:rsidP="00086F01">
      <w:pPr>
        <w:pStyle w:val="RKnormal"/>
        <w:rPr>
          <w:i/>
          <w:iCs/>
        </w:rPr>
      </w:pPr>
    </w:p>
    <w:p w:rsidR="00086F01" w:rsidRPr="00C65C01" w:rsidRDefault="00086F01" w:rsidP="00086F01">
      <w:pPr>
        <w:pStyle w:val="RKnormal"/>
        <w:rPr>
          <w:i/>
          <w:iCs/>
        </w:rPr>
      </w:pPr>
      <w:r w:rsidRPr="00C65C01">
        <w:rPr>
          <w:i/>
          <w:iCs/>
        </w:rPr>
        <w:t>MJU och EU-nämnden</w:t>
      </w:r>
    </w:p>
    <w:p w:rsidR="00BD2ECD" w:rsidRPr="00C65C01" w:rsidRDefault="00BD2ECD" w:rsidP="00BD2ECD">
      <w:pPr>
        <w:pStyle w:val="RKnormal"/>
      </w:pPr>
      <w:r w:rsidRPr="00C65C01">
        <w:t xml:space="preserve">Kommissionens meddelande om CAP var föremål för information i  MJU och samråd med EU-nämnden inför Jordbruks- och fiskerådet i november 2010. </w:t>
      </w:r>
    </w:p>
    <w:p w:rsidR="00BD2ECD" w:rsidRPr="00C65C01" w:rsidRDefault="00BD2ECD" w:rsidP="00086F01">
      <w:pPr>
        <w:pStyle w:val="RKnormal"/>
        <w:rPr>
          <w:i/>
          <w:iCs/>
        </w:rPr>
      </w:pPr>
    </w:p>
    <w:p w:rsidR="00BD2ECD" w:rsidRPr="00C65C01" w:rsidRDefault="00BD2ECD" w:rsidP="00387A25">
      <w:pPr>
        <w:pStyle w:val="RKnormal"/>
        <w:rPr>
          <w:i/>
          <w:iCs/>
        </w:rPr>
      </w:pPr>
    </w:p>
    <w:p w:rsidR="007367A2" w:rsidRPr="00C65C01" w:rsidRDefault="007367A2" w:rsidP="00957745">
      <w:pPr>
        <w:pStyle w:val="RKrubrik"/>
      </w:pPr>
      <w:r w:rsidRPr="00C65C01">
        <w:t xml:space="preserve">10. </w:t>
      </w:r>
      <w:r w:rsidR="00957745" w:rsidRPr="00C65C01">
        <w:t>Kommissionens kvartalsrapport om mejerimarknaden</w:t>
      </w:r>
    </w:p>
    <w:p w:rsidR="00D41754" w:rsidRPr="00C65C01" w:rsidRDefault="00D41754" w:rsidP="00D41754">
      <w:pPr>
        <w:pStyle w:val="RKnormal"/>
        <w:rPr>
          <w:b/>
          <w:bCs/>
          <w:i/>
          <w:iCs/>
        </w:rPr>
      </w:pPr>
      <w:r w:rsidRPr="00C65C01">
        <w:rPr>
          <w:b/>
          <w:bCs/>
          <w:i/>
          <w:iCs/>
        </w:rPr>
        <w:t>-</w:t>
      </w:r>
      <w:r w:rsidR="00312379" w:rsidRPr="00C65C01">
        <w:rPr>
          <w:b/>
          <w:bCs/>
          <w:i/>
          <w:iCs/>
        </w:rPr>
        <w:t>Föredragning</w:t>
      </w:r>
      <w:r w:rsidRPr="00C65C01">
        <w:rPr>
          <w:b/>
          <w:bCs/>
          <w:i/>
          <w:iCs/>
        </w:rPr>
        <w:t xml:space="preserve"> av kommissionen</w:t>
      </w:r>
    </w:p>
    <w:p w:rsidR="00D41754" w:rsidRPr="00C65C01" w:rsidRDefault="00D41754" w:rsidP="00D41754">
      <w:pPr>
        <w:pStyle w:val="RKnormal"/>
        <w:rPr>
          <w:i/>
          <w:iCs/>
        </w:rPr>
      </w:pPr>
    </w:p>
    <w:p w:rsidR="00312379" w:rsidRPr="00C65C01" w:rsidRDefault="00D41754" w:rsidP="00312379">
      <w:pPr>
        <w:pStyle w:val="RKnormal"/>
        <w:rPr>
          <w:i/>
          <w:iCs/>
        </w:rPr>
      </w:pPr>
      <w:r w:rsidRPr="00C65C01">
        <w:rPr>
          <w:i/>
          <w:iCs/>
        </w:rPr>
        <w:t>Dokumentbeteckning</w:t>
      </w:r>
    </w:p>
    <w:p w:rsidR="00312379" w:rsidRPr="00C65C01" w:rsidRDefault="00312379" w:rsidP="00312379">
      <w:pPr>
        <w:pStyle w:val="RKnormal"/>
        <w:rPr>
          <w:i/>
          <w:iCs/>
        </w:rPr>
      </w:pPr>
      <w:r w:rsidRPr="00C65C01">
        <w:t>17244/10 AGRIORG 59</w:t>
      </w:r>
    </w:p>
    <w:p w:rsidR="00D41754" w:rsidRPr="00C65C01" w:rsidRDefault="00D41754" w:rsidP="00D41754">
      <w:pPr>
        <w:pStyle w:val="RKnormal"/>
        <w:rPr>
          <w:i/>
          <w:iCs/>
        </w:rPr>
      </w:pPr>
    </w:p>
    <w:p w:rsidR="00D41754" w:rsidRPr="00C65C01" w:rsidRDefault="00D41754" w:rsidP="00D41754">
      <w:pPr>
        <w:pStyle w:val="RKnormal"/>
        <w:rPr>
          <w:i/>
          <w:iCs/>
        </w:rPr>
      </w:pPr>
      <w:r w:rsidRPr="00C65C01">
        <w:rPr>
          <w:i/>
          <w:iCs/>
        </w:rPr>
        <w:t>Rättslig grund</w:t>
      </w:r>
    </w:p>
    <w:p w:rsidR="00D41754" w:rsidRPr="00C65C01" w:rsidRDefault="00312379" w:rsidP="00D41754">
      <w:pPr>
        <w:pStyle w:val="RKnormal"/>
        <w:rPr>
          <w:i/>
          <w:iCs/>
        </w:rPr>
      </w:pPr>
      <w:r w:rsidRPr="00C65C01">
        <w:rPr>
          <w:i/>
          <w:iCs/>
        </w:rPr>
        <w:t>-</w:t>
      </w:r>
    </w:p>
    <w:p w:rsidR="0061393A" w:rsidRPr="00C65C01" w:rsidRDefault="0061393A" w:rsidP="00D41754">
      <w:pPr>
        <w:pStyle w:val="RKnormal"/>
        <w:rPr>
          <w:i/>
          <w:iCs/>
        </w:rPr>
      </w:pPr>
    </w:p>
    <w:p w:rsidR="00D41754" w:rsidRPr="00C65C01" w:rsidRDefault="00D41754" w:rsidP="00D41754">
      <w:pPr>
        <w:pStyle w:val="RKnormal"/>
        <w:rPr>
          <w:i/>
          <w:iCs/>
        </w:rPr>
      </w:pPr>
      <w:r w:rsidRPr="00C65C01">
        <w:rPr>
          <w:i/>
          <w:iCs/>
        </w:rPr>
        <w:t>Bakgrund</w:t>
      </w:r>
    </w:p>
    <w:p w:rsidR="00D41754" w:rsidRPr="00C65C01" w:rsidRDefault="00D41754" w:rsidP="00D41754">
      <w:pPr>
        <w:rPr>
          <w:iCs/>
        </w:rPr>
      </w:pPr>
      <w:r w:rsidRPr="00C65C01">
        <w:rPr>
          <w:iCs/>
        </w:rPr>
        <w:t>På grund av kraftig volatilitet på mjölkmarknaden har kommissionen beslutat att kvartalsvis för Rådet presentera en analys av den senaste utvecklingen. Sedan kommissionens senaste kvartalsrapport har priset på mjölkråvara varit relativt konstant. Kommissionens rapport finns ännu inte tillgänglig, men Jordbruksdepartementet gör bedömningen att den kommer att visa på endast mindre förändringar av prisbilden.</w:t>
      </w:r>
    </w:p>
    <w:p w:rsidR="00D41754" w:rsidRPr="00C65C01" w:rsidRDefault="00D41754" w:rsidP="00D41754">
      <w:pPr>
        <w:pStyle w:val="RKnormal"/>
        <w:rPr>
          <w:iCs/>
        </w:rPr>
      </w:pPr>
      <w:r w:rsidRPr="00C65C01">
        <w:rPr>
          <w:iCs/>
        </w:rPr>
        <w:t xml:space="preserve"> </w:t>
      </w:r>
    </w:p>
    <w:p w:rsidR="00D41754" w:rsidRPr="00C65C01" w:rsidRDefault="00D41754" w:rsidP="00D41754">
      <w:pPr>
        <w:pStyle w:val="RKnormal"/>
        <w:rPr>
          <w:i/>
          <w:iCs/>
        </w:rPr>
      </w:pPr>
      <w:r w:rsidRPr="00C65C01">
        <w:rPr>
          <w:i/>
          <w:iCs/>
        </w:rPr>
        <w:t>Förslag till svensk ståndpunkt</w:t>
      </w:r>
    </w:p>
    <w:p w:rsidR="00D41754" w:rsidRPr="00C65C01" w:rsidRDefault="0061393A" w:rsidP="00D41754">
      <w:pPr>
        <w:pStyle w:val="RKnormal"/>
        <w:rPr>
          <w:iCs/>
        </w:rPr>
      </w:pPr>
      <w:r w:rsidRPr="00C65C01">
        <w:rPr>
          <w:iCs/>
        </w:rPr>
        <w:t xml:space="preserve">Regeringen </w:t>
      </w:r>
      <w:r w:rsidR="00D41754" w:rsidRPr="00C65C01">
        <w:rPr>
          <w:iCs/>
        </w:rPr>
        <w:t>välkomna</w:t>
      </w:r>
      <w:r w:rsidRPr="00C65C01">
        <w:rPr>
          <w:iCs/>
        </w:rPr>
        <w:t>r rapporten</w:t>
      </w:r>
      <w:r w:rsidR="00D41754" w:rsidRPr="00C65C01">
        <w:rPr>
          <w:iCs/>
        </w:rPr>
        <w:t xml:space="preserve">. </w:t>
      </w:r>
    </w:p>
    <w:p w:rsidR="00D41754" w:rsidRPr="00C65C01" w:rsidRDefault="00D41754" w:rsidP="00D41754">
      <w:pPr>
        <w:pStyle w:val="RKnormal"/>
        <w:rPr>
          <w:i/>
          <w:iCs/>
        </w:rPr>
      </w:pPr>
    </w:p>
    <w:p w:rsidR="00D41754" w:rsidRPr="00C65C01" w:rsidRDefault="00D41754" w:rsidP="00D41754">
      <w:pPr>
        <w:pStyle w:val="RKnormal"/>
        <w:rPr>
          <w:i/>
          <w:iCs/>
        </w:rPr>
      </w:pPr>
      <w:r w:rsidRPr="00C65C01">
        <w:rPr>
          <w:i/>
          <w:iCs/>
        </w:rPr>
        <w:t>EU-nämnden</w:t>
      </w:r>
      <w:r w:rsidR="00312379" w:rsidRPr="00C65C01">
        <w:rPr>
          <w:i/>
          <w:iCs/>
        </w:rPr>
        <w:t xml:space="preserve"> </w:t>
      </w:r>
      <w:r w:rsidRPr="00C65C01">
        <w:rPr>
          <w:i/>
          <w:iCs/>
        </w:rPr>
        <w:t>och MJU</w:t>
      </w:r>
    </w:p>
    <w:p w:rsidR="00D41754" w:rsidRPr="00C65C01" w:rsidRDefault="00D41754" w:rsidP="00D41754">
      <w:pPr>
        <w:pStyle w:val="RKnormal"/>
      </w:pPr>
      <w:r w:rsidRPr="00C65C01">
        <w:t>Den nu aktuella rapporten har inte tidigare varit föremål för samråd med EU-nämnden eller för information i MJU. Kommissionens senaste kvartalsrapport var dock föremål för samråd</w:t>
      </w:r>
      <w:r w:rsidR="00986266" w:rsidRPr="00C65C01">
        <w:t xml:space="preserve"> och information </w:t>
      </w:r>
      <w:r w:rsidRPr="00C65C01">
        <w:t>inför Jordbruks- och fiskerådet i september 2010.</w:t>
      </w:r>
    </w:p>
    <w:p w:rsidR="007367A2" w:rsidRPr="00C65C01" w:rsidRDefault="00957745" w:rsidP="00957745">
      <w:pPr>
        <w:pStyle w:val="RKrubrik"/>
      </w:pPr>
      <w:r w:rsidRPr="00C65C01">
        <w:t>11. Rapport från kommissionen till Europaparlamentet och rådet: Utveckling av situationen på marknaden och villkoren för gradvis utfasning av systemet med mjölkkvoter</w:t>
      </w:r>
    </w:p>
    <w:p w:rsidR="007367A2" w:rsidRPr="00C65C01" w:rsidRDefault="007367A2" w:rsidP="007367A2"/>
    <w:p w:rsidR="00957745" w:rsidRPr="00C65C01" w:rsidRDefault="00957745" w:rsidP="00957745">
      <w:pPr>
        <w:pStyle w:val="RKnormal"/>
        <w:rPr>
          <w:b/>
          <w:bCs/>
          <w:i/>
          <w:iCs/>
        </w:rPr>
      </w:pPr>
      <w:r w:rsidRPr="00C65C01">
        <w:rPr>
          <w:b/>
          <w:bCs/>
          <w:i/>
          <w:iCs/>
        </w:rPr>
        <w:t>-</w:t>
      </w:r>
      <w:r w:rsidR="0061393A" w:rsidRPr="00C65C01">
        <w:rPr>
          <w:b/>
          <w:bCs/>
          <w:i/>
          <w:iCs/>
        </w:rPr>
        <w:t xml:space="preserve"> P</w:t>
      </w:r>
      <w:r w:rsidRPr="00C65C01">
        <w:rPr>
          <w:b/>
          <w:bCs/>
          <w:i/>
          <w:iCs/>
        </w:rPr>
        <w:t>resentation av kommissionen</w:t>
      </w:r>
    </w:p>
    <w:p w:rsidR="00957745" w:rsidRPr="00C65C01" w:rsidRDefault="00957745" w:rsidP="00957745">
      <w:pPr>
        <w:pStyle w:val="RKnormal"/>
        <w:rPr>
          <w:i/>
          <w:iCs/>
        </w:rPr>
      </w:pPr>
    </w:p>
    <w:p w:rsidR="00957745" w:rsidRPr="00C65C01" w:rsidRDefault="00957745" w:rsidP="00957745">
      <w:pPr>
        <w:pStyle w:val="RKnormal"/>
        <w:rPr>
          <w:i/>
        </w:rPr>
      </w:pPr>
      <w:r w:rsidRPr="00C65C01">
        <w:rPr>
          <w:i/>
        </w:rPr>
        <w:t>Dokumentbeteckning</w:t>
      </w:r>
    </w:p>
    <w:p w:rsidR="00957745" w:rsidRPr="00C65C01" w:rsidRDefault="00957745" w:rsidP="00957745">
      <w:pPr>
        <w:pStyle w:val="RKnormal"/>
        <w:rPr>
          <w:i/>
          <w:iCs/>
        </w:rPr>
      </w:pPr>
      <w:r w:rsidRPr="00C65C01">
        <w:t>17243/10 AGRI 512 AGRIORG 58</w:t>
      </w:r>
    </w:p>
    <w:p w:rsidR="00957745" w:rsidRPr="00C65C01" w:rsidRDefault="00957745" w:rsidP="00957745">
      <w:pPr>
        <w:pStyle w:val="RKnormal"/>
        <w:rPr>
          <w:i/>
          <w:iCs/>
        </w:rPr>
      </w:pPr>
    </w:p>
    <w:p w:rsidR="00957745" w:rsidRPr="00C65C01" w:rsidRDefault="00957745" w:rsidP="00957745">
      <w:pPr>
        <w:pStyle w:val="RKnormal"/>
        <w:rPr>
          <w:i/>
          <w:iCs/>
        </w:rPr>
      </w:pPr>
      <w:r w:rsidRPr="00C65C01">
        <w:rPr>
          <w:i/>
          <w:iCs/>
        </w:rPr>
        <w:t>Rättslig grund</w:t>
      </w:r>
    </w:p>
    <w:p w:rsidR="00957745" w:rsidRPr="00C65C01" w:rsidRDefault="00957745" w:rsidP="00957745">
      <w:pPr>
        <w:pStyle w:val="RKnormal"/>
        <w:rPr>
          <w:i/>
          <w:iCs/>
        </w:rPr>
      </w:pPr>
      <w:r w:rsidRPr="00C65C01">
        <w:rPr>
          <w:i/>
          <w:iCs/>
        </w:rPr>
        <w:t>-</w:t>
      </w:r>
    </w:p>
    <w:p w:rsidR="00957745" w:rsidRPr="00C65C01" w:rsidRDefault="00957745" w:rsidP="00957745">
      <w:pPr>
        <w:pStyle w:val="RKnormal"/>
        <w:rPr>
          <w:i/>
          <w:iCs/>
        </w:rPr>
      </w:pPr>
    </w:p>
    <w:p w:rsidR="00957745" w:rsidRPr="00C65C01" w:rsidRDefault="00957745" w:rsidP="00957745">
      <w:pPr>
        <w:pStyle w:val="RKnormal"/>
        <w:rPr>
          <w:i/>
          <w:iCs/>
        </w:rPr>
      </w:pPr>
      <w:r w:rsidRPr="00C65C01">
        <w:rPr>
          <w:i/>
          <w:iCs/>
        </w:rPr>
        <w:t>Bakgrund</w:t>
      </w:r>
    </w:p>
    <w:p w:rsidR="00957745" w:rsidRPr="00C65C01" w:rsidRDefault="00957745" w:rsidP="00957745">
      <w:pPr>
        <w:pStyle w:val="RKnormal"/>
        <w:rPr>
          <w:iCs/>
        </w:rPr>
      </w:pPr>
      <w:r w:rsidRPr="00C65C01">
        <w:rPr>
          <w:iCs/>
        </w:rPr>
        <w:t>I samband med den så kallade hälsokontrollen av den gemensamma jordbrukspolitiken som genomfördes 2009 beslutades att de europeiska mjölkkvoterna ska utfasas genom stegvisa kvotökningar och slutligen avvecklas år 2015. I beslutet från 2009 ingår även att kommissionen före den 31 december 2010 och den 31 december 2012 ska lägga fram en rapport om utvecklingen av marknadssituationen och tillhörande villkor för smidig utfasning av systemet med mjölkkvoter, samt vid behov åtföljt av lämpliga förslag.</w:t>
      </w:r>
    </w:p>
    <w:p w:rsidR="00957745" w:rsidRPr="00C65C01" w:rsidRDefault="00957745" w:rsidP="00957745">
      <w:pPr>
        <w:pStyle w:val="RKnormal"/>
        <w:rPr>
          <w:iCs/>
        </w:rPr>
      </w:pPr>
    </w:p>
    <w:p w:rsidR="00957745" w:rsidRPr="00C65C01" w:rsidRDefault="00957745" w:rsidP="00957745">
      <w:pPr>
        <w:pStyle w:val="RKnormal"/>
        <w:rPr>
          <w:iCs/>
        </w:rPr>
      </w:pPr>
      <w:r w:rsidRPr="00C65C01">
        <w:rPr>
          <w:iCs/>
        </w:rPr>
        <w:t>Kommissionens rapport har ännu inte offentliggjorts, men Jordbruksdepartementet bedömer att den kommer att visa på en minskad betydelse för kvotsystemet då endast ett fåtal medlemsstater idag överskrider sina nationella mjölkkvoter.</w:t>
      </w:r>
    </w:p>
    <w:p w:rsidR="00957745" w:rsidRPr="00C65C01" w:rsidRDefault="00957745" w:rsidP="00957745">
      <w:pPr>
        <w:pStyle w:val="RKnormal"/>
        <w:rPr>
          <w:i/>
          <w:iCs/>
        </w:rPr>
      </w:pPr>
    </w:p>
    <w:p w:rsidR="00957745" w:rsidRPr="00C65C01" w:rsidRDefault="00957745" w:rsidP="00957745">
      <w:pPr>
        <w:pStyle w:val="RKnormal"/>
        <w:rPr>
          <w:i/>
          <w:iCs/>
        </w:rPr>
      </w:pPr>
      <w:r w:rsidRPr="00C65C01">
        <w:rPr>
          <w:i/>
          <w:iCs/>
        </w:rPr>
        <w:t>Förslag till svensk ståndpunkt</w:t>
      </w:r>
    </w:p>
    <w:p w:rsidR="00957745" w:rsidRPr="00C65C01" w:rsidRDefault="0061393A" w:rsidP="00957745">
      <w:pPr>
        <w:pStyle w:val="RKnormal"/>
        <w:rPr>
          <w:iCs/>
        </w:rPr>
      </w:pPr>
      <w:r w:rsidRPr="00C65C01">
        <w:rPr>
          <w:iCs/>
        </w:rPr>
        <w:t xml:space="preserve">Regeringen </w:t>
      </w:r>
      <w:r w:rsidR="00957745" w:rsidRPr="00C65C01">
        <w:rPr>
          <w:iCs/>
        </w:rPr>
        <w:t>välkomnar kommissionens rapport.</w:t>
      </w:r>
    </w:p>
    <w:p w:rsidR="00312379" w:rsidRPr="00C65C01" w:rsidRDefault="00312379" w:rsidP="00957745">
      <w:pPr>
        <w:pStyle w:val="RKnormal"/>
        <w:rPr>
          <w:iCs/>
        </w:rPr>
      </w:pPr>
    </w:p>
    <w:p w:rsidR="00957745" w:rsidRPr="00C65C01" w:rsidRDefault="00312379" w:rsidP="00957745">
      <w:pPr>
        <w:pStyle w:val="RKnormal"/>
        <w:rPr>
          <w:i/>
          <w:iCs/>
        </w:rPr>
      </w:pPr>
      <w:r w:rsidRPr="00C65C01">
        <w:rPr>
          <w:i/>
          <w:iCs/>
        </w:rPr>
        <w:t xml:space="preserve">MJU och </w:t>
      </w:r>
      <w:r w:rsidR="00957745" w:rsidRPr="00C65C01">
        <w:rPr>
          <w:i/>
          <w:iCs/>
        </w:rPr>
        <w:t>EU-nämnden</w:t>
      </w:r>
    </w:p>
    <w:p w:rsidR="00957745" w:rsidRPr="00C65C01" w:rsidRDefault="00957745" w:rsidP="00957745">
      <w:pPr>
        <w:pStyle w:val="RKnormal"/>
      </w:pPr>
      <w:r w:rsidRPr="00C65C01">
        <w:t xml:space="preserve">Frågan har inte tidigare varit föremål för samråd med EU-nämnden eller för information i MJU. </w:t>
      </w:r>
    </w:p>
    <w:p w:rsidR="00312379" w:rsidRPr="00C65C01" w:rsidRDefault="00312379" w:rsidP="009A424D">
      <w:pPr>
        <w:pStyle w:val="RKrubrik"/>
      </w:pPr>
    </w:p>
    <w:p w:rsidR="009A424D" w:rsidRPr="00C65C01" w:rsidRDefault="009A424D" w:rsidP="009A424D">
      <w:pPr>
        <w:pStyle w:val="RKrubrik"/>
      </w:pPr>
      <w:r w:rsidRPr="00C65C01">
        <w:t>Lunchdiskussion: Framtiden för den gemensamma jordbrukspolitiken – definition av en aktiv jordbrukare</w:t>
      </w:r>
    </w:p>
    <w:p w:rsidR="00AD602F" w:rsidRPr="00C65C01" w:rsidRDefault="00AD602F" w:rsidP="00AD602F">
      <w:pPr>
        <w:pStyle w:val="RKnormal"/>
        <w:rPr>
          <w:i/>
          <w:iCs/>
        </w:rPr>
      </w:pPr>
    </w:p>
    <w:p w:rsidR="0061393A" w:rsidRPr="00C65C01" w:rsidRDefault="0061393A" w:rsidP="0061393A">
      <w:pPr>
        <w:pStyle w:val="RKnormal"/>
        <w:rPr>
          <w:i/>
          <w:iCs/>
        </w:rPr>
      </w:pPr>
      <w:r w:rsidRPr="00C65C01">
        <w:rPr>
          <w:i/>
          <w:iCs/>
        </w:rPr>
        <w:t>Dokumentbeteckning</w:t>
      </w:r>
    </w:p>
    <w:p w:rsidR="0061393A" w:rsidRPr="00C65C01" w:rsidRDefault="00700D5F" w:rsidP="0061393A">
      <w:pPr>
        <w:pStyle w:val="RKnormal"/>
        <w:rPr>
          <w:iCs/>
        </w:rPr>
      </w:pPr>
      <w:r w:rsidRPr="00C65C01">
        <w:rPr>
          <w:iCs/>
        </w:rPr>
        <w:t>Dokument saknas.</w:t>
      </w:r>
    </w:p>
    <w:p w:rsidR="0061393A" w:rsidRPr="00C65C01" w:rsidRDefault="0061393A" w:rsidP="0061393A">
      <w:pPr>
        <w:pStyle w:val="RKnormal"/>
        <w:rPr>
          <w:i/>
          <w:iCs/>
        </w:rPr>
      </w:pPr>
    </w:p>
    <w:p w:rsidR="0061393A" w:rsidRPr="00C65C01" w:rsidRDefault="0061393A" w:rsidP="0061393A">
      <w:pPr>
        <w:pStyle w:val="RKnormal"/>
        <w:rPr>
          <w:i/>
          <w:iCs/>
        </w:rPr>
      </w:pPr>
      <w:r w:rsidRPr="00C65C01">
        <w:rPr>
          <w:i/>
          <w:iCs/>
        </w:rPr>
        <w:t>Rättslig grund</w:t>
      </w:r>
    </w:p>
    <w:p w:rsidR="0061393A" w:rsidRPr="00C65C01" w:rsidRDefault="0061393A" w:rsidP="0061393A">
      <w:pPr>
        <w:pStyle w:val="RKnormal"/>
        <w:rPr>
          <w:i/>
          <w:iCs/>
        </w:rPr>
      </w:pPr>
      <w:r w:rsidRPr="00C65C01">
        <w:rPr>
          <w:i/>
          <w:iCs/>
        </w:rPr>
        <w:t>-</w:t>
      </w:r>
    </w:p>
    <w:p w:rsidR="0061393A" w:rsidRPr="00C65C01" w:rsidRDefault="0061393A" w:rsidP="0061393A">
      <w:pPr>
        <w:pStyle w:val="RKnormal"/>
        <w:rPr>
          <w:i/>
          <w:iCs/>
        </w:rPr>
      </w:pPr>
    </w:p>
    <w:p w:rsidR="0061393A" w:rsidRPr="00C65C01" w:rsidRDefault="0061393A" w:rsidP="0061393A">
      <w:pPr>
        <w:pStyle w:val="RKnormal"/>
        <w:rPr>
          <w:i/>
          <w:iCs/>
        </w:rPr>
      </w:pPr>
      <w:r w:rsidRPr="00C65C01">
        <w:rPr>
          <w:i/>
          <w:iCs/>
        </w:rPr>
        <w:t>Bakgrund</w:t>
      </w:r>
    </w:p>
    <w:p w:rsidR="0061393A" w:rsidRPr="00C65C01" w:rsidRDefault="0061393A" w:rsidP="0061393A">
      <w:pPr>
        <w:pStyle w:val="RKnormal"/>
        <w:rPr>
          <w:iCs/>
        </w:rPr>
      </w:pPr>
      <w:r w:rsidRPr="00C65C01">
        <w:rPr>
          <w:iCs/>
        </w:rPr>
        <w:t xml:space="preserve">I kommissionens meddelande om framtiden för den gemensamma jordbrukspolitiken efter 2013 från den 18 november föreslår kommissionen att direktstöd ska riktas till aktiva brukare. Kommissionen redogör inte närmare för ett hur ett sådant system ska utformas, vilket föranledde ett antal frågor  vid jordbruks- och fiskerådet den 29 november 2010. </w:t>
      </w:r>
    </w:p>
    <w:p w:rsidR="0061393A" w:rsidRPr="00C65C01" w:rsidRDefault="0061393A" w:rsidP="0061393A">
      <w:pPr>
        <w:pStyle w:val="RKnormal"/>
        <w:rPr>
          <w:i/>
          <w:iCs/>
        </w:rPr>
      </w:pPr>
    </w:p>
    <w:p w:rsidR="0061393A" w:rsidRPr="00C65C01" w:rsidRDefault="0061393A" w:rsidP="0061393A">
      <w:pPr>
        <w:pStyle w:val="RKnormal"/>
        <w:rPr>
          <w:i/>
          <w:iCs/>
        </w:rPr>
      </w:pPr>
      <w:r w:rsidRPr="00C65C01">
        <w:rPr>
          <w:i/>
          <w:iCs/>
        </w:rPr>
        <w:t xml:space="preserve">Förslag till svensk ståndpunkt </w:t>
      </w:r>
    </w:p>
    <w:p w:rsidR="0061393A" w:rsidRPr="00C65C01" w:rsidRDefault="000F5BE8" w:rsidP="0061393A">
      <w:pPr>
        <w:pStyle w:val="RKnormal"/>
      </w:pPr>
      <w:r w:rsidRPr="00C65C01">
        <w:t xml:space="preserve">Regeringen </w:t>
      </w:r>
      <w:r w:rsidR="0061393A" w:rsidRPr="00C65C01">
        <w:t xml:space="preserve">ställer sig positiv till förslag om att stödet i större utsträckning ska riktas till aktiva brukare. Det är dock i nuläget oklart hur detta ska utformas. För </w:t>
      </w:r>
      <w:r w:rsidRPr="00C65C01">
        <w:t xml:space="preserve">regeringen </w:t>
      </w:r>
      <w:r w:rsidR="0061393A" w:rsidRPr="00C65C01">
        <w:t>är det viktigt att det inte innebär en återkoppling av stöden och inte heller en ökad administrativ börda.</w:t>
      </w:r>
    </w:p>
    <w:p w:rsidR="0061393A" w:rsidRPr="00C65C01" w:rsidRDefault="0061393A" w:rsidP="0061393A">
      <w:pPr>
        <w:pStyle w:val="RKnormal"/>
        <w:rPr>
          <w:i/>
          <w:iCs/>
        </w:rPr>
      </w:pPr>
    </w:p>
    <w:p w:rsidR="0061393A" w:rsidRPr="00C65C01" w:rsidRDefault="0061393A" w:rsidP="0061393A">
      <w:pPr>
        <w:pStyle w:val="RKnormal"/>
        <w:rPr>
          <w:i/>
          <w:iCs/>
        </w:rPr>
      </w:pPr>
      <w:r w:rsidRPr="00C65C01">
        <w:rPr>
          <w:i/>
          <w:iCs/>
        </w:rPr>
        <w:t>EU-nämnden och MJU</w:t>
      </w:r>
    </w:p>
    <w:p w:rsidR="0061393A" w:rsidRPr="00C65C01" w:rsidRDefault="0061393A" w:rsidP="0061393A">
      <w:pPr>
        <w:pStyle w:val="RKnormal"/>
      </w:pPr>
      <w:r w:rsidRPr="00C65C01">
        <w:t>Denna fråga är en del av diskussionen om den framtida gemensamma jordbrukspolitiken efter 2013</w:t>
      </w:r>
      <w:r w:rsidR="00986266" w:rsidRPr="00C65C01">
        <w:t>,</w:t>
      </w:r>
      <w:r w:rsidRPr="00C65C01">
        <w:t xml:space="preserve"> som senast var föremål för information </w:t>
      </w:r>
      <w:r w:rsidR="00986266" w:rsidRPr="00C65C01">
        <w:t xml:space="preserve">i </w:t>
      </w:r>
      <w:r w:rsidRPr="00C65C01">
        <w:t xml:space="preserve"> MJU</w:t>
      </w:r>
      <w:r w:rsidR="00986266" w:rsidRPr="00C65C01">
        <w:t>och</w:t>
      </w:r>
      <w:r w:rsidRPr="00C65C01">
        <w:t xml:space="preserve"> samråd med EU-nämnden </w:t>
      </w:r>
      <w:r w:rsidR="00986266" w:rsidRPr="00C65C01">
        <w:t xml:space="preserve">inför Jordbruks- och fiskerådet i </w:t>
      </w:r>
      <w:r w:rsidRPr="00C65C01">
        <w:t xml:space="preserve">november 2010. </w:t>
      </w:r>
    </w:p>
    <w:p w:rsidR="007367A2" w:rsidRPr="00C65C01" w:rsidRDefault="007367A2" w:rsidP="007367A2">
      <w:pPr>
        <w:pStyle w:val="RKnormal"/>
        <w:rPr>
          <w:b/>
          <w:i/>
        </w:rPr>
      </w:pPr>
    </w:p>
    <w:p w:rsidR="007367A2" w:rsidRPr="00C65C01" w:rsidRDefault="007367A2" w:rsidP="007367A2"/>
    <w:p w:rsidR="00BE74D9" w:rsidRPr="00C65C01" w:rsidRDefault="00BE74D9"/>
    <w:sectPr w:rsidR="00BE74D9" w:rsidRPr="00C65C01" w:rsidSect="007367A2">
      <w:headerReference w:type="even" r:id="rId7"/>
      <w:headerReference w:type="default" r:id="rId8"/>
      <w:headerReference w:type="first" r:id="rId9"/>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2010" w:rsidRPr="00C65C01" w:rsidRDefault="005A2010">
      <w:r w:rsidRPr="00C65C01">
        <w:separator/>
      </w:r>
    </w:p>
  </w:endnote>
  <w:endnote w:type="continuationSeparator" w:id="0">
    <w:p w:rsidR="005A2010" w:rsidRPr="00C65C01" w:rsidRDefault="005A2010">
      <w:r w:rsidRPr="00C65C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2010" w:rsidRPr="00C65C01" w:rsidRDefault="005A2010">
      <w:r w:rsidRPr="00C65C01">
        <w:separator/>
      </w:r>
    </w:p>
  </w:footnote>
  <w:footnote w:type="continuationSeparator" w:id="0">
    <w:p w:rsidR="005A2010" w:rsidRPr="00C65C01" w:rsidRDefault="005A2010">
      <w:r w:rsidRPr="00C65C01">
        <w:continuationSeparator/>
      </w:r>
    </w:p>
  </w:footnote>
  <w:footnote w:id="1">
    <w:p w:rsidR="00891A4B" w:rsidRPr="00C65C01" w:rsidRDefault="00891A4B" w:rsidP="002D4EF3">
      <w:pPr>
        <w:pStyle w:val="Fotnotstext"/>
      </w:pPr>
      <w:r w:rsidRPr="00C65C01">
        <w:rPr>
          <w:rStyle w:val="Fotnotsreferens"/>
        </w:rPr>
        <w:footnoteRef/>
      </w:r>
      <w:r w:rsidRPr="00C65C01">
        <w:t xml:space="preserve"> Till de viktigaste skyddade beteckningarna hör PDO (Protected Designations of Origin), PGI (Protected Geographical Indications) och TSG (Traditional Speciality Guaranteed).  Livsmedelsproducenter kan ansöka om skyddad beteckning för sina produkter baserad på t.ex. följande krieterier: Produkterna härstammar från och förädlas i ett bestämt geografiskt område, har egenskaper som beror naturliga och mänskliga faktorer i detta område eller har en viss kvalitet eller annan egenskap som man förknippar med området.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A4B" w:rsidRPr="00C65C01" w:rsidRDefault="00891A4B">
    <w:pPr>
      <w:pStyle w:val="Sidhuvud"/>
      <w:framePr w:wrap="around" w:vAnchor="text" w:hAnchor="margin" w:xAlign="right" w:y="1"/>
      <w:rPr>
        <w:rStyle w:val="Sidnummer"/>
      </w:rPr>
    </w:pPr>
    <w:r w:rsidRPr="00C65C01">
      <w:rPr>
        <w:rStyle w:val="Sidnummer"/>
      </w:rPr>
      <w:fldChar w:fldCharType="begin" w:fldLock="1"/>
    </w:r>
    <w:r w:rsidRPr="00C65C01">
      <w:rPr>
        <w:rStyle w:val="Sidnummer"/>
      </w:rPr>
      <w:instrText xml:space="preserve">PAGE  </w:instrText>
    </w:r>
    <w:r w:rsidRPr="00C65C01">
      <w:rPr>
        <w:rStyle w:val="Sidnummer"/>
      </w:rPr>
      <w:fldChar w:fldCharType="separate"/>
    </w:r>
    <w:r w:rsidRPr="00C65C01">
      <w:rPr>
        <w:rStyle w:val="Sidnummer"/>
      </w:rPr>
      <w:t>2</w:t>
    </w:r>
    <w:r w:rsidRPr="00C65C01">
      <w:rPr>
        <w:rStyle w:val="Sidnummer"/>
      </w:rPr>
      <w:fldChar w:fldCharType="end"/>
    </w:r>
  </w:p>
  <w:p w:rsidR="00891A4B" w:rsidRPr="00C65C01" w:rsidRDefault="00891A4B">
    <w:pPr>
      <w:pStyle w:val="Sidhuvud"/>
      <w:ind w:right="360"/>
    </w:pPr>
  </w:p>
  <w:p w:rsidR="00891A4B" w:rsidRPr="00C65C01" w:rsidRDefault="00891A4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A4B" w:rsidRPr="00C65C01" w:rsidRDefault="00891A4B">
    <w:pPr>
      <w:pStyle w:val="Sidhuvud"/>
      <w:framePr w:wrap="around" w:vAnchor="text" w:hAnchor="margin" w:xAlign="right" w:y="1"/>
      <w:rPr>
        <w:rStyle w:val="Sidnummer"/>
      </w:rPr>
    </w:pPr>
    <w:r w:rsidRPr="00C65C01">
      <w:rPr>
        <w:rStyle w:val="Sidnummer"/>
      </w:rPr>
      <w:fldChar w:fldCharType="begin" w:fldLock="1"/>
    </w:r>
    <w:r w:rsidRPr="00C65C01">
      <w:rPr>
        <w:rStyle w:val="Sidnummer"/>
      </w:rPr>
      <w:instrText xml:space="preserve">PAGE  </w:instrText>
    </w:r>
    <w:r w:rsidRPr="00C65C01">
      <w:rPr>
        <w:rStyle w:val="Sidnummer"/>
      </w:rPr>
      <w:fldChar w:fldCharType="separate"/>
    </w:r>
    <w:r w:rsidR="00D01984" w:rsidRPr="00C65C01">
      <w:rPr>
        <w:rStyle w:val="Sidnummer"/>
      </w:rPr>
      <w:t>11</w:t>
    </w:r>
    <w:r w:rsidRPr="00C65C01">
      <w:rPr>
        <w:rStyle w:val="Sidnummer"/>
      </w:rPr>
      <w:fldChar w:fldCharType="end"/>
    </w:r>
  </w:p>
  <w:p w:rsidR="00891A4B" w:rsidRPr="00C65C01" w:rsidRDefault="00891A4B">
    <w:pPr>
      <w:pStyle w:val="Sidhuvud"/>
      <w:ind w:right="360"/>
    </w:pPr>
  </w:p>
  <w:p w:rsidR="00891A4B" w:rsidRPr="00C65C01" w:rsidRDefault="00891A4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A4B" w:rsidRPr="00C65C01" w:rsidRDefault="00C65C01">
    <w:pPr>
      <w:framePr w:w="2948" w:h="1321" w:hRule="exact" w:wrap="notBeside" w:vAnchor="page" w:hAnchor="page" w:x="1362" w:y="653"/>
    </w:pPr>
    <w:r w:rsidRPr="00C65C01">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891A4B" w:rsidRPr="00C65C01" w:rsidRDefault="00891A4B">
    <w:pPr>
      <w:pStyle w:val="RKrubrik"/>
      <w:keepNext w:val="0"/>
      <w:tabs>
        <w:tab w:val="clear" w:pos="1134"/>
        <w:tab w:val="clear" w:pos="2835"/>
      </w:tabs>
      <w:spacing w:before="0" w:after="0" w:line="320" w:lineRule="atLeast"/>
      <w:rPr>
        <w:bCs/>
      </w:rPr>
    </w:pPr>
  </w:p>
  <w:p w:rsidR="00891A4B" w:rsidRPr="00C65C01" w:rsidRDefault="00891A4B">
    <w:pPr>
      <w:rPr>
        <w:rFonts w:ascii="TradeGothic" w:hAnsi="TradeGothic"/>
        <w:b/>
        <w:bCs/>
        <w:spacing w:val="12"/>
        <w:sz w:val="22"/>
      </w:rPr>
    </w:pPr>
  </w:p>
  <w:p w:rsidR="00891A4B" w:rsidRPr="00C65C01" w:rsidRDefault="00891A4B">
    <w:pPr>
      <w:pStyle w:val="RKrubrik"/>
      <w:keepNext w:val="0"/>
      <w:tabs>
        <w:tab w:val="clear" w:pos="1134"/>
        <w:tab w:val="clear" w:pos="2835"/>
      </w:tabs>
      <w:spacing w:before="0" w:after="0" w:line="320" w:lineRule="atLeast"/>
      <w:rPr>
        <w:bCs/>
      </w:rPr>
    </w:pPr>
  </w:p>
  <w:p w:rsidR="00891A4B" w:rsidRPr="00C65C01" w:rsidRDefault="00891A4B">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C304214"/>
    <w:lvl w:ilvl="0">
      <w:numFmt w:val="bullet"/>
      <w:lvlText w:val="*"/>
      <w:lvlJc w:val="left"/>
    </w:lvl>
  </w:abstractNum>
  <w:abstractNum w:abstractNumId="1" w15:restartNumberingAfterBreak="0">
    <w:nsid w:val="14857587"/>
    <w:multiLevelType w:val="hybridMultilevel"/>
    <w:tmpl w:val="1130A33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9A4F4E"/>
    <w:multiLevelType w:val="hybridMultilevel"/>
    <w:tmpl w:val="32706F5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560DE6"/>
    <w:multiLevelType w:val="hybridMultilevel"/>
    <w:tmpl w:val="B530687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D00B3D"/>
    <w:multiLevelType w:val="hybridMultilevel"/>
    <w:tmpl w:val="BB7ADAA0"/>
    <w:lvl w:ilvl="0" w:tplc="041D0001">
      <w:start w:val="1"/>
      <w:numFmt w:val="bullet"/>
      <w:lvlText w:val=""/>
      <w:lvlJc w:val="left"/>
      <w:pPr>
        <w:tabs>
          <w:tab w:val="num" w:pos="780"/>
        </w:tabs>
        <w:ind w:left="780" w:hanging="360"/>
      </w:pPr>
      <w:rPr>
        <w:rFonts w:ascii="Symbol" w:hAnsi="Symbol" w:hint="default"/>
      </w:rPr>
    </w:lvl>
    <w:lvl w:ilvl="1" w:tplc="041D0003" w:tentative="1">
      <w:start w:val="1"/>
      <w:numFmt w:val="bullet"/>
      <w:lvlText w:val="o"/>
      <w:lvlJc w:val="left"/>
      <w:pPr>
        <w:tabs>
          <w:tab w:val="num" w:pos="1500"/>
        </w:tabs>
        <w:ind w:left="1500" w:hanging="360"/>
      </w:pPr>
      <w:rPr>
        <w:rFonts w:ascii="Courier New" w:hAnsi="Courier New" w:cs="Courier New" w:hint="default"/>
      </w:rPr>
    </w:lvl>
    <w:lvl w:ilvl="2" w:tplc="041D0005" w:tentative="1">
      <w:start w:val="1"/>
      <w:numFmt w:val="bullet"/>
      <w:lvlText w:val=""/>
      <w:lvlJc w:val="left"/>
      <w:pPr>
        <w:tabs>
          <w:tab w:val="num" w:pos="2220"/>
        </w:tabs>
        <w:ind w:left="2220" w:hanging="360"/>
      </w:pPr>
      <w:rPr>
        <w:rFonts w:ascii="Wingdings" w:hAnsi="Wingdings" w:hint="default"/>
      </w:rPr>
    </w:lvl>
    <w:lvl w:ilvl="3" w:tplc="041D0001" w:tentative="1">
      <w:start w:val="1"/>
      <w:numFmt w:val="bullet"/>
      <w:lvlText w:val=""/>
      <w:lvlJc w:val="left"/>
      <w:pPr>
        <w:tabs>
          <w:tab w:val="num" w:pos="2940"/>
        </w:tabs>
        <w:ind w:left="2940" w:hanging="360"/>
      </w:pPr>
      <w:rPr>
        <w:rFonts w:ascii="Symbol" w:hAnsi="Symbol" w:hint="default"/>
      </w:rPr>
    </w:lvl>
    <w:lvl w:ilvl="4" w:tplc="041D0003" w:tentative="1">
      <w:start w:val="1"/>
      <w:numFmt w:val="bullet"/>
      <w:lvlText w:val="o"/>
      <w:lvlJc w:val="left"/>
      <w:pPr>
        <w:tabs>
          <w:tab w:val="num" w:pos="3660"/>
        </w:tabs>
        <w:ind w:left="3660" w:hanging="360"/>
      </w:pPr>
      <w:rPr>
        <w:rFonts w:ascii="Courier New" w:hAnsi="Courier New" w:cs="Courier New" w:hint="default"/>
      </w:rPr>
    </w:lvl>
    <w:lvl w:ilvl="5" w:tplc="041D0005" w:tentative="1">
      <w:start w:val="1"/>
      <w:numFmt w:val="bullet"/>
      <w:lvlText w:val=""/>
      <w:lvlJc w:val="left"/>
      <w:pPr>
        <w:tabs>
          <w:tab w:val="num" w:pos="4380"/>
        </w:tabs>
        <w:ind w:left="4380" w:hanging="360"/>
      </w:pPr>
      <w:rPr>
        <w:rFonts w:ascii="Wingdings" w:hAnsi="Wingdings" w:hint="default"/>
      </w:rPr>
    </w:lvl>
    <w:lvl w:ilvl="6" w:tplc="041D0001" w:tentative="1">
      <w:start w:val="1"/>
      <w:numFmt w:val="bullet"/>
      <w:lvlText w:val=""/>
      <w:lvlJc w:val="left"/>
      <w:pPr>
        <w:tabs>
          <w:tab w:val="num" w:pos="5100"/>
        </w:tabs>
        <w:ind w:left="5100" w:hanging="360"/>
      </w:pPr>
      <w:rPr>
        <w:rFonts w:ascii="Symbol" w:hAnsi="Symbol" w:hint="default"/>
      </w:rPr>
    </w:lvl>
    <w:lvl w:ilvl="7" w:tplc="041D0003" w:tentative="1">
      <w:start w:val="1"/>
      <w:numFmt w:val="bullet"/>
      <w:lvlText w:val="o"/>
      <w:lvlJc w:val="left"/>
      <w:pPr>
        <w:tabs>
          <w:tab w:val="num" w:pos="5820"/>
        </w:tabs>
        <w:ind w:left="5820" w:hanging="360"/>
      </w:pPr>
      <w:rPr>
        <w:rFonts w:ascii="Courier New" w:hAnsi="Courier New" w:cs="Courier New" w:hint="default"/>
      </w:rPr>
    </w:lvl>
    <w:lvl w:ilvl="8" w:tplc="041D0005" w:tentative="1">
      <w:start w:val="1"/>
      <w:numFmt w:val="bullet"/>
      <w:lvlText w:val=""/>
      <w:lvlJc w:val="left"/>
      <w:pPr>
        <w:tabs>
          <w:tab w:val="num" w:pos="6540"/>
        </w:tabs>
        <w:ind w:left="6540" w:hanging="360"/>
      </w:pPr>
      <w:rPr>
        <w:rFonts w:ascii="Wingdings" w:hAnsi="Wingdings" w:hint="default"/>
      </w:rPr>
    </w:lvl>
  </w:abstractNum>
  <w:num w:numId="1" w16cid:durableId="605431314">
    <w:abstractNumId w:val="3"/>
  </w:num>
  <w:num w:numId="2" w16cid:durableId="733702192">
    <w:abstractNumId w:val="4"/>
  </w:num>
  <w:num w:numId="3" w16cid:durableId="1383872668">
    <w:abstractNumId w:val="0"/>
    <w:lvlOverride w:ilvl="0">
      <w:lvl w:ilvl="0">
        <w:numFmt w:val="bullet"/>
        <w:lvlText w:val="•"/>
        <w:legacy w:legacy="1" w:legacySpace="0" w:legacyIndent="0"/>
        <w:lvlJc w:val="left"/>
        <w:rPr>
          <w:rFonts w:ascii="Helv" w:hAnsi="Helv" w:hint="default"/>
        </w:rPr>
      </w:lvl>
    </w:lvlOverride>
  </w:num>
  <w:num w:numId="4" w16cid:durableId="1986158664">
    <w:abstractNumId w:val="2"/>
  </w:num>
  <w:num w:numId="5" w16cid:durableId="2112582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7A2"/>
    <w:rsid w:val="00086F01"/>
    <w:rsid w:val="000F299D"/>
    <w:rsid w:val="000F5BE8"/>
    <w:rsid w:val="001B1A77"/>
    <w:rsid w:val="002339CD"/>
    <w:rsid w:val="002A5F78"/>
    <w:rsid w:val="002C527E"/>
    <w:rsid w:val="002D4EF3"/>
    <w:rsid w:val="00310022"/>
    <w:rsid w:val="00312379"/>
    <w:rsid w:val="00347057"/>
    <w:rsid w:val="00352949"/>
    <w:rsid w:val="00387A25"/>
    <w:rsid w:val="003C4D14"/>
    <w:rsid w:val="00473250"/>
    <w:rsid w:val="00481D96"/>
    <w:rsid w:val="00524BE0"/>
    <w:rsid w:val="00534055"/>
    <w:rsid w:val="005550C7"/>
    <w:rsid w:val="005A2010"/>
    <w:rsid w:val="005C5CCE"/>
    <w:rsid w:val="0061393A"/>
    <w:rsid w:val="00700D5F"/>
    <w:rsid w:val="00732024"/>
    <w:rsid w:val="007367A2"/>
    <w:rsid w:val="007A542E"/>
    <w:rsid w:val="00823BC6"/>
    <w:rsid w:val="008848F3"/>
    <w:rsid w:val="00891A4B"/>
    <w:rsid w:val="00893E7F"/>
    <w:rsid w:val="008A0E66"/>
    <w:rsid w:val="008A37B4"/>
    <w:rsid w:val="00957745"/>
    <w:rsid w:val="00986266"/>
    <w:rsid w:val="009A424D"/>
    <w:rsid w:val="009B3D74"/>
    <w:rsid w:val="009D5F2F"/>
    <w:rsid w:val="00AA4F63"/>
    <w:rsid w:val="00AC2BAF"/>
    <w:rsid w:val="00AD602F"/>
    <w:rsid w:val="00B068EE"/>
    <w:rsid w:val="00B20806"/>
    <w:rsid w:val="00BD2ECD"/>
    <w:rsid w:val="00BE74D9"/>
    <w:rsid w:val="00C65C01"/>
    <w:rsid w:val="00CC3B93"/>
    <w:rsid w:val="00CE531F"/>
    <w:rsid w:val="00D01984"/>
    <w:rsid w:val="00D41754"/>
    <w:rsid w:val="00DB4995"/>
    <w:rsid w:val="00E53B7B"/>
    <w:rsid w:val="00E8748D"/>
    <w:rsid w:val="00EF41C6"/>
    <w:rsid w:val="00EF4701"/>
    <w:rsid w:val="00F01185"/>
    <w:rsid w:val="00F64C69"/>
    <w:rsid w:val="00F81B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17CDBDC-BA2D-489E-B5AA-0E60EB22A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67A2"/>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7367A2"/>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7367A2"/>
    <w:pPr>
      <w:tabs>
        <w:tab w:val="center" w:pos="4153"/>
        <w:tab w:val="right" w:pos="8306"/>
      </w:tabs>
    </w:pPr>
  </w:style>
  <w:style w:type="paragraph" w:customStyle="1" w:styleId="RKnormal">
    <w:name w:val="RKnormal"/>
    <w:basedOn w:val="Normal"/>
    <w:link w:val="RKnormalChar"/>
    <w:rsid w:val="007367A2"/>
    <w:pPr>
      <w:tabs>
        <w:tab w:val="left" w:pos="2835"/>
      </w:tabs>
      <w:spacing w:line="240" w:lineRule="atLeast"/>
    </w:pPr>
  </w:style>
  <w:style w:type="paragraph" w:customStyle="1" w:styleId="RKrubrik">
    <w:name w:val="RKrubrik"/>
    <w:basedOn w:val="RKnormal"/>
    <w:next w:val="RKnormal"/>
    <w:link w:val="RKrubrikChar"/>
    <w:rsid w:val="007367A2"/>
    <w:pPr>
      <w:keepNext/>
      <w:tabs>
        <w:tab w:val="left" w:pos="1134"/>
      </w:tabs>
      <w:spacing w:before="360" w:after="120"/>
    </w:pPr>
    <w:rPr>
      <w:rFonts w:ascii="TradeGothic" w:hAnsi="TradeGothic"/>
      <w:b/>
      <w:sz w:val="22"/>
    </w:rPr>
  </w:style>
  <w:style w:type="character" w:styleId="Sidnummer">
    <w:name w:val="page number"/>
    <w:basedOn w:val="Standardstycketeckensnitt"/>
    <w:rsid w:val="007367A2"/>
  </w:style>
  <w:style w:type="character" w:customStyle="1" w:styleId="RKnormalChar">
    <w:name w:val="RKnormal Char"/>
    <w:basedOn w:val="Standardstycketeckensnitt"/>
    <w:link w:val="RKnormal"/>
    <w:rsid w:val="007367A2"/>
    <w:rPr>
      <w:rFonts w:ascii="OrigGarmnd BT" w:hAnsi="OrigGarmnd BT"/>
      <w:sz w:val="24"/>
      <w:lang w:val="sv-SE" w:eastAsia="en-US" w:bidi="ar-SA"/>
    </w:rPr>
  </w:style>
  <w:style w:type="character" w:customStyle="1" w:styleId="RKrubrikChar">
    <w:name w:val="RKrubrik Char"/>
    <w:basedOn w:val="Standardstycketeckensnitt"/>
    <w:link w:val="RKrubrik"/>
    <w:locked/>
    <w:rsid w:val="007367A2"/>
    <w:rPr>
      <w:rFonts w:ascii="TradeGothic" w:hAnsi="TradeGothic"/>
      <w:b/>
      <w:sz w:val="22"/>
      <w:lang w:val="sv-SE" w:eastAsia="en-US" w:bidi="ar-SA"/>
    </w:rPr>
  </w:style>
  <w:style w:type="paragraph" w:styleId="Fotnotstext">
    <w:name w:val="footnote text"/>
    <w:basedOn w:val="Normal"/>
    <w:semiHidden/>
    <w:rsid w:val="001B1A77"/>
    <w:rPr>
      <w:sz w:val="20"/>
    </w:rPr>
  </w:style>
  <w:style w:type="character" w:styleId="Fotnotsreferens">
    <w:name w:val="footnote reference"/>
    <w:basedOn w:val="Standardstycketeckensnitt"/>
    <w:semiHidden/>
    <w:rsid w:val="001B1A77"/>
    <w:rPr>
      <w:vertAlign w:val="superscript"/>
    </w:rPr>
  </w:style>
  <w:style w:type="paragraph" w:styleId="Brdtextmedindrag2">
    <w:name w:val="Body Text Indent 2"/>
    <w:basedOn w:val="Normal"/>
    <w:rsid w:val="00F64C69"/>
    <w:pPr>
      <w:tabs>
        <w:tab w:val="left" w:pos="1304"/>
        <w:tab w:val="left" w:pos="2410"/>
        <w:tab w:val="left" w:pos="2608"/>
        <w:tab w:val="left" w:pos="3913"/>
        <w:tab w:val="left" w:pos="5217"/>
        <w:tab w:val="left" w:pos="6522"/>
        <w:tab w:val="left" w:pos="7826"/>
        <w:tab w:val="left" w:pos="9130"/>
        <w:tab w:val="left" w:pos="10435"/>
      </w:tabs>
      <w:overflowPunct/>
      <w:autoSpaceDE/>
      <w:autoSpaceDN/>
      <w:adjustRightInd/>
      <w:spacing w:line="240" w:lineRule="auto"/>
      <w:ind w:left="2552"/>
      <w:textAlignment w:val="auto"/>
    </w:pPr>
    <w:rPr>
      <w:rFonts w:ascii="CG Times" w:hAnsi="CG Times"/>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2537</Words>
  <Characters>16522</Characters>
  <Application>Microsoft Office Word</Application>
  <DocSecurity>4</DocSecurity>
  <Lines>472</Lines>
  <Paragraphs>167</Paragraphs>
  <ScaleCrop>false</ScaleCrop>
  <HeadingPairs>
    <vt:vector size="2" baseType="variant">
      <vt:variant>
        <vt:lpstr>Rubrik</vt:lpstr>
      </vt:variant>
      <vt:variant>
        <vt:i4>1</vt:i4>
      </vt:variant>
    </vt:vector>
  </HeadingPairs>
  <TitlesOfParts>
    <vt:vector size="1" baseType="lpstr">
      <vt:lpstr>Utkast 2010-11-30</vt:lpstr>
    </vt:vector>
  </TitlesOfParts>
  <Company>Regeringskansliet</Company>
  <LinksUpToDate>false</LinksUpToDate>
  <CharactersWithSpaces>18892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Utkast 2010-11-30</dc:title>
  <dc:subject>Utkast 2010-11-30</dc:subject>
  <dc:creator>Riksdagen</dc:creator>
  <cp:keywords>Riksdagen</cp:keywords>
  <dc:description/>
  <cp:lastModifiedBy>Lars Brink</cp:lastModifiedBy>
  <cp:revision>2</cp:revision>
  <cp:lastPrinted>2010-12-03T13:54:00Z</cp:lastPrinted>
  <dcterms:created xsi:type="dcterms:W3CDTF">2025-12-18T03:53:00Z</dcterms:created>
  <dcterms:modified xsi:type="dcterms:W3CDTF">2025-12-18T03:53:00Z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Jordbruksdepartementet</vt:lpwstr>
  </property>
  <property fmtid="{D5CDD505-2E9C-101B-9397-08002B2CF9AE}" pid="4" name="RKOrdnaActivityCategory">
    <vt:lpwstr>9.9. Migrerat</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y fmtid="{D5CDD505-2E9C-101B-9397-08002B2CF9AE}" pid="8" name="QFMSP source name">
    <vt:lpwstr/>
  </property>
</Properties>
</file>