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E16" w:rsidRPr="003D4803" w:rsidRDefault="00E32E16">
      <w:pPr>
        <w:pStyle w:val="Rubrik1"/>
        <w:shd w:val="clear" w:color="000000" w:fill="auto"/>
      </w:pPr>
      <w:r w:rsidRPr="003D4803">
        <w:t>Sammanfattning</w:t>
      </w:r>
    </w:p>
    <w:p w:rsidR="00E32E16" w:rsidRPr="003D4803" w:rsidRDefault="00E32E16">
      <w:pPr>
        <w:shd w:val="clear" w:color="000000" w:fill="auto"/>
      </w:pPr>
      <w:r w:rsidRPr="003D4803">
        <w:t>Regeringens förslag till budget uppfyller formellt enprocentmålet för svenskt utvecklingssamarbete. Dock har regeringen, precis som tidigare år, gjort a</w:t>
      </w:r>
      <w:r w:rsidRPr="003D4803">
        <w:t>v</w:t>
      </w:r>
      <w:r w:rsidRPr="003D4803">
        <w:t xml:space="preserve">räkningar på biståndet för att bland annat finansiera flyktingmottagande som sker i Sverige, något som Vänsterpartiet är starkt kritiskt till. </w:t>
      </w:r>
    </w:p>
    <w:p w:rsidR="00E32E16" w:rsidRPr="003D4803" w:rsidRDefault="00E32E16">
      <w:pPr>
        <w:pStyle w:val="Frslagsrubrik"/>
        <w:shd w:val="clear" w:color="000000" w:fill="auto"/>
      </w:pPr>
      <w:r w:rsidRPr="003D4803">
        <w:t>Förslag till riksdagsbeslut</w:t>
      </w:r>
    </w:p>
    <w:p w:rsidR="00E32E16" w:rsidRPr="003D4803" w:rsidRDefault="00E32E16">
      <w:pPr>
        <w:pStyle w:val="Hemstlatt"/>
        <w:numPr>
          <w:ilvl w:val="0"/>
          <w:numId w:val="1"/>
        </w:numPr>
        <w:shd w:val="clear" w:color="000000" w:fill="auto"/>
      </w:pPr>
      <w:r w:rsidRPr="003D4803">
        <w:t>Riksdagen anvisar med följande ändringar i fö</w:t>
      </w:r>
      <w:r w:rsidRPr="003D4803">
        <w:t>r</w:t>
      </w:r>
      <w:r w:rsidRPr="003D4803">
        <w:t>hållande till regeringens förslag anslagen under utgiftsområde 7 Intern</w:t>
      </w:r>
      <w:r w:rsidRPr="003D4803">
        <w:t>a</w:t>
      </w:r>
      <w:r w:rsidRPr="003D4803">
        <w:t>tionellt bistånd enligt uppställning:</w:t>
      </w:r>
    </w:p>
    <w:tbl>
      <w:tblPr>
        <w:tblStyle w:val="Tabellrutnt"/>
        <w:tblW w:w="595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920"/>
        <w:gridCol w:w="1766"/>
      </w:tblGrid>
      <w:tr w:rsidR="00000000" w:rsidRPr="003D4803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32E16" w:rsidRPr="003D4803" w:rsidRDefault="00E32E16">
            <w:pPr>
              <w:pStyle w:val="Normaltindrag"/>
              <w:shd w:val="clear" w:color="000000" w:fill="auto"/>
              <w:spacing w:before="60" w:line="200" w:lineRule="exact"/>
              <w:ind w:firstLine="0"/>
              <w:jc w:val="left"/>
              <w:rPr>
                <w:sz w:val="16"/>
                <w:szCs w:val="16"/>
              </w:rPr>
            </w:pPr>
            <w:r w:rsidRPr="003D4803">
              <w:rPr>
                <w:b/>
                <w:bCs/>
                <w:color w:val="000000"/>
                <w:sz w:val="16"/>
                <w:szCs w:val="16"/>
              </w:rPr>
              <w:t>Anslag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32E16" w:rsidRPr="003D4803" w:rsidRDefault="00E32E16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E32E16" w:rsidRPr="003D4803" w:rsidRDefault="00E32E16">
            <w:pPr>
              <w:pStyle w:val="Normaltindrag"/>
              <w:shd w:val="clear" w:color="000000" w:fill="auto"/>
              <w:spacing w:before="60" w:line="200" w:lineRule="exact"/>
              <w:ind w:firstLine="0"/>
              <w:jc w:val="right"/>
              <w:rPr>
                <w:sz w:val="16"/>
                <w:szCs w:val="16"/>
              </w:rPr>
            </w:pPr>
            <w:r w:rsidRPr="003D4803">
              <w:rPr>
                <w:b/>
                <w:bCs/>
                <w:color w:val="000000"/>
                <w:sz w:val="16"/>
                <w:szCs w:val="16"/>
              </w:rPr>
              <w:t>Regeringens förslag (tkr)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32E16" w:rsidRPr="003D4803" w:rsidRDefault="00E32E16">
            <w:pPr>
              <w:pStyle w:val="Normaltindrag"/>
              <w:shd w:val="clear" w:color="000000" w:fill="auto"/>
              <w:spacing w:before="60" w:line="200" w:lineRule="exact"/>
              <w:ind w:firstLine="0"/>
              <w:jc w:val="right"/>
              <w:rPr>
                <w:sz w:val="16"/>
                <w:szCs w:val="16"/>
              </w:rPr>
            </w:pPr>
            <w:r w:rsidRPr="003D4803">
              <w:rPr>
                <w:b/>
                <w:bCs/>
                <w:color w:val="000000"/>
                <w:sz w:val="16"/>
                <w:szCs w:val="16"/>
              </w:rPr>
              <w:t>Anslagsförändring (tkr)</w:t>
            </w:r>
          </w:p>
        </w:tc>
      </w:tr>
      <w:tr w:rsidR="00000000" w:rsidRPr="003D4803">
        <w:tc>
          <w:tcPr>
            <w:tcW w:w="708" w:type="dxa"/>
            <w:tcBorders>
              <w:top w:val="single" w:sz="4" w:space="0" w:color="auto"/>
            </w:tcBorders>
          </w:tcPr>
          <w:p w:rsidR="00E32E16" w:rsidRPr="003D4803" w:rsidRDefault="00E32E16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D4803">
              <w:rPr>
                <w:color w:val="000000"/>
                <w:sz w:val="16"/>
                <w:szCs w:val="16"/>
              </w:rPr>
              <w:t>Nytt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32E16" w:rsidRPr="003D4803" w:rsidRDefault="00E32E16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D4803">
              <w:rPr>
                <w:color w:val="000000"/>
                <w:sz w:val="16"/>
                <w:szCs w:val="16"/>
              </w:rPr>
              <w:t>Klimatbistånd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E32E16" w:rsidRPr="003D4803" w:rsidRDefault="00E32E16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E32E16" w:rsidRPr="003D4803" w:rsidRDefault="00E32E16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D4803">
              <w:rPr>
                <w:color w:val="000000"/>
                <w:sz w:val="16"/>
                <w:szCs w:val="16"/>
              </w:rPr>
              <w:t>+500 000</w:t>
            </w:r>
          </w:p>
        </w:tc>
      </w:tr>
      <w:tr w:rsidR="00000000" w:rsidRPr="003D4803">
        <w:tc>
          <w:tcPr>
            <w:tcW w:w="708" w:type="dxa"/>
          </w:tcPr>
          <w:p w:rsidR="00E32E16" w:rsidRPr="003D4803" w:rsidRDefault="00E32E16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D4803">
              <w:rPr>
                <w:color w:val="000000"/>
                <w:sz w:val="16"/>
                <w:szCs w:val="16"/>
              </w:rPr>
              <w:t>1:1</w:t>
            </w:r>
          </w:p>
        </w:tc>
        <w:tc>
          <w:tcPr>
            <w:tcW w:w="1560" w:type="dxa"/>
          </w:tcPr>
          <w:p w:rsidR="00E32E16" w:rsidRPr="003D4803" w:rsidRDefault="00E32E16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D4803">
              <w:rPr>
                <w:color w:val="000000"/>
                <w:sz w:val="16"/>
                <w:szCs w:val="16"/>
              </w:rPr>
              <w:t>Biståndsverksamhet</w:t>
            </w:r>
          </w:p>
        </w:tc>
        <w:tc>
          <w:tcPr>
            <w:tcW w:w="1920" w:type="dxa"/>
          </w:tcPr>
          <w:p w:rsidR="00E32E16" w:rsidRPr="003D4803" w:rsidRDefault="00E32E16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D4803">
              <w:rPr>
                <w:color w:val="000000"/>
                <w:sz w:val="16"/>
                <w:szCs w:val="16"/>
              </w:rPr>
              <w:t xml:space="preserve">27 869 770 </w:t>
            </w:r>
          </w:p>
        </w:tc>
        <w:tc>
          <w:tcPr>
            <w:tcW w:w="1766" w:type="dxa"/>
          </w:tcPr>
          <w:p w:rsidR="00E32E16" w:rsidRPr="003D4803" w:rsidRDefault="00E32E16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D4803">
              <w:rPr>
                <w:sz w:val="16"/>
                <w:szCs w:val="16"/>
              </w:rPr>
              <w:t>+1 582 000</w:t>
            </w:r>
          </w:p>
        </w:tc>
      </w:tr>
      <w:tr w:rsidR="00000000" w:rsidRPr="003D4803">
        <w:tc>
          <w:tcPr>
            <w:tcW w:w="708" w:type="dxa"/>
          </w:tcPr>
          <w:p w:rsidR="00E32E16" w:rsidRPr="003D4803" w:rsidRDefault="00E32E16">
            <w:pPr>
              <w:pStyle w:val="Normaltindrag"/>
              <w:shd w:val="clear" w:color="000000" w:fill="auto"/>
              <w:spacing w:before="60" w:line="200" w:lineRule="exact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32E16" w:rsidRPr="003D4803" w:rsidRDefault="00E32E16">
            <w:pPr>
              <w:pStyle w:val="Normaltindrag"/>
              <w:shd w:val="clear" w:color="000000" w:fill="auto"/>
              <w:spacing w:before="60" w:line="200" w:lineRule="exact"/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3D4803">
              <w:rPr>
                <w:b/>
                <w:bCs/>
                <w:color w:val="000000"/>
                <w:sz w:val="16"/>
                <w:szCs w:val="16"/>
              </w:rPr>
              <w:t>Summa</w:t>
            </w:r>
          </w:p>
        </w:tc>
        <w:tc>
          <w:tcPr>
            <w:tcW w:w="1920" w:type="dxa"/>
          </w:tcPr>
          <w:p w:rsidR="00E32E16" w:rsidRPr="003D4803" w:rsidRDefault="00E32E16">
            <w:pPr>
              <w:pStyle w:val="Normaltindrag"/>
              <w:shd w:val="clear" w:color="000000" w:fill="auto"/>
              <w:spacing w:before="60" w:line="200" w:lineRule="exact"/>
              <w:ind w:firstLine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766" w:type="dxa"/>
          </w:tcPr>
          <w:p w:rsidR="00E32E16" w:rsidRPr="003D4803" w:rsidRDefault="00E32E16">
            <w:pPr>
              <w:pStyle w:val="Normaltindrag"/>
              <w:shd w:val="clear" w:color="000000" w:fill="auto"/>
              <w:spacing w:before="60" w:line="200" w:lineRule="exact"/>
              <w:ind w:firstLine="0"/>
              <w:jc w:val="right"/>
              <w:rPr>
                <w:b/>
                <w:sz w:val="16"/>
                <w:szCs w:val="16"/>
              </w:rPr>
            </w:pPr>
            <w:r w:rsidRPr="003D4803">
              <w:rPr>
                <w:b/>
                <w:sz w:val="16"/>
                <w:szCs w:val="16"/>
              </w:rPr>
              <w:t>+2 082 000</w:t>
            </w:r>
          </w:p>
        </w:tc>
      </w:tr>
    </w:tbl>
    <w:p w:rsidR="00E32E16" w:rsidRPr="003D4803" w:rsidRDefault="00E32E16">
      <w:pPr>
        <w:pStyle w:val="Hemstlatt"/>
        <w:numPr>
          <w:ilvl w:val="0"/>
          <w:numId w:val="1"/>
        </w:numPr>
        <w:shd w:val="clear" w:color="000000" w:fill="auto"/>
      </w:pPr>
      <w:r w:rsidRPr="003D4803">
        <w:t>Riksdagen beslutar att avslå regeringens förslag om att b</w:t>
      </w:r>
      <w:r w:rsidRPr="003D4803">
        <w:t>e</w:t>
      </w:r>
      <w:r w:rsidRPr="003D4803">
        <w:t>myndiga regeringen att under 2012 besluta om kapitaltillskott till det statligt ägda bolaget Swedfund International AB på högst 400 000 000 kr (avsnitt 3.7.1).</w:t>
      </w:r>
    </w:p>
    <w:p w:rsidR="00E32E16" w:rsidRPr="003D4803" w:rsidRDefault="00E32E16">
      <w:pPr>
        <w:pStyle w:val="Rubrik1"/>
        <w:shd w:val="clear" w:color="000000" w:fill="auto"/>
      </w:pPr>
      <w:r w:rsidRPr="003D4803">
        <w:t>Nytt anslag: Klimatbistånd</w:t>
      </w:r>
    </w:p>
    <w:p w:rsidR="00E32E16" w:rsidRPr="003D4803" w:rsidRDefault="00E32E16">
      <w:pPr>
        <w:shd w:val="clear" w:color="000000" w:fill="auto"/>
      </w:pPr>
      <w:r w:rsidRPr="003D4803">
        <w:t>Vänsterpartiet föreslår även i år en satsning på ett klimatbistånd på 3 000 miljoner kronor till år 2013. Satsningen ligger utöver föreslagen b</w:t>
      </w:r>
      <w:r w:rsidRPr="003D4803">
        <w:t>i</w:t>
      </w:r>
      <w:r w:rsidRPr="003D4803">
        <w:t xml:space="preserve">ståndsram och ska dels gå till att förebygga klimatförändringar i syd, dels till </w:t>
      </w:r>
      <w:r w:rsidRPr="003D4803">
        <w:lastRenderedPageBreak/>
        <w:t>att motverka klimatförändringarnas konsekvenser i syd. Medlen får ej anvä</w:t>
      </w:r>
      <w:r w:rsidRPr="003D4803">
        <w:t>n</w:t>
      </w:r>
      <w:r w:rsidRPr="003D4803">
        <w:t xml:space="preserve">das till att finansiera Sveriges egna åtaganden inom Kyotoprotokollet. </w:t>
      </w:r>
    </w:p>
    <w:p w:rsidR="00E32E16" w:rsidRPr="003D4803" w:rsidRDefault="00E32E16">
      <w:pPr>
        <w:pStyle w:val="Normaltindrag"/>
        <w:shd w:val="clear" w:color="000000" w:fill="auto"/>
      </w:pPr>
      <w:r w:rsidRPr="003D4803">
        <w:t>Vänsterpartiet inför klimatbiståndet enligt en trappmodell, där 500 milj</w:t>
      </w:r>
      <w:r w:rsidRPr="003D4803">
        <w:t>o</w:t>
      </w:r>
      <w:r w:rsidRPr="003D4803">
        <w:t xml:space="preserve">ner kronor avsätts år 2011, 1 000 miljoner kronor 2012 och 1 500 miljoner kronor 2013. </w:t>
      </w:r>
    </w:p>
    <w:p w:rsidR="00E32E16" w:rsidRPr="003D4803" w:rsidRDefault="00E32E16">
      <w:pPr>
        <w:pStyle w:val="Normaltindrag"/>
        <w:shd w:val="clear" w:color="000000" w:fill="auto"/>
        <w:rPr>
          <w:szCs w:val="24"/>
        </w:rPr>
      </w:pPr>
      <w:r w:rsidRPr="003D4803">
        <w:rPr>
          <w:szCs w:val="24"/>
        </w:rPr>
        <w:t xml:space="preserve">Sammantaget föreslår Vänsterpartiet ett nytt anslag med </w:t>
      </w:r>
      <w:r w:rsidRPr="003D4803">
        <w:rPr>
          <w:color w:val="000000"/>
          <w:szCs w:val="24"/>
        </w:rPr>
        <w:t>500 miljoner</w:t>
      </w:r>
      <w:r w:rsidRPr="003D4803">
        <w:rPr>
          <w:szCs w:val="24"/>
        </w:rPr>
        <w:t xml:space="preserve"> kr</w:t>
      </w:r>
      <w:r w:rsidRPr="003D4803">
        <w:rPr>
          <w:szCs w:val="24"/>
        </w:rPr>
        <w:t>o</w:t>
      </w:r>
      <w:r w:rsidRPr="003D4803">
        <w:rPr>
          <w:szCs w:val="24"/>
        </w:rPr>
        <w:t xml:space="preserve">nor 2012. </w:t>
      </w:r>
    </w:p>
    <w:p w:rsidR="00E32E16" w:rsidRPr="003D4803" w:rsidRDefault="00E32E16">
      <w:pPr>
        <w:pStyle w:val="Rubrik1"/>
        <w:shd w:val="clear" w:color="000000" w:fill="auto"/>
      </w:pPr>
      <w:r w:rsidRPr="003D4803">
        <w:t>1:1 Biståndsverksamhet</w:t>
      </w:r>
    </w:p>
    <w:p w:rsidR="00E32E16" w:rsidRPr="003D4803" w:rsidRDefault="00E32E16">
      <w:pPr>
        <w:shd w:val="clear" w:color="000000" w:fill="auto"/>
      </w:pPr>
      <w:r w:rsidRPr="003D4803">
        <w:t xml:space="preserve">De sammanlagda avräkningarna från biståndsramen uppgår 2012 till drygt 5,5 miljarder kronor, vilket är en ökning med 0,2 miljarder kronor jämfört med föregående år. Avräkningarna som andel av biståndsramen uppgår i årets budget till 15 %. </w:t>
      </w:r>
    </w:p>
    <w:p w:rsidR="00E32E16" w:rsidRPr="003D4803" w:rsidRDefault="00E32E16">
      <w:pPr>
        <w:pStyle w:val="Normaltindrag"/>
        <w:shd w:val="clear" w:color="000000" w:fill="auto"/>
      </w:pPr>
      <w:r w:rsidRPr="003D4803">
        <w:t>Av detta beräknas kostnaden för asylsökande från utvecklingsländer som räknas in i biståndsramen uppgå till nästan 3,2 miljarder kronor, vilket mo</w:t>
      </w:r>
      <w:r w:rsidRPr="003D4803">
        <w:t>t</w:t>
      </w:r>
      <w:r w:rsidRPr="003D4803">
        <w:t xml:space="preserve">svarar 9 procent av det totala biståndet. </w:t>
      </w:r>
    </w:p>
    <w:p w:rsidR="00E32E16" w:rsidRPr="003D4803" w:rsidRDefault="00E32E16">
      <w:pPr>
        <w:pStyle w:val="Normaltindrag"/>
        <w:shd w:val="clear" w:color="000000" w:fill="auto"/>
      </w:pPr>
      <w:r w:rsidRPr="003D4803">
        <w:t>I realiteten innebär detta en stor sänkning av biståndet som Vänsterpartiet anser är oacceptabel. Det är inte rimligt att flyktingmottagande som sker i Sverige finansieras genom biståndsbudgeten. Dessutom strider det mot gru</w:t>
      </w:r>
      <w:r w:rsidRPr="003D4803">
        <w:t>n</w:t>
      </w:r>
      <w:r w:rsidRPr="003D4803">
        <w:t>derna för svensk biståndspolitik (prop. 2002/03:122 Gemensamt ansvar: Sv</w:t>
      </w:r>
      <w:r w:rsidRPr="003D4803">
        <w:t>e</w:t>
      </w:r>
      <w:r w:rsidRPr="003D4803">
        <w:t xml:space="preserve">riges politik för global utveckling). </w:t>
      </w:r>
    </w:p>
    <w:p w:rsidR="00E32E16" w:rsidRPr="003D4803" w:rsidRDefault="00E32E16">
      <w:pPr>
        <w:pStyle w:val="Normaltindrag"/>
        <w:shd w:val="clear" w:color="000000" w:fill="auto"/>
      </w:pPr>
      <w:r w:rsidRPr="003D4803">
        <w:t>Vänsterpartiets mål är att dessa avräkningar för flyktingmottagande på sikt helt ska upphöra, och som ett första steg halverar vi avräkningarna för fly</w:t>
      </w:r>
      <w:r w:rsidRPr="003D4803">
        <w:t>k</w:t>
      </w:r>
      <w:r w:rsidRPr="003D4803">
        <w:t>tingmottagande. Det betyder att det reella utvecklingssamarbetet förstärks med 1 582 miljoner kronor i Vänsterpartiets budget och att 1 582 miljoner kronor i stället ska belasta utgiftsområde 8 Migration.</w:t>
      </w:r>
    </w:p>
    <w:p w:rsidR="00E32E16" w:rsidRPr="003D4803" w:rsidRDefault="00E32E16">
      <w:pPr>
        <w:pStyle w:val="Normaltindrag"/>
        <w:shd w:val="clear" w:color="000000" w:fill="auto"/>
      </w:pPr>
      <w:r w:rsidRPr="003D4803">
        <w:t>Resterande 1 582 miljoner kronor vill vi använda till humanitär hjälp till de människor som lever på flykt i andra delar av världen. Ett sådant stöd får dock inte utformas på ett sådant sätt att det ersätter flyktingmottagande i Sv</w:t>
      </w:r>
      <w:r w:rsidRPr="003D4803">
        <w:t>e</w:t>
      </w:r>
      <w:r w:rsidRPr="003D4803">
        <w:t xml:space="preserve">rige eller används som förevändning för att inskränka möjligheterna att söka asyl. </w:t>
      </w:r>
    </w:p>
    <w:p w:rsidR="00E32E16" w:rsidRPr="003D4803" w:rsidRDefault="00E32E16">
      <w:pPr>
        <w:pStyle w:val="Normaltindrag"/>
        <w:shd w:val="clear" w:color="000000" w:fill="auto"/>
      </w:pPr>
      <w:r w:rsidRPr="003D4803">
        <w:t>Genom minskade avräkningar och genom att vi avvisar kapitaltillskottet till Swedfund på 400 miljoner kronor 2012 förstärker Vänsterpartiet utvec</w:t>
      </w:r>
      <w:r w:rsidRPr="003D4803">
        <w:t>k</w:t>
      </w:r>
      <w:r w:rsidRPr="003D4803">
        <w:t>lingssamarbetet med 1 982 miljoner. Det är medel som vi vill ska öronmärkas till arbetet med SRHR-frågor (sexuell och reproduktiv hälsa och rättigheter).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4803">
        <w:trPr>
          <w:cantSplit/>
        </w:trPr>
        <w:tc>
          <w:tcPr>
            <w:tcW w:w="3046" w:type="dxa"/>
          </w:tcPr>
          <w:p w:rsidR="00E32E16" w:rsidRPr="003D4803" w:rsidRDefault="00E32E16">
            <w:pPr>
              <w:pStyle w:val="UnderskriftDatum"/>
              <w:shd w:val="clear" w:color="000000" w:fill="auto"/>
              <w:spacing w:before="240"/>
            </w:pPr>
            <w:r w:rsidRPr="003D4803">
              <w:t>Stockholm den 4 oktober 2011</w:t>
            </w:r>
          </w:p>
        </w:tc>
        <w:tc>
          <w:tcPr>
            <w:tcW w:w="3047" w:type="dxa"/>
          </w:tcPr>
          <w:p w:rsidR="00E32E16" w:rsidRPr="003D4803" w:rsidRDefault="00E32E1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D4803">
        <w:trPr>
          <w:cantSplit/>
        </w:trPr>
        <w:tc>
          <w:tcPr>
            <w:tcW w:w="3046" w:type="dxa"/>
          </w:tcPr>
          <w:p w:rsidR="00E32E16" w:rsidRPr="003D4803" w:rsidRDefault="00E32E16">
            <w:pPr>
              <w:pStyle w:val="Underskrifter"/>
              <w:shd w:val="clear" w:color="000000" w:fill="auto"/>
            </w:pPr>
            <w:r w:rsidRPr="003D4803">
              <w:t>Lars Ohly (V)</w:t>
            </w:r>
          </w:p>
        </w:tc>
        <w:tc>
          <w:tcPr>
            <w:tcW w:w="3046" w:type="dxa"/>
          </w:tcPr>
          <w:p w:rsidR="00E32E16" w:rsidRPr="003D4803" w:rsidRDefault="00E32E16">
            <w:pPr>
              <w:pStyle w:val="Underskrifter"/>
              <w:shd w:val="clear" w:color="000000" w:fill="auto"/>
            </w:pPr>
          </w:p>
        </w:tc>
      </w:tr>
      <w:tr w:rsidR="00000000" w:rsidRPr="003D4803">
        <w:trPr>
          <w:cantSplit/>
        </w:trPr>
        <w:tc>
          <w:tcPr>
            <w:tcW w:w="3046" w:type="dxa"/>
          </w:tcPr>
          <w:p w:rsidR="00E32E16" w:rsidRPr="003D4803" w:rsidRDefault="00E32E16">
            <w:pPr>
              <w:pStyle w:val="Underskrifter"/>
              <w:shd w:val="clear" w:color="000000" w:fill="auto"/>
            </w:pPr>
            <w:r w:rsidRPr="003D4803">
              <w:t>Ulla Andersson (V)</w:t>
            </w:r>
          </w:p>
        </w:tc>
        <w:tc>
          <w:tcPr>
            <w:tcW w:w="3046" w:type="dxa"/>
          </w:tcPr>
          <w:p w:rsidR="00E32E16" w:rsidRPr="003D4803" w:rsidRDefault="00E32E16">
            <w:pPr>
              <w:pStyle w:val="Underskrifter"/>
              <w:shd w:val="clear" w:color="000000" w:fill="auto"/>
            </w:pPr>
            <w:r w:rsidRPr="003D4803">
              <w:t>Eva Olofsson (V)</w:t>
            </w:r>
          </w:p>
        </w:tc>
      </w:tr>
      <w:tr w:rsidR="00000000" w:rsidRPr="003D4803">
        <w:trPr>
          <w:cantSplit/>
        </w:trPr>
        <w:tc>
          <w:tcPr>
            <w:tcW w:w="3046" w:type="dxa"/>
          </w:tcPr>
          <w:p w:rsidR="00E32E16" w:rsidRPr="003D4803" w:rsidRDefault="00E32E16">
            <w:pPr>
              <w:pStyle w:val="Underskrifter"/>
              <w:shd w:val="clear" w:color="000000" w:fill="auto"/>
            </w:pPr>
            <w:r w:rsidRPr="003D4803">
              <w:t>Jonas Sjöstedt (V)</w:t>
            </w:r>
          </w:p>
        </w:tc>
        <w:tc>
          <w:tcPr>
            <w:tcW w:w="3046" w:type="dxa"/>
          </w:tcPr>
          <w:p w:rsidR="00E32E16" w:rsidRPr="003D4803" w:rsidRDefault="00E32E16">
            <w:pPr>
              <w:pStyle w:val="Underskrifter"/>
              <w:shd w:val="clear" w:color="000000" w:fill="auto"/>
            </w:pPr>
            <w:r w:rsidRPr="003D4803">
              <w:t>Mia Sydow Mölleby (V)</w:t>
            </w:r>
          </w:p>
        </w:tc>
      </w:tr>
      <w:tr w:rsidR="00000000" w:rsidRPr="003D4803">
        <w:trPr>
          <w:cantSplit/>
        </w:trPr>
        <w:tc>
          <w:tcPr>
            <w:tcW w:w="3046" w:type="dxa"/>
          </w:tcPr>
          <w:p w:rsidR="00E32E16" w:rsidRPr="003D4803" w:rsidRDefault="00E32E16">
            <w:pPr>
              <w:pStyle w:val="Underskrifter"/>
              <w:shd w:val="clear" w:color="000000" w:fill="auto"/>
            </w:pPr>
            <w:r w:rsidRPr="003D4803">
              <w:t>Hans Linde (V)</w:t>
            </w:r>
          </w:p>
        </w:tc>
        <w:tc>
          <w:tcPr>
            <w:tcW w:w="3046" w:type="dxa"/>
          </w:tcPr>
          <w:p w:rsidR="00E32E16" w:rsidRPr="003D4803" w:rsidRDefault="00E32E16">
            <w:pPr>
              <w:pStyle w:val="Underskrifter"/>
              <w:shd w:val="clear" w:color="000000" w:fill="auto"/>
            </w:pPr>
          </w:p>
        </w:tc>
      </w:tr>
    </w:tbl>
    <w:p w:rsidR="00E32E16" w:rsidRPr="003D4803" w:rsidRDefault="00E32E16">
      <w:pPr>
        <w:pStyle w:val="Normaltindrag"/>
        <w:shd w:val="clear" w:color="000000" w:fill="auto"/>
      </w:pPr>
    </w:p>
    <w:sectPr w:rsidR="00E32E16" w:rsidRPr="003D4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E16" w:rsidRPr="003D4803" w:rsidRDefault="00E32E16">
      <w:r w:rsidRPr="003D4803">
        <w:separator/>
      </w:r>
    </w:p>
  </w:endnote>
  <w:endnote w:type="continuationSeparator" w:id="0">
    <w:p w:rsidR="00E32E16" w:rsidRPr="003D4803" w:rsidRDefault="00E32E16">
      <w:r w:rsidRPr="003D48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E16" w:rsidRPr="003D4803" w:rsidRDefault="003D4803">
    <w:pPr>
      <w:pStyle w:val="Sidfot"/>
    </w:pPr>
    <w:r w:rsidRPr="003D48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57391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E16" w:rsidRDefault="00E32E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2E16" w:rsidRDefault="00E32E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E16" w:rsidRPr="003D4803" w:rsidRDefault="003D4803">
    <w:pPr>
      <w:pStyle w:val="Sidfot"/>
    </w:pPr>
    <w:r w:rsidRPr="003D48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1290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E16" w:rsidRDefault="00E32E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2E16" w:rsidRDefault="00E32E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E16" w:rsidRPr="003D4803" w:rsidRDefault="003D4803">
    <w:pPr>
      <w:pStyle w:val="Sidfot"/>
    </w:pPr>
    <w:r w:rsidRPr="003D48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85711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E16" w:rsidRDefault="00E32E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2E16" w:rsidRDefault="00E32E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E16" w:rsidRPr="003D4803" w:rsidRDefault="00E32E16">
      <w:r w:rsidRPr="003D4803">
        <w:separator/>
      </w:r>
    </w:p>
  </w:footnote>
  <w:footnote w:type="continuationSeparator" w:id="0">
    <w:p w:rsidR="00E32E16" w:rsidRPr="003D4803" w:rsidRDefault="00E32E16">
      <w:r w:rsidRPr="003D48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E16" w:rsidRPr="003D4803" w:rsidRDefault="003D4803">
    <w:pPr>
      <w:pStyle w:val="Sidhuvud"/>
    </w:pPr>
    <w:r w:rsidRPr="003D48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16351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E16" w:rsidRDefault="00E32E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2E16" w:rsidRDefault="00E32E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E16" w:rsidRPr="003D4803" w:rsidRDefault="003D4803">
    <w:pPr>
      <w:pStyle w:val="Sidhuvud"/>
    </w:pPr>
    <w:r w:rsidRPr="003D48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57823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E16" w:rsidRDefault="00E32E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2E16" w:rsidRDefault="00E32E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E16" w:rsidRPr="003D4803" w:rsidRDefault="00E32E16">
    <w:pPr>
      <w:pStyle w:val="FSHNormal"/>
      <w:tabs>
        <w:tab w:val="right" w:pos="5840"/>
      </w:tabs>
    </w:pPr>
    <w:r w:rsidRPr="003D4803">
      <w:br/>
    </w:r>
    <w:r w:rsidRPr="003D4803">
      <w:fldChar w:fldCharType="begin" w:fldLock="1"/>
    </w:r>
    <w:r w:rsidRPr="003D4803">
      <w:instrText xml:space="preserve"> DOCPROPERTY</w:instrText>
    </w:r>
    <w:r w:rsidRPr="003D4803">
      <w:rPr>
        <w:sz w:val="18"/>
      </w:rPr>
      <w:instrText xml:space="preserve"> "YearUser" *\charformat </w:instrText>
    </w:r>
    <w:r w:rsidRPr="003D4803">
      <w:fldChar w:fldCharType="separate"/>
    </w:r>
    <w:r w:rsidRPr="003D4803">
      <w:t>2011/12</w:t>
    </w:r>
    <w:r w:rsidRPr="003D4803">
      <w:fldChar w:fldCharType="end"/>
    </w:r>
    <w:r w:rsidRPr="003D4803">
      <w:t xml:space="preserve"> </w:t>
    </w:r>
    <w:r w:rsidRPr="003D4803">
      <w:tab/>
      <w:t xml:space="preserve">mnr: </w:t>
    </w:r>
    <w:r w:rsidRPr="003D4803">
      <w:fldChar w:fldCharType="begin" w:fldLock="1"/>
    </w:r>
    <w:r w:rsidRPr="003D4803">
      <w:instrText xml:space="preserve"> DOCPROPERTY</w:instrText>
    </w:r>
    <w:r w:rsidRPr="003D4803">
      <w:rPr>
        <w:sz w:val="18"/>
      </w:rPr>
      <w:instrText xml:space="preserve"> "Motionsnummer" *\charformat </w:instrText>
    </w:r>
    <w:r w:rsidRPr="003D4803">
      <w:fldChar w:fldCharType="separate"/>
    </w:r>
    <w:r w:rsidRPr="003D4803">
      <w:t>U306</w:t>
    </w:r>
    <w:r w:rsidRPr="003D4803">
      <w:fldChar w:fldCharType="end"/>
    </w:r>
    <w:r w:rsidRPr="003D4803">
      <w:br/>
    </w:r>
    <w:r w:rsidRPr="003D4803">
      <w:fldChar w:fldCharType="begin" w:fldLock="1"/>
    </w:r>
    <w:r w:rsidRPr="003D4803">
      <w:instrText xml:space="preserve"> DOCPROPERTY</w:instrText>
    </w:r>
    <w:r w:rsidRPr="003D4803">
      <w:rPr>
        <w:sz w:val="18"/>
      </w:rPr>
      <w:instrText xml:space="preserve"> "Samling" *\charformat </w:instrText>
    </w:r>
    <w:r w:rsidRPr="003D4803">
      <w:fldChar w:fldCharType="end"/>
    </w:r>
    <w:r w:rsidRPr="003D4803">
      <w:tab/>
      <w:t xml:space="preserve">pnr: </w:t>
    </w:r>
    <w:r w:rsidRPr="003D4803">
      <w:fldChar w:fldCharType="begin" w:fldLock="1"/>
    </w:r>
    <w:r w:rsidRPr="003D4803">
      <w:instrText xml:space="preserve"> DOCPROPERTY</w:instrText>
    </w:r>
    <w:r w:rsidRPr="003D4803">
      <w:rPr>
        <w:sz w:val="18"/>
      </w:rPr>
      <w:instrText xml:space="preserve"> "Partinummer" *\charformat </w:instrText>
    </w:r>
    <w:r w:rsidRPr="003D4803">
      <w:fldChar w:fldCharType="separate"/>
    </w:r>
    <w:r w:rsidRPr="003D4803">
      <w:t>V227</w:t>
    </w:r>
    <w:r w:rsidRPr="003D4803">
      <w:fldChar w:fldCharType="end"/>
    </w:r>
  </w:p>
  <w:p w:rsidR="00E32E16" w:rsidRPr="003D4803" w:rsidRDefault="00E32E16">
    <w:pPr>
      <w:pStyle w:val="FSHRub1"/>
    </w:pPr>
    <w:r w:rsidRPr="003D4803">
      <w:t>Motion till riksdagen</w:t>
    </w:r>
    <w:r w:rsidRPr="003D4803">
      <w:br/>
    </w:r>
    <w:r w:rsidRPr="003D4803">
      <w:fldChar w:fldCharType="begin" w:fldLock="1"/>
    </w:r>
    <w:r w:rsidRPr="003D4803">
      <w:instrText xml:space="preserve"> DOCPROPERTY "YearUser" *\charformat </w:instrText>
    </w:r>
    <w:r w:rsidRPr="003D4803">
      <w:fldChar w:fldCharType="separate"/>
    </w:r>
    <w:r w:rsidRPr="003D4803">
      <w:t>2011/12</w:t>
    </w:r>
    <w:r w:rsidRPr="003D4803">
      <w:fldChar w:fldCharType="end"/>
    </w:r>
    <w:r w:rsidRPr="003D4803">
      <w:t>:</w:t>
    </w:r>
    <w:r w:rsidRPr="003D4803">
      <w:fldChar w:fldCharType="begin" w:fldLock="1"/>
    </w:r>
    <w:r w:rsidRPr="003D4803">
      <w:instrText xml:space="preserve"> DOCPROPERTY "Motionsnummer" *\charformat </w:instrText>
    </w:r>
    <w:r w:rsidRPr="003D4803">
      <w:fldChar w:fldCharType="separate"/>
    </w:r>
    <w:r w:rsidRPr="003D4803">
      <w:t>U306</w:t>
    </w:r>
    <w:r w:rsidRPr="003D4803">
      <w:fldChar w:fldCharType="end"/>
    </w:r>
  </w:p>
  <w:p w:rsidR="00E32E16" w:rsidRPr="003D4803" w:rsidRDefault="00E32E16">
    <w:pPr>
      <w:pStyle w:val="FSHNormalS5"/>
    </w:pPr>
    <w:r w:rsidRPr="003D4803">
      <w:fldChar w:fldCharType="begin" w:fldLock="1"/>
    </w:r>
    <w:r w:rsidRPr="003D4803">
      <w:instrText xml:space="preserve"> DOCPROPERTY "MotionarText" *\charformat </w:instrText>
    </w:r>
    <w:r w:rsidRPr="003D4803">
      <w:fldChar w:fldCharType="separate"/>
    </w:r>
    <w:r w:rsidRPr="003D4803">
      <w:t>av Lars Ohly m.fl. (V)</w:t>
    </w:r>
    <w:r w:rsidRPr="003D4803">
      <w:fldChar w:fldCharType="end"/>
    </w:r>
    <w:r w:rsidRPr="003D4803">
      <w:br/>
    </w:r>
    <w:r w:rsidRPr="003D4803">
      <w:fldChar w:fldCharType="begin" w:fldLock="1"/>
    </w:r>
    <w:r w:rsidRPr="003D4803">
      <w:instrText xml:space="preserve"> DOCPROPERTY "SvarFrasKort" *\charformat </w:instrText>
    </w:r>
    <w:r w:rsidRPr="003D4803">
      <w:fldChar w:fldCharType="end"/>
    </w:r>
  </w:p>
  <w:p w:rsidR="00E32E16" w:rsidRPr="003D4803" w:rsidRDefault="00E32E16">
    <w:pPr>
      <w:pStyle w:val="FSHTitel"/>
    </w:pPr>
    <w:r w:rsidRPr="003D4803">
      <w:fldChar w:fldCharType="begin" w:fldLock="1"/>
    </w:r>
    <w:r w:rsidRPr="003D4803">
      <w:instrText xml:space="preserve"> DOCPROPERTY</w:instrText>
    </w:r>
    <w:r w:rsidRPr="003D4803">
      <w:rPr>
        <w:sz w:val="18"/>
      </w:rPr>
      <w:instrText xml:space="preserve"> "RubrikSvar" *\charformat </w:instrText>
    </w:r>
    <w:r w:rsidRPr="003D4803">
      <w:fldChar w:fldCharType="separate"/>
    </w:r>
    <w:r w:rsidRPr="003D4803">
      <w:t>Utgiftsområde 7 Internationellt bistånd</w:t>
    </w:r>
    <w:r w:rsidRPr="003D4803">
      <w:fldChar w:fldCharType="end"/>
    </w:r>
  </w:p>
  <w:p w:rsidR="00E32E16" w:rsidRPr="003D4803" w:rsidRDefault="00E32E16">
    <w:pPr>
      <w:pStyle w:val="Normal00"/>
    </w:pPr>
  </w:p>
  <w:p w:rsidR="00E32E16" w:rsidRPr="003D4803" w:rsidRDefault="00E32E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2DFB2515"/>
    <w:multiLevelType w:val="hybridMultilevel"/>
    <w:tmpl w:val="7034F39E"/>
    <w:lvl w:ilvl="0" w:tplc="43184E9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1A5512"/>
    <w:multiLevelType w:val="hybridMultilevel"/>
    <w:tmpl w:val="9E3015E0"/>
    <w:lvl w:ilvl="0" w:tplc="DEC612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9824848">
    <w:abstractNumId w:val="8"/>
  </w:num>
  <w:num w:numId="2" w16cid:durableId="835075403">
    <w:abstractNumId w:val="9"/>
  </w:num>
  <w:num w:numId="3" w16cid:durableId="852761996">
    <w:abstractNumId w:val="8"/>
  </w:num>
  <w:num w:numId="4" w16cid:durableId="1156148744">
    <w:abstractNumId w:val="9"/>
  </w:num>
  <w:num w:numId="5" w16cid:durableId="2041541195">
    <w:abstractNumId w:val="15"/>
  </w:num>
  <w:num w:numId="6" w16cid:durableId="135073339">
    <w:abstractNumId w:val="10"/>
  </w:num>
  <w:num w:numId="7" w16cid:durableId="409010275">
    <w:abstractNumId w:val="11"/>
  </w:num>
  <w:num w:numId="8" w16cid:durableId="1921022823">
    <w:abstractNumId w:val="13"/>
  </w:num>
  <w:num w:numId="9" w16cid:durableId="1850216046">
    <w:abstractNumId w:val="8"/>
  </w:num>
  <w:num w:numId="10" w16cid:durableId="981618626">
    <w:abstractNumId w:val="3"/>
  </w:num>
  <w:num w:numId="11" w16cid:durableId="130172287">
    <w:abstractNumId w:val="2"/>
  </w:num>
  <w:num w:numId="12" w16cid:durableId="1588806865">
    <w:abstractNumId w:val="1"/>
  </w:num>
  <w:num w:numId="13" w16cid:durableId="1462503864">
    <w:abstractNumId w:val="0"/>
  </w:num>
  <w:num w:numId="14" w16cid:durableId="2068257054">
    <w:abstractNumId w:val="9"/>
  </w:num>
  <w:num w:numId="15" w16cid:durableId="1546986368">
    <w:abstractNumId w:val="7"/>
  </w:num>
  <w:num w:numId="16" w16cid:durableId="194391762">
    <w:abstractNumId w:val="6"/>
  </w:num>
  <w:num w:numId="17" w16cid:durableId="2030830973">
    <w:abstractNumId w:val="5"/>
  </w:num>
  <w:num w:numId="18" w16cid:durableId="1102144610">
    <w:abstractNumId w:val="4"/>
  </w:num>
  <w:num w:numId="19" w16cid:durableId="1056926353">
    <w:abstractNumId w:val="14"/>
  </w:num>
  <w:num w:numId="20" w16cid:durableId="143016006">
    <w:abstractNumId w:val="11"/>
  </w:num>
  <w:num w:numId="21" w16cid:durableId="80417612">
    <w:abstractNumId w:val="10"/>
  </w:num>
  <w:num w:numId="22" w16cid:durableId="246497021">
    <w:abstractNumId w:val="13"/>
  </w:num>
  <w:num w:numId="23" w16cid:durableId="1094060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7"/>
    <w:docVar w:name="PersonGUIDs" w:val="{653F0F50-6F1F-4A36-9FEB-9B3CE8CAF153},{9757EBE9-5352-471C-B04A-E35C112BD16A},{A3B7BC79-15BA-4C82-9CD3-12632F50DBA0},{DA248C4D-AFF6-4AC5-94CA-AED252C8C8C8},{A7313DCE-0B34-4C27-86F8-BEBB9AB9F316},{00468181-7122-42C5-877E-69489063FE94}"/>
  </w:docVars>
  <w:rsids>
    <w:rsidRoot w:val="00AC449E"/>
    <w:rsid w:val="003D4803"/>
    <w:rsid w:val="00AC449E"/>
    <w:rsid w:val="00E3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3CA826-5608-4438-B05B-67D313A3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23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2685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3376114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3240899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1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1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3184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906738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8981015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696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159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2" w:color="DDDDDD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DDDDDD"/>
                              </w:divBdr>
                            </w:div>
                            <w:div w:id="18178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2932</Characters>
  <Application>Microsoft Office Word</Application>
  <DocSecurity>4</DocSecurity>
  <Lines>79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V227</vt:lpstr>
    </vt:vector>
  </TitlesOfParts>
  <Company>Riksdagen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V227</dc:title>
  <dc:subject>V227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2011-11-06T13:45:00Z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mot2000_533_2011-09-07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sj</vt:lpwstr>
  </property>
  <property fmtid="{D5CDD505-2E9C-101B-9397-08002B2CF9AE}" pid="6" name="Yearstd">
    <vt:lpwstr>2009/10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7 Internationellt bistånd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7 Internationellt bistånd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V227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(V)\Andersson, Ulla (V)\Olofsson, Eva (V)\Sjöstedt, Jonas (V)\Sydow Mölleby, Mia (V)\Linde, Hans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Ulla Andersson (V), Eva Olofsson (V), Jonas Sjöstedt (V), Mia Sydow Mölleby (V), Hans Linde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20112012000000000086000002270080</vt:lpwstr>
  </property>
  <property fmtid="{D5CDD505-2E9C-101B-9397-08002B2CF9AE}" pid="47" name="datum">
    <vt:lpwstr>111004</vt:lpwstr>
  </property>
  <property fmtid="{D5CDD505-2E9C-101B-9397-08002B2CF9AE}" pid="48" name="avsändar-e-post">
    <vt:lpwstr>maya.ek@riksdagen.se</vt:lpwstr>
  </property>
  <property fmtid="{D5CDD505-2E9C-101B-9397-08002B2CF9AE}" pid="49" name="id">
    <vt:lpwstr>20112012000000000086000002270080</vt:lpwstr>
  </property>
  <property fmtid="{D5CDD505-2E9C-101B-9397-08002B2CF9AE}" pid="50" name="nummer">
    <vt:lpwstr>306</vt:lpwstr>
  </property>
  <property fmtid="{D5CDD505-2E9C-101B-9397-08002B2CF9AE}" pid="51" name="utskottsbeteckning">
    <vt:lpwstr>U</vt:lpwstr>
  </property>
  <property fmtid="{D5CDD505-2E9C-101B-9397-08002B2CF9AE}" pid="52" name="GlobalUID">
    <vt:lpwstr>{7D2BB8C4-D2F6-4DF6-A02B-7A550CA80971}</vt:lpwstr>
  </property>
  <property fmtid="{D5CDD505-2E9C-101B-9397-08002B2CF9AE}" pid="53" name="Överföringar">
    <vt:i4>0</vt:i4>
  </property>
  <property fmtid="{D5CDD505-2E9C-101B-9397-08002B2CF9AE}" pid="54" name="Checksum">
    <vt:lpwstr>*0006374864453*</vt:lpwstr>
  </property>
  <property fmtid="{D5CDD505-2E9C-101B-9397-08002B2CF9AE}" pid="55" name="skuggnummer">
    <vt:lpwstr>2443</vt:lpwstr>
  </property>
  <property fmtid="{D5CDD505-2E9C-101B-9397-08002B2CF9AE}" pid="56" name="urixVersion">
    <vt:lpwstr>4.5.0.25</vt:lpwstr>
  </property>
  <property fmtid="{D5CDD505-2E9C-101B-9397-08002B2CF9AE}" pid="57" name="urixOrigin">
    <vt:lpwstr>111123 15:50:52.320</vt:lpwstr>
  </property>
  <property fmtid="{D5CDD505-2E9C-101B-9397-08002B2CF9AE}" pid="58" name="urixGuid">
    <vt:lpwstr>{9F4866E2-638F-4494-905C-F85325787E4E}</vt:lpwstr>
  </property>
</Properties>
</file>