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B432E" w14:textId="77777777" w:rsidR="00FB32B9" w:rsidRDefault="00F52221" w:rsidP="00FB32B9">
      <w:pPr>
        <w:pStyle w:val="UDrubrik"/>
        <w:tabs>
          <w:tab w:val="left" w:pos="1701"/>
          <w:tab w:val="left" w:pos="1985"/>
        </w:tabs>
        <w:rPr>
          <w:rFonts w:cs="Arial"/>
          <w:sz w:val="28"/>
        </w:rPr>
      </w:pPr>
    </w:p>
    <w:p w14:paraId="0F3B432F" w14:textId="77777777" w:rsidR="00FB32B9" w:rsidRDefault="00F52221" w:rsidP="00FB32B9">
      <w:pPr>
        <w:pStyle w:val="UDrubrik"/>
        <w:tabs>
          <w:tab w:val="left" w:pos="1701"/>
          <w:tab w:val="left" w:pos="1985"/>
        </w:tabs>
        <w:rPr>
          <w:rFonts w:cs="Arial"/>
          <w:sz w:val="28"/>
        </w:rPr>
      </w:pPr>
    </w:p>
    <w:p w14:paraId="0F3B4330" w14:textId="77777777" w:rsidR="00FB32B9" w:rsidRDefault="00F52221" w:rsidP="00FB32B9">
      <w:pPr>
        <w:pStyle w:val="UDrubrik"/>
        <w:tabs>
          <w:tab w:val="left" w:pos="1701"/>
          <w:tab w:val="left" w:pos="1985"/>
        </w:tabs>
        <w:rPr>
          <w:rFonts w:cs="Arial"/>
          <w:sz w:val="28"/>
        </w:rPr>
      </w:pPr>
    </w:p>
    <w:p w14:paraId="0F3B4331" w14:textId="77777777" w:rsidR="00FB32B9" w:rsidRDefault="00F52221" w:rsidP="00FB32B9">
      <w:pPr>
        <w:pStyle w:val="UDrubrik"/>
        <w:tabs>
          <w:tab w:val="left" w:pos="1701"/>
          <w:tab w:val="left" w:pos="1985"/>
        </w:tabs>
        <w:rPr>
          <w:rFonts w:cs="Arial"/>
          <w:sz w:val="28"/>
        </w:rPr>
      </w:pPr>
    </w:p>
    <w:p w14:paraId="0F3B4332" w14:textId="0562B7B9" w:rsidR="00FB32B9" w:rsidRDefault="00D44582"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w:t>
      </w:r>
      <w:r w:rsidR="00FC00CC">
        <w:rPr>
          <w:rFonts w:cs="Arial"/>
          <w:sz w:val="28"/>
        </w:rPr>
        <w:t xml:space="preserve">onsdagen den 16 september 2015 </w:t>
      </w:r>
      <w:r w:rsidR="003F484E">
        <w:rPr>
          <w:rFonts w:cs="Arial"/>
          <w:sz w:val="28"/>
        </w:rPr>
        <w:t>vecka 38</w:t>
      </w:r>
      <w:r>
        <w:rPr>
          <w:rFonts w:cs="Arial"/>
          <w:sz w:val="28"/>
        </w:rPr>
        <w:t>.</w:t>
      </w:r>
    </w:p>
    <w:p w14:paraId="0F3B4333" w14:textId="77777777" w:rsidR="00FB32B9" w:rsidRDefault="00F52221" w:rsidP="00FB32B9">
      <w:pPr>
        <w:pStyle w:val="Brdtext"/>
      </w:pPr>
    </w:p>
    <w:p w14:paraId="0F3B4334" w14:textId="7BD05869" w:rsidR="00FB32B9" w:rsidRDefault="00D44582" w:rsidP="00FB32B9">
      <w:pPr>
        <w:pStyle w:val="Brdtext"/>
      </w:pPr>
      <w:r>
        <w:t xml:space="preserve">Överlämnas för skriftligt samråd till </w:t>
      </w:r>
      <w:r w:rsidR="00A71229">
        <w:t xml:space="preserve">onsdagen den 16 september 2015, </w:t>
      </w:r>
      <w:proofErr w:type="spellStart"/>
      <w:r w:rsidR="00A71229">
        <w:t>kl</w:t>
      </w:r>
      <w:proofErr w:type="spellEnd"/>
      <w:r w:rsidR="00A71229">
        <w:t xml:space="preserve"> 1</w:t>
      </w:r>
      <w:r w:rsidR="00F52221">
        <w:t>6</w:t>
      </w:r>
      <w:bookmarkStart w:id="0" w:name="_GoBack"/>
      <w:bookmarkEnd w:id="0"/>
      <w:r w:rsidR="00FC00CC">
        <w:t>.00.</w:t>
      </w:r>
    </w:p>
    <w:p w14:paraId="0F3B4335" w14:textId="77777777" w:rsidR="00FB32B9" w:rsidRDefault="00D4458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F3B4336" w14:textId="77777777" w:rsidR="00D957FB" w:rsidRPr="00FB32B9" w:rsidRDefault="00D44582">
          <w:pPr>
            <w:pStyle w:val="Innehllsfrteckningsrubrik"/>
            <w:rPr>
              <w:color w:val="auto"/>
            </w:rPr>
          </w:pPr>
          <w:proofErr w:type="spellStart"/>
          <w:r w:rsidRPr="00FB32B9">
            <w:rPr>
              <w:color w:val="auto"/>
            </w:rPr>
            <w:t>Innehållsförteckning</w:t>
          </w:r>
          <w:proofErr w:type="spellEnd"/>
        </w:p>
        <w:p w14:paraId="0F3B4337" w14:textId="77777777" w:rsidR="00DA7250" w:rsidRPr="00DA7250" w:rsidRDefault="00F52221" w:rsidP="00DA7250">
          <w:pPr>
            <w:rPr>
              <w:lang w:val="en-US" w:eastAsia="ja-JP"/>
            </w:rPr>
          </w:pPr>
        </w:p>
        <w:p w14:paraId="41142350" w14:textId="77777777" w:rsidR="00A71229" w:rsidRDefault="00D4458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0155505" w:history="1">
            <w:r w:rsidR="00A71229" w:rsidRPr="009B698D">
              <w:rPr>
                <w:rStyle w:val="Hyperlnk"/>
                <w:noProof/>
              </w:rPr>
              <w:t>1.</w:t>
            </w:r>
            <w:r w:rsidR="00A71229">
              <w:rPr>
                <w:rFonts w:asciiTheme="minorHAnsi" w:eastAsiaTheme="minorEastAsia" w:hAnsiTheme="minorHAnsi" w:cstheme="minorBidi"/>
                <w:noProof/>
                <w:lang w:eastAsia="sv-SE"/>
              </w:rPr>
              <w:tab/>
            </w:r>
            <w:r w:rsidR="00A71229" w:rsidRPr="009B698D">
              <w:rPr>
                <w:rStyle w:val="Hyperlnk"/>
                <w:noProof/>
              </w:rPr>
              <w:t>Affaires devant le Tribunal de l'Union européenne</w:t>
            </w:r>
            <w:r w:rsidR="00A71229">
              <w:rPr>
                <w:noProof/>
                <w:webHidden/>
              </w:rPr>
              <w:tab/>
            </w:r>
            <w:r w:rsidR="00A71229">
              <w:rPr>
                <w:noProof/>
                <w:webHidden/>
              </w:rPr>
              <w:fldChar w:fldCharType="begin"/>
            </w:r>
            <w:r w:rsidR="00A71229">
              <w:rPr>
                <w:noProof/>
                <w:webHidden/>
              </w:rPr>
              <w:instrText xml:space="preserve"> PAGEREF _Toc430155505 \h </w:instrText>
            </w:r>
            <w:r w:rsidR="00A71229">
              <w:rPr>
                <w:noProof/>
                <w:webHidden/>
              </w:rPr>
            </w:r>
            <w:r w:rsidR="00A71229">
              <w:rPr>
                <w:noProof/>
                <w:webHidden/>
              </w:rPr>
              <w:fldChar w:fldCharType="separate"/>
            </w:r>
            <w:r w:rsidR="00A71229">
              <w:rPr>
                <w:noProof/>
                <w:webHidden/>
              </w:rPr>
              <w:t>4</w:t>
            </w:r>
            <w:r w:rsidR="00A71229">
              <w:rPr>
                <w:noProof/>
                <w:webHidden/>
              </w:rPr>
              <w:fldChar w:fldCharType="end"/>
            </w:r>
          </w:hyperlink>
        </w:p>
        <w:p w14:paraId="3C9B898E"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06" w:history="1">
            <w:r w:rsidR="00A71229" w:rsidRPr="009B698D">
              <w:rPr>
                <w:rStyle w:val="Hyperlnk"/>
                <w:noProof/>
              </w:rPr>
              <w:t>2.</w:t>
            </w:r>
            <w:r w:rsidR="00A71229">
              <w:rPr>
                <w:rFonts w:asciiTheme="minorHAnsi" w:eastAsiaTheme="minorEastAsia" w:hAnsiTheme="minorHAnsi" w:cstheme="minorBidi"/>
                <w:noProof/>
                <w:lang w:eastAsia="sv-SE"/>
              </w:rPr>
              <w:tab/>
            </w:r>
            <w:r w:rsidR="00A71229" w:rsidRPr="009B698D">
              <w:rPr>
                <w:rStyle w:val="Hyperlnk"/>
                <w:noProof/>
              </w:rPr>
              <w:t>Projet de décision du Conseil portant nomination d'un suppléant danois du Comité des régions  –Adoption</w:t>
            </w:r>
            <w:r w:rsidR="00A71229">
              <w:rPr>
                <w:noProof/>
                <w:webHidden/>
              </w:rPr>
              <w:tab/>
            </w:r>
            <w:r w:rsidR="00A71229">
              <w:rPr>
                <w:noProof/>
                <w:webHidden/>
              </w:rPr>
              <w:fldChar w:fldCharType="begin"/>
            </w:r>
            <w:r w:rsidR="00A71229">
              <w:rPr>
                <w:noProof/>
                <w:webHidden/>
              </w:rPr>
              <w:instrText xml:space="preserve"> PAGEREF _Toc430155506 \h </w:instrText>
            </w:r>
            <w:r w:rsidR="00A71229">
              <w:rPr>
                <w:noProof/>
                <w:webHidden/>
              </w:rPr>
            </w:r>
            <w:r w:rsidR="00A71229">
              <w:rPr>
                <w:noProof/>
                <w:webHidden/>
              </w:rPr>
              <w:fldChar w:fldCharType="separate"/>
            </w:r>
            <w:r w:rsidR="00A71229">
              <w:rPr>
                <w:noProof/>
                <w:webHidden/>
              </w:rPr>
              <w:t>4</w:t>
            </w:r>
            <w:r w:rsidR="00A71229">
              <w:rPr>
                <w:noProof/>
                <w:webHidden/>
              </w:rPr>
              <w:fldChar w:fldCharType="end"/>
            </w:r>
          </w:hyperlink>
        </w:p>
        <w:p w14:paraId="35F8F017"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07" w:history="1">
            <w:r w:rsidR="00A71229" w:rsidRPr="009B698D">
              <w:rPr>
                <w:rStyle w:val="Hyperlnk"/>
                <w:noProof/>
              </w:rPr>
              <w:t>3.</w:t>
            </w:r>
            <w:r w:rsidR="00A71229">
              <w:rPr>
                <w:rFonts w:asciiTheme="minorHAnsi" w:eastAsiaTheme="minorEastAsia" w:hAnsiTheme="minorHAnsi" w:cstheme="minorBidi"/>
                <w:noProof/>
                <w:lang w:eastAsia="sv-SE"/>
              </w:rPr>
              <w:tab/>
            </w:r>
            <w:r w:rsidR="00A71229" w:rsidRPr="009B698D">
              <w:rPr>
                <w:rStyle w:val="Hyperlnk"/>
                <w:noProof/>
              </w:rPr>
              <w:t>Projet de décision du Conseil portant nomination de deux membres espagnols du Comité des régions  –Adoption</w:t>
            </w:r>
            <w:r w:rsidR="00A71229">
              <w:rPr>
                <w:noProof/>
                <w:webHidden/>
              </w:rPr>
              <w:tab/>
            </w:r>
            <w:r w:rsidR="00A71229">
              <w:rPr>
                <w:noProof/>
                <w:webHidden/>
              </w:rPr>
              <w:fldChar w:fldCharType="begin"/>
            </w:r>
            <w:r w:rsidR="00A71229">
              <w:rPr>
                <w:noProof/>
                <w:webHidden/>
              </w:rPr>
              <w:instrText xml:space="preserve"> PAGEREF _Toc430155507 \h </w:instrText>
            </w:r>
            <w:r w:rsidR="00A71229">
              <w:rPr>
                <w:noProof/>
                <w:webHidden/>
              </w:rPr>
            </w:r>
            <w:r w:rsidR="00A71229">
              <w:rPr>
                <w:noProof/>
                <w:webHidden/>
              </w:rPr>
              <w:fldChar w:fldCharType="separate"/>
            </w:r>
            <w:r w:rsidR="00A71229">
              <w:rPr>
                <w:noProof/>
                <w:webHidden/>
              </w:rPr>
              <w:t>4</w:t>
            </w:r>
            <w:r w:rsidR="00A71229">
              <w:rPr>
                <w:noProof/>
                <w:webHidden/>
              </w:rPr>
              <w:fldChar w:fldCharType="end"/>
            </w:r>
          </w:hyperlink>
        </w:p>
        <w:p w14:paraId="2A1F8497"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08" w:history="1">
            <w:r w:rsidR="00A71229" w:rsidRPr="009B698D">
              <w:rPr>
                <w:rStyle w:val="Hyperlnk"/>
                <w:noProof/>
              </w:rPr>
              <w:t>4.</w:t>
            </w:r>
            <w:r w:rsidR="00A71229">
              <w:rPr>
                <w:rFonts w:asciiTheme="minorHAnsi" w:eastAsiaTheme="minorEastAsia" w:hAnsiTheme="minorHAnsi" w:cstheme="minorBidi"/>
                <w:noProof/>
                <w:lang w:eastAsia="sv-SE"/>
              </w:rPr>
              <w:tab/>
            </w:r>
            <w:r w:rsidR="00A71229" w:rsidRPr="009B698D">
              <w:rPr>
                <w:rStyle w:val="Hyperlnk"/>
                <w:noProof/>
              </w:rPr>
              <w:t>Projet de décision du Conseil portant nomination d'un membre autrichien et d'un suppléant autrichien du Comité des régions  –Adoption</w:t>
            </w:r>
            <w:r w:rsidR="00A71229">
              <w:rPr>
                <w:noProof/>
                <w:webHidden/>
              </w:rPr>
              <w:tab/>
            </w:r>
            <w:r w:rsidR="00A71229">
              <w:rPr>
                <w:noProof/>
                <w:webHidden/>
              </w:rPr>
              <w:fldChar w:fldCharType="begin"/>
            </w:r>
            <w:r w:rsidR="00A71229">
              <w:rPr>
                <w:noProof/>
                <w:webHidden/>
              </w:rPr>
              <w:instrText xml:space="preserve"> PAGEREF _Toc430155508 \h </w:instrText>
            </w:r>
            <w:r w:rsidR="00A71229">
              <w:rPr>
                <w:noProof/>
                <w:webHidden/>
              </w:rPr>
            </w:r>
            <w:r w:rsidR="00A71229">
              <w:rPr>
                <w:noProof/>
                <w:webHidden/>
              </w:rPr>
              <w:fldChar w:fldCharType="separate"/>
            </w:r>
            <w:r w:rsidR="00A71229">
              <w:rPr>
                <w:noProof/>
                <w:webHidden/>
              </w:rPr>
              <w:t>5</w:t>
            </w:r>
            <w:r w:rsidR="00A71229">
              <w:rPr>
                <w:noProof/>
                <w:webHidden/>
              </w:rPr>
              <w:fldChar w:fldCharType="end"/>
            </w:r>
          </w:hyperlink>
        </w:p>
        <w:p w14:paraId="162E4D5B"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09" w:history="1">
            <w:r w:rsidR="00A71229" w:rsidRPr="009B698D">
              <w:rPr>
                <w:rStyle w:val="Hyperlnk"/>
                <w:noProof/>
              </w:rPr>
              <w:t>5.</w:t>
            </w:r>
            <w:r w:rsidR="00A71229">
              <w:rPr>
                <w:rFonts w:asciiTheme="minorHAnsi" w:eastAsiaTheme="minorEastAsia" w:hAnsiTheme="minorHAnsi" w:cstheme="minorBidi"/>
                <w:noProof/>
                <w:lang w:eastAsia="sv-SE"/>
              </w:rPr>
              <w:tab/>
            </w:r>
            <w:r w:rsidR="00A71229" w:rsidRPr="009B698D">
              <w:rPr>
                <w:rStyle w:val="Hyperlnk"/>
                <w:noProof/>
              </w:rPr>
              <w:t>Projet de décision du Conseil portant nomination de quatre membres néerlandais et de cinq suppléants néerlandais du Comité des régions  –Adoption</w:t>
            </w:r>
            <w:r w:rsidR="00A71229">
              <w:rPr>
                <w:noProof/>
                <w:webHidden/>
              </w:rPr>
              <w:tab/>
            </w:r>
            <w:r w:rsidR="00A71229">
              <w:rPr>
                <w:noProof/>
                <w:webHidden/>
              </w:rPr>
              <w:fldChar w:fldCharType="begin"/>
            </w:r>
            <w:r w:rsidR="00A71229">
              <w:rPr>
                <w:noProof/>
                <w:webHidden/>
              </w:rPr>
              <w:instrText xml:space="preserve"> PAGEREF _Toc430155509 \h </w:instrText>
            </w:r>
            <w:r w:rsidR="00A71229">
              <w:rPr>
                <w:noProof/>
                <w:webHidden/>
              </w:rPr>
            </w:r>
            <w:r w:rsidR="00A71229">
              <w:rPr>
                <w:noProof/>
                <w:webHidden/>
              </w:rPr>
              <w:fldChar w:fldCharType="separate"/>
            </w:r>
            <w:r w:rsidR="00A71229">
              <w:rPr>
                <w:noProof/>
                <w:webHidden/>
              </w:rPr>
              <w:t>5</w:t>
            </w:r>
            <w:r w:rsidR="00A71229">
              <w:rPr>
                <w:noProof/>
                <w:webHidden/>
              </w:rPr>
              <w:fldChar w:fldCharType="end"/>
            </w:r>
          </w:hyperlink>
        </w:p>
        <w:p w14:paraId="095A4DE4"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10" w:history="1">
            <w:r w:rsidR="00A71229" w:rsidRPr="009B698D">
              <w:rPr>
                <w:rStyle w:val="Hyperlnk"/>
                <w:noProof/>
              </w:rPr>
              <w:t>6.</w:t>
            </w:r>
            <w:r w:rsidR="00A71229">
              <w:rPr>
                <w:rFonts w:asciiTheme="minorHAnsi" w:eastAsiaTheme="minorEastAsia" w:hAnsiTheme="minorHAnsi" w:cstheme="minorBidi"/>
                <w:noProof/>
                <w:lang w:eastAsia="sv-SE"/>
              </w:rPr>
              <w:tab/>
            </w:r>
            <w:r w:rsidR="00A71229" w:rsidRPr="009B698D">
              <w:rPr>
                <w:rStyle w:val="Hyperlnk"/>
                <w:noProof/>
              </w:rPr>
              <w:t>Proposition de virement de crédits n° DEC 26/2015 à l'intérieur de la section III - Commission - du budget général pour l'exercice 2015</w:t>
            </w:r>
            <w:r w:rsidR="00A71229">
              <w:rPr>
                <w:noProof/>
                <w:webHidden/>
              </w:rPr>
              <w:tab/>
            </w:r>
            <w:r w:rsidR="00A71229">
              <w:rPr>
                <w:noProof/>
                <w:webHidden/>
              </w:rPr>
              <w:fldChar w:fldCharType="begin"/>
            </w:r>
            <w:r w:rsidR="00A71229">
              <w:rPr>
                <w:noProof/>
                <w:webHidden/>
              </w:rPr>
              <w:instrText xml:space="preserve"> PAGEREF _Toc430155510 \h </w:instrText>
            </w:r>
            <w:r w:rsidR="00A71229">
              <w:rPr>
                <w:noProof/>
                <w:webHidden/>
              </w:rPr>
            </w:r>
            <w:r w:rsidR="00A71229">
              <w:rPr>
                <w:noProof/>
                <w:webHidden/>
              </w:rPr>
              <w:fldChar w:fldCharType="separate"/>
            </w:r>
            <w:r w:rsidR="00A71229">
              <w:rPr>
                <w:noProof/>
                <w:webHidden/>
              </w:rPr>
              <w:t>5</w:t>
            </w:r>
            <w:r w:rsidR="00A71229">
              <w:rPr>
                <w:noProof/>
                <w:webHidden/>
              </w:rPr>
              <w:fldChar w:fldCharType="end"/>
            </w:r>
          </w:hyperlink>
        </w:p>
        <w:p w14:paraId="686ACF49"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11" w:history="1">
            <w:r w:rsidR="00A71229" w:rsidRPr="009B698D">
              <w:rPr>
                <w:rStyle w:val="Hyperlnk"/>
                <w:noProof/>
              </w:rPr>
              <w:t>7.</w:t>
            </w:r>
            <w:r w:rsidR="00A71229">
              <w:rPr>
                <w:rFonts w:asciiTheme="minorHAnsi" w:eastAsiaTheme="minorEastAsia" w:hAnsiTheme="minorHAnsi" w:cstheme="minorBidi"/>
                <w:noProof/>
                <w:lang w:eastAsia="sv-SE"/>
              </w:rPr>
              <w:tab/>
            </w:r>
            <w:r w:rsidR="00A71229" w:rsidRPr="009B698D">
              <w:rPr>
                <w:rStyle w:val="Hyperlnk"/>
                <w:noProof/>
              </w:rPr>
              <w:t>Proposition de virement de crédits n° DEC 27/2015 à l'intérieur de la section III - Commission</w:t>
            </w:r>
            <w:r w:rsidR="00A71229">
              <w:rPr>
                <w:noProof/>
                <w:webHidden/>
              </w:rPr>
              <w:tab/>
            </w:r>
            <w:r w:rsidR="00A71229">
              <w:rPr>
                <w:noProof/>
                <w:webHidden/>
              </w:rPr>
              <w:fldChar w:fldCharType="begin"/>
            </w:r>
            <w:r w:rsidR="00A71229">
              <w:rPr>
                <w:noProof/>
                <w:webHidden/>
              </w:rPr>
              <w:instrText xml:space="preserve"> PAGEREF _Toc430155511 \h </w:instrText>
            </w:r>
            <w:r w:rsidR="00A71229">
              <w:rPr>
                <w:noProof/>
                <w:webHidden/>
              </w:rPr>
            </w:r>
            <w:r w:rsidR="00A71229">
              <w:rPr>
                <w:noProof/>
                <w:webHidden/>
              </w:rPr>
              <w:fldChar w:fldCharType="separate"/>
            </w:r>
            <w:r w:rsidR="00A71229">
              <w:rPr>
                <w:noProof/>
                <w:webHidden/>
              </w:rPr>
              <w:t>5</w:t>
            </w:r>
            <w:r w:rsidR="00A71229">
              <w:rPr>
                <w:noProof/>
                <w:webHidden/>
              </w:rPr>
              <w:fldChar w:fldCharType="end"/>
            </w:r>
          </w:hyperlink>
        </w:p>
        <w:p w14:paraId="649F0AD8"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12" w:history="1">
            <w:r w:rsidR="00A71229" w:rsidRPr="009B698D">
              <w:rPr>
                <w:rStyle w:val="Hyperlnk"/>
                <w:noProof/>
              </w:rPr>
              <w:t>8.</w:t>
            </w:r>
            <w:r w:rsidR="00A71229">
              <w:rPr>
                <w:rFonts w:asciiTheme="minorHAnsi" w:eastAsiaTheme="minorEastAsia" w:hAnsiTheme="minorHAnsi" w:cstheme="minorBidi"/>
                <w:noProof/>
                <w:lang w:eastAsia="sv-SE"/>
              </w:rPr>
              <w:tab/>
            </w:r>
            <w:r w:rsidR="00A71229" w:rsidRPr="009B698D">
              <w:rPr>
                <w:rStyle w:val="Hyperlnk"/>
                <w:noProof/>
              </w:rPr>
              <w:t>Proposition de virement de crédits n° DEC 28/2015 à l'intérieur de la section III - Commission - du budget général pour l'exercice 2015</w:t>
            </w:r>
            <w:r w:rsidR="00A71229">
              <w:rPr>
                <w:noProof/>
                <w:webHidden/>
              </w:rPr>
              <w:tab/>
            </w:r>
            <w:r w:rsidR="00A71229">
              <w:rPr>
                <w:noProof/>
                <w:webHidden/>
              </w:rPr>
              <w:fldChar w:fldCharType="begin"/>
            </w:r>
            <w:r w:rsidR="00A71229">
              <w:rPr>
                <w:noProof/>
                <w:webHidden/>
              </w:rPr>
              <w:instrText xml:space="preserve"> PAGEREF _Toc430155512 \h </w:instrText>
            </w:r>
            <w:r w:rsidR="00A71229">
              <w:rPr>
                <w:noProof/>
                <w:webHidden/>
              </w:rPr>
            </w:r>
            <w:r w:rsidR="00A71229">
              <w:rPr>
                <w:noProof/>
                <w:webHidden/>
              </w:rPr>
              <w:fldChar w:fldCharType="separate"/>
            </w:r>
            <w:r w:rsidR="00A71229">
              <w:rPr>
                <w:noProof/>
                <w:webHidden/>
              </w:rPr>
              <w:t>6</w:t>
            </w:r>
            <w:r w:rsidR="00A71229">
              <w:rPr>
                <w:noProof/>
                <w:webHidden/>
              </w:rPr>
              <w:fldChar w:fldCharType="end"/>
            </w:r>
          </w:hyperlink>
        </w:p>
        <w:p w14:paraId="446FECD1" w14:textId="77777777" w:rsidR="00A71229" w:rsidRDefault="00F52221">
          <w:pPr>
            <w:pStyle w:val="Innehll1"/>
            <w:tabs>
              <w:tab w:val="left" w:pos="440"/>
              <w:tab w:val="right" w:leader="dot" w:pos="9062"/>
            </w:tabs>
            <w:rPr>
              <w:rFonts w:asciiTheme="minorHAnsi" w:eastAsiaTheme="minorEastAsia" w:hAnsiTheme="minorHAnsi" w:cstheme="minorBidi"/>
              <w:noProof/>
              <w:lang w:eastAsia="sv-SE"/>
            </w:rPr>
          </w:pPr>
          <w:hyperlink w:anchor="_Toc430155513" w:history="1">
            <w:r w:rsidR="00A71229" w:rsidRPr="009B698D">
              <w:rPr>
                <w:rStyle w:val="Hyperlnk"/>
                <w:noProof/>
              </w:rPr>
              <w:t>9.</w:t>
            </w:r>
            <w:r w:rsidR="00A71229">
              <w:rPr>
                <w:rFonts w:asciiTheme="minorHAnsi" w:eastAsiaTheme="minorEastAsia" w:hAnsiTheme="minorHAnsi" w:cstheme="minorBidi"/>
                <w:noProof/>
                <w:lang w:eastAsia="sv-SE"/>
              </w:rPr>
              <w:tab/>
            </w:r>
            <w:r w:rsidR="00A71229" w:rsidRPr="009B698D">
              <w:rPr>
                <w:rStyle w:val="Hyperlnk"/>
                <w:noProof/>
              </w:rPr>
              <w:t>Proposition de virement de crédits n°1/2015 à l'intérieur de la section X - Service Européen pour l'action Extérieure - du budget général pour l'exercice 2015</w:t>
            </w:r>
            <w:r w:rsidR="00A71229">
              <w:rPr>
                <w:noProof/>
                <w:webHidden/>
              </w:rPr>
              <w:tab/>
            </w:r>
            <w:r w:rsidR="00A71229">
              <w:rPr>
                <w:noProof/>
                <w:webHidden/>
              </w:rPr>
              <w:fldChar w:fldCharType="begin"/>
            </w:r>
            <w:r w:rsidR="00A71229">
              <w:rPr>
                <w:noProof/>
                <w:webHidden/>
              </w:rPr>
              <w:instrText xml:space="preserve"> PAGEREF _Toc430155513 \h </w:instrText>
            </w:r>
            <w:r w:rsidR="00A71229">
              <w:rPr>
                <w:noProof/>
                <w:webHidden/>
              </w:rPr>
            </w:r>
            <w:r w:rsidR="00A71229">
              <w:rPr>
                <w:noProof/>
                <w:webHidden/>
              </w:rPr>
              <w:fldChar w:fldCharType="separate"/>
            </w:r>
            <w:r w:rsidR="00A71229">
              <w:rPr>
                <w:noProof/>
                <w:webHidden/>
              </w:rPr>
              <w:t>7</w:t>
            </w:r>
            <w:r w:rsidR="00A71229">
              <w:rPr>
                <w:noProof/>
                <w:webHidden/>
              </w:rPr>
              <w:fldChar w:fldCharType="end"/>
            </w:r>
          </w:hyperlink>
        </w:p>
        <w:p w14:paraId="14DCDA6E"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14" w:history="1">
            <w:r w:rsidR="00A71229" w:rsidRPr="009B698D">
              <w:rPr>
                <w:rStyle w:val="Hyperlnk"/>
                <w:noProof/>
              </w:rPr>
              <w:t>10.</w:t>
            </w:r>
            <w:r w:rsidR="00A71229">
              <w:rPr>
                <w:rFonts w:asciiTheme="minorHAnsi" w:eastAsiaTheme="minorEastAsia" w:hAnsiTheme="minorHAnsi" w:cstheme="minorBidi"/>
                <w:noProof/>
                <w:lang w:eastAsia="sv-SE"/>
              </w:rPr>
              <w:tab/>
            </w:r>
            <w:r w:rsidR="00A71229" w:rsidRPr="009B698D">
              <w:rPr>
                <w:rStyle w:val="Hyperlnk"/>
                <w:noProof/>
              </w:rPr>
              <w:t>Règlement délégué (UE) …/... de la Commission du 8.7.2015 complétant le règlement (UE) nº 1303/2013 du Parlement européen et du Conseil par des dispositions spécifiques relatives à la notification des irrégularités en ce qui concerne le Fonds européen de développement régional, le Fonds social européen, le Fonds de cohésion et le Fonds européen pour les affaires maritimes et la pêche</w:t>
            </w:r>
            <w:r w:rsidR="00A71229">
              <w:rPr>
                <w:noProof/>
                <w:webHidden/>
              </w:rPr>
              <w:tab/>
            </w:r>
            <w:r w:rsidR="00A71229">
              <w:rPr>
                <w:noProof/>
                <w:webHidden/>
              </w:rPr>
              <w:fldChar w:fldCharType="begin"/>
            </w:r>
            <w:r w:rsidR="00A71229">
              <w:rPr>
                <w:noProof/>
                <w:webHidden/>
              </w:rPr>
              <w:instrText xml:space="preserve"> PAGEREF _Toc430155514 \h </w:instrText>
            </w:r>
            <w:r w:rsidR="00A71229">
              <w:rPr>
                <w:noProof/>
                <w:webHidden/>
              </w:rPr>
            </w:r>
            <w:r w:rsidR="00A71229">
              <w:rPr>
                <w:noProof/>
                <w:webHidden/>
              </w:rPr>
              <w:fldChar w:fldCharType="separate"/>
            </w:r>
            <w:r w:rsidR="00A71229">
              <w:rPr>
                <w:noProof/>
                <w:webHidden/>
              </w:rPr>
              <w:t>7</w:t>
            </w:r>
            <w:r w:rsidR="00A71229">
              <w:rPr>
                <w:noProof/>
                <w:webHidden/>
              </w:rPr>
              <w:fldChar w:fldCharType="end"/>
            </w:r>
          </w:hyperlink>
        </w:p>
        <w:p w14:paraId="77B472E4"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15" w:history="1">
            <w:r w:rsidR="00A71229" w:rsidRPr="009B698D">
              <w:rPr>
                <w:rStyle w:val="Hyperlnk"/>
                <w:noProof/>
              </w:rPr>
              <w:t>11.</w:t>
            </w:r>
            <w:r w:rsidR="00A71229">
              <w:rPr>
                <w:rFonts w:asciiTheme="minorHAnsi" w:eastAsiaTheme="minorEastAsia" w:hAnsiTheme="minorHAnsi" w:cstheme="minorBidi"/>
                <w:noProof/>
                <w:lang w:eastAsia="sv-SE"/>
              </w:rPr>
              <w:tab/>
            </w:r>
            <w:r w:rsidR="00A71229" w:rsidRPr="009B698D">
              <w:rPr>
                <w:rStyle w:val="Hyperlnk"/>
                <w:noProof/>
              </w:rPr>
              <w:t>Règlement délégué (UE) …/... de la Commission du 28.7.2015 complétant la directive 2002/87/CE du Parlement européen et du Conseil par des normes techniques de réglementation précisant les définitions de la concentration de risques et des transactions intragroupe et coordonnant leur surveillance complémentaire</w:t>
            </w:r>
            <w:r w:rsidR="00A71229">
              <w:rPr>
                <w:noProof/>
                <w:webHidden/>
              </w:rPr>
              <w:tab/>
            </w:r>
            <w:r w:rsidR="00A71229">
              <w:rPr>
                <w:noProof/>
                <w:webHidden/>
              </w:rPr>
              <w:fldChar w:fldCharType="begin"/>
            </w:r>
            <w:r w:rsidR="00A71229">
              <w:rPr>
                <w:noProof/>
                <w:webHidden/>
              </w:rPr>
              <w:instrText xml:space="preserve"> PAGEREF _Toc430155515 \h </w:instrText>
            </w:r>
            <w:r w:rsidR="00A71229">
              <w:rPr>
                <w:noProof/>
                <w:webHidden/>
              </w:rPr>
            </w:r>
            <w:r w:rsidR="00A71229">
              <w:rPr>
                <w:noProof/>
                <w:webHidden/>
              </w:rPr>
              <w:fldChar w:fldCharType="separate"/>
            </w:r>
            <w:r w:rsidR="00A71229">
              <w:rPr>
                <w:noProof/>
                <w:webHidden/>
              </w:rPr>
              <w:t>8</w:t>
            </w:r>
            <w:r w:rsidR="00A71229">
              <w:rPr>
                <w:noProof/>
                <w:webHidden/>
              </w:rPr>
              <w:fldChar w:fldCharType="end"/>
            </w:r>
          </w:hyperlink>
        </w:p>
        <w:p w14:paraId="60A8993A"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16" w:history="1">
            <w:r w:rsidR="00A71229" w:rsidRPr="009B698D">
              <w:rPr>
                <w:rStyle w:val="Hyperlnk"/>
                <w:noProof/>
              </w:rPr>
              <w:t>12.</w:t>
            </w:r>
            <w:r w:rsidR="00A71229">
              <w:rPr>
                <w:rFonts w:asciiTheme="minorHAnsi" w:eastAsiaTheme="minorEastAsia" w:hAnsiTheme="minorHAnsi" w:cstheme="minorBidi"/>
                <w:noProof/>
                <w:lang w:eastAsia="sv-SE"/>
              </w:rPr>
              <w:tab/>
            </w:r>
            <w:r w:rsidR="00A71229" w:rsidRPr="009B698D">
              <w:rPr>
                <w:rStyle w:val="Hyperlnk"/>
                <w:noProof/>
              </w:rPr>
              <w:t>Spécifications d'exercice (EXSPEC) pour l'exercice militaire de gestion de crise de l'UE pour 2016 (MILEX 16)</w:t>
            </w:r>
            <w:r w:rsidR="00A71229">
              <w:rPr>
                <w:noProof/>
                <w:webHidden/>
              </w:rPr>
              <w:tab/>
            </w:r>
            <w:r w:rsidR="00A71229">
              <w:rPr>
                <w:noProof/>
                <w:webHidden/>
              </w:rPr>
              <w:fldChar w:fldCharType="begin"/>
            </w:r>
            <w:r w:rsidR="00A71229">
              <w:rPr>
                <w:noProof/>
                <w:webHidden/>
              </w:rPr>
              <w:instrText xml:space="preserve"> PAGEREF _Toc430155516 \h </w:instrText>
            </w:r>
            <w:r w:rsidR="00A71229">
              <w:rPr>
                <w:noProof/>
                <w:webHidden/>
              </w:rPr>
            </w:r>
            <w:r w:rsidR="00A71229">
              <w:rPr>
                <w:noProof/>
                <w:webHidden/>
              </w:rPr>
              <w:fldChar w:fldCharType="separate"/>
            </w:r>
            <w:r w:rsidR="00A71229">
              <w:rPr>
                <w:noProof/>
                <w:webHidden/>
              </w:rPr>
              <w:t>8</w:t>
            </w:r>
            <w:r w:rsidR="00A71229">
              <w:rPr>
                <w:noProof/>
                <w:webHidden/>
              </w:rPr>
              <w:fldChar w:fldCharType="end"/>
            </w:r>
          </w:hyperlink>
        </w:p>
        <w:p w14:paraId="3F0B1E69"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17" w:history="1">
            <w:r w:rsidR="00A71229" w:rsidRPr="009B698D">
              <w:rPr>
                <w:rStyle w:val="Hyperlnk"/>
                <w:noProof/>
              </w:rPr>
              <w:t>13.</w:t>
            </w:r>
            <w:r w:rsidR="00A71229">
              <w:rPr>
                <w:rFonts w:asciiTheme="minorHAnsi" w:eastAsiaTheme="minorEastAsia" w:hAnsiTheme="minorHAnsi" w:cstheme="minorBidi"/>
                <w:noProof/>
                <w:lang w:eastAsia="sv-SE"/>
              </w:rPr>
              <w:tab/>
            </w:r>
            <w:r w:rsidR="00A71229" w:rsidRPr="009B698D">
              <w:rPr>
                <w:rStyle w:val="Hyperlnk"/>
                <w:noProof/>
              </w:rPr>
              <w:t>Décision du Conseil appuyant un mécanisme de signalement mondial des armes de petit calibre et des armes légères et d'autres armes conventionnelles illicites et de leurs munitions destiné à réduire le risque de leur commerce illicite ("iTrace II")</w:t>
            </w:r>
            <w:r w:rsidR="00A71229">
              <w:rPr>
                <w:noProof/>
                <w:webHidden/>
              </w:rPr>
              <w:tab/>
            </w:r>
            <w:r w:rsidR="00A71229">
              <w:rPr>
                <w:noProof/>
                <w:webHidden/>
              </w:rPr>
              <w:fldChar w:fldCharType="begin"/>
            </w:r>
            <w:r w:rsidR="00A71229">
              <w:rPr>
                <w:noProof/>
                <w:webHidden/>
              </w:rPr>
              <w:instrText xml:space="preserve"> PAGEREF _Toc430155517 \h </w:instrText>
            </w:r>
            <w:r w:rsidR="00A71229">
              <w:rPr>
                <w:noProof/>
                <w:webHidden/>
              </w:rPr>
            </w:r>
            <w:r w:rsidR="00A71229">
              <w:rPr>
                <w:noProof/>
                <w:webHidden/>
              </w:rPr>
              <w:fldChar w:fldCharType="separate"/>
            </w:r>
            <w:r w:rsidR="00A71229">
              <w:rPr>
                <w:noProof/>
                <w:webHidden/>
              </w:rPr>
              <w:t>9</w:t>
            </w:r>
            <w:r w:rsidR="00A71229">
              <w:rPr>
                <w:noProof/>
                <w:webHidden/>
              </w:rPr>
              <w:fldChar w:fldCharType="end"/>
            </w:r>
          </w:hyperlink>
        </w:p>
        <w:p w14:paraId="289A81E8"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18" w:history="1">
            <w:r w:rsidR="00A71229" w:rsidRPr="009B698D">
              <w:rPr>
                <w:rStyle w:val="Hyperlnk"/>
                <w:noProof/>
              </w:rPr>
              <w:t>14.</w:t>
            </w:r>
            <w:r w:rsidR="00A71229">
              <w:rPr>
                <w:rFonts w:asciiTheme="minorHAnsi" w:eastAsiaTheme="minorEastAsia" w:hAnsiTheme="minorHAnsi" w:cstheme="minorBidi"/>
                <w:noProof/>
                <w:lang w:eastAsia="sv-SE"/>
              </w:rPr>
              <w:tab/>
            </w:r>
            <w:r w:rsidR="00A71229" w:rsidRPr="009B698D">
              <w:rPr>
                <w:rStyle w:val="Hyperlnk"/>
                <w:noProof/>
              </w:rPr>
              <w:t>(évent.) Elargissement –Négociations d'adhésion avec Monténégro</w:t>
            </w:r>
            <w:r w:rsidR="00A71229">
              <w:rPr>
                <w:noProof/>
                <w:webHidden/>
              </w:rPr>
              <w:tab/>
            </w:r>
            <w:r w:rsidR="00A71229">
              <w:rPr>
                <w:noProof/>
                <w:webHidden/>
              </w:rPr>
              <w:fldChar w:fldCharType="begin"/>
            </w:r>
            <w:r w:rsidR="00A71229">
              <w:rPr>
                <w:noProof/>
                <w:webHidden/>
              </w:rPr>
              <w:instrText xml:space="preserve"> PAGEREF _Toc430155518 \h </w:instrText>
            </w:r>
            <w:r w:rsidR="00A71229">
              <w:rPr>
                <w:noProof/>
                <w:webHidden/>
              </w:rPr>
            </w:r>
            <w:r w:rsidR="00A71229">
              <w:rPr>
                <w:noProof/>
                <w:webHidden/>
              </w:rPr>
              <w:fldChar w:fldCharType="separate"/>
            </w:r>
            <w:r w:rsidR="00A71229">
              <w:rPr>
                <w:noProof/>
                <w:webHidden/>
              </w:rPr>
              <w:t>9</w:t>
            </w:r>
            <w:r w:rsidR="00A71229">
              <w:rPr>
                <w:noProof/>
                <w:webHidden/>
              </w:rPr>
              <w:fldChar w:fldCharType="end"/>
            </w:r>
          </w:hyperlink>
        </w:p>
        <w:p w14:paraId="4A765A00"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19" w:history="1">
            <w:r w:rsidR="00A71229" w:rsidRPr="009B698D">
              <w:rPr>
                <w:rStyle w:val="Hyperlnk"/>
                <w:noProof/>
              </w:rPr>
              <w:t>15.</w:t>
            </w:r>
            <w:r w:rsidR="00A71229">
              <w:rPr>
                <w:rFonts w:asciiTheme="minorHAnsi" w:eastAsiaTheme="minorEastAsia" w:hAnsiTheme="minorHAnsi" w:cstheme="minorBidi"/>
                <w:noProof/>
                <w:lang w:eastAsia="sv-SE"/>
              </w:rPr>
              <w:tab/>
            </w:r>
            <w:r w:rsidR="00A71229" w:rsidRPr="009B698D">
              <w:rPr>
                <w:rStyle w:val="Hyperlnk"/>
                <w:noProof/>
              </w:rPr>
              <w:t>Proposition de décision du Conseil sur le possible transfert du siège de l'OIC de Londres à Abidjan</w:t>
            </w:r>
            <w:r w:rsidR="00A71229">
              <w:rPr>
                <w:noProof/>
                <w:webHidden/>
              </w:rPr>
              <w:tab/>
            </w:r>
            <w:r w:rsidR="00A71229">
              <w:rPr>
                <w:noProof/>
                <w:webHidden/>
              </w:rPr>
              <w:fldChar w:fldCharType="begin"/>
            </w:r>
            <w:r w:rsidR="00A71229">
              <w:rPr>
                <w:noProof/>
                <w:webHidden/>
              </w:rPr>
              <w:instrText xml:space="preserve"> PAGEREF _Toc430155519 \h </w:instrText>
            </w:r>
            <w:r w:rsidR="00A71229">
              <w:rPr>
                <w:noProof/>
                <w:webHidden/>
              </w:rPr>
            </w:r>
            <w:r w:rsidR="00A71229">
              <w:rPr>
                <w:noProof/>
                <w:webHidden/>
              </w:rPr>
              <w:fldChar w:fldCharType="separate"/>
            </w:r>
            <w:r w:rsidR="00A71229">
              <w:rPr>
                <w:noProof/>
                <w:webHidden/>
              </w:rPr>
              <w:t>10</w:t>
            </w:r>
            <w:r w:rsidR="00A71229">
              <w:rPr>
                <w:noProof/>
                <w:webHidden/>
              </w:rPr>
              <w:fldChar w:fldCharType="end"/>
            </w:r>
          </w:hyperlink>
        </w:p>
        <w:p w14:paraId="39679F19" w14:textId="77777777" w:rsidR="00A71229" w:rsidRDefault="00F52221">
          <w:pPr>
            <w:pStyle w:val="Innehll1"/>
            <w:tabs>
              <w:tab w:val="left" w:pos="660"/>
              <w:tab w:val="right" w:leader="dot" w:pos="9062"/>
            </w:tabs>
            <w:rPr>
              <w:rFonts w:asciiTheme="minorHAnsi" w:eastAsiaTheme="minorEastAsia" w:hAnsiTheme="minorHAnsi" w:cstheme="minorBidi"/>
              <w:noProof/>
              <w:lang w:eastAsia="sv-SE"/>
            </w:rPr>
          </w:pPr>
          <w:hyperlink w:anchor="_Toc430155520" w:history="1">
            <w:r w:rsidR="00A71229" w:rsidRPr="009B698D">
              <w:rPr>
                <w:rStyle w:val="Hyperlnk"/>
                <w:noProof/>
              </w:rPr>
              <w:t>16.</w:t>
            </w:r>
            <w:r w:rsidR="00A71229">
              <w:rPr>
                <w:rFonts w:asciiTheme="minorHAnsi" w:eastAsiaTheme="minorEastAsia" w:hAnsiTheme="minorHAnsi" w:cstheme="minorBidi"/>
                <w:noProof/>
                <w:lang w:eastAsia="sv-SE"/>
              </w:rPr>
              <w:tab/>
            </w:r>
            <w:r w:rsidR="00A71229" w:rsidRPr="009B698D">
              <w:rPr>
                <w:rStyle w:val="Hyperlnk"/>
                <w:noProof/>
              </w:rPr>
              <w:t>Projet de Décision du Conseil établissant la position à prendre au nom de l'Union européenne au sein du Conseil du commerce des services de l'Organisation mondiale du commerce au sujet de l'approbation d'un traitement préférentiel notifié par les membres de l'OMC, autres que l'Union et ses États membres, en ce qui concerne les services et fournisseurs de services des pays les moins avancés membres, sur l'application de mesures autres que celles définies à l'article XVI de l'AGCS</w:t>
            </w:r>
            <w:r w:rsidR="00A71229">
              <w:rPr>
                <w:noProof/>
                <w:webHidden/>
              </w:rPr>
              <w:tab/>
            </w:r>
            <w:r w:rsidR="00A71229">
              <w:rPr>
                <w:noProof/>
                <w:webHidden/>
              </w:rPr>
              <w:fldChar w:fldCharType="begin"/>
            </w:r>
            <w:r w:rsidR="00A71229">
              <w:rPr>
                <w:noProof/>
                <w:webHidden/>
              </w:rPr>
              <w:instrText xml:space="preserve"> PAGEREF _Toc430155520 \h </w:instrText>
            </w:r>
            <w:r w:rsidR="00A71229">
              <w:rPr>
                <w:noProof/>
                <w:webHidden/>
              </w:rPr>
            </w:r>
            <w:r w:rsidR="00A71229">
              <w:rPr>
                <w:noProof/>
                <w:webHidden/>
              </w:rPr>
              <w:fldChar w:fldCharType="separate"/>
            </w:r>
            <w:r w:rsidR="00A71229">
              <w:rPr>
                <w:noProof/>
                <w:webHidden/>
              </w:rPr>
              <w:t>10</w:t>
            </w:r>
            <w:r w:rsidR="00A71229">
              <w:rPr>
                <w:noProof/>
                <w:webHidden/>
              </w:rPr>
              <w:fldChar w:fldCharType="end"/>
            </w:r>
          </w:hyperlink>
        </w:p>
        <w:p w14:paraId="0F3B4348" w14:textId="77777777" w:rsidR="00D957FB" w:rsidRDefault="00D44582">
          <w:r>
            <w:rPr>
              <w:b/>
              <w:bCs/>
              <w:noProof/>
            </w:rPr>
            <w:fldChar w:fldCharType="end"/>
          </w:r>
        </w:p>
      </w:sdtContent>
    </w:sdt>
    <w:p w14:paraId="0F3B4349" w14:textId="77777777" w:rsidR="00D957FB" w:rsidRDefault="00D44582">
      <w:pPr>
        <w:ind w:left="0"/>
      </w:pPr>
      <w:r>
        <w:lastRenderedPageBreak/>
        <w:br w:type="page"/>
      </w:r>
    </w:p>
    <w:p w14:paraId="0F3B434B" w14:textId="77777777" w:rsidR="00643D86" w:rsidRPr="00946736" w:rsidRDefault="00D44582" w:rsidP="00643D86">
      <w:pPr>
        <w:pStyle w:val="Rubrik1"/>
        <w:rPr>
          <w:lang w:val="fr-FR"/>
        </w:rPr>
      </w:pPr>
      <w:bookmarkStart w:id="1" w:name="_Toc430155505"/>
      <w:bookmarkStart w:id="2" w:name="_Toc364854645"/>
      <w:r w:rsidRPr="00946736">
        <w:rPr>
          <w:noProof/>
          <w:lang w:val="fr-FR"/>
        </w:rPr>
        <w:lastRenderedPageBreak/>
        <w:t>Affaires devant le Tribunal de l'Union européenne</w:t>
      </w:r>
      <w:bookmarkEnd w:id="1"/>
    </w:p>
    <w:p w14:paraId="0F3B434C" w14:textId="194BD034" w:rsidR="00643D86" w:rsidRPr="00946736" w:rsidRDefault="00D44582" w:rsidP="00643D86">
      <w:pPr>
        <w:rPr>
          <w:lang w:val="fr-FR"/>
        </w:rPr>
      </w:pPr>
      <w:r w:rsidRPr="00946736">
        <w:rPr>
          <w:noProof/>
          <w:lang w:val="fr-FR"/>
        </w:rPr>
        <w:t>–</w:t>
      </w:r>
      <w:r w:rsidRPr="00946736">
        <w:rPr>
          <w:lang w:val="fr-FR"/>
        </w:rPr>
        <w:t>T-463/15 (Almashreq Investment Fund contre le Conseil de l'UE)</w:t>
      </w:r>
      <w:r w:rsidR="003F484E" w:rsidRPr="00946736">
        <w:rPr>
          <w:lang w:val="fr-FR"/>
        </w:rPr>
        <w:br/>
      </w:r>
      <w:r w:rsidRPr="00946736">
        <w:rPr>
          <w:lang w:val="fr-FR"/>
        </w:rPr>
        <w:t>–T-464/15 (Razan Othman contre le Conseil de l'UE)</w:t>
      </w:r>
      <w:r w:rsidR="003F484E" w:rsidRPr="00946736">
        <w:rPr>
          <w:lang w:val="fr-FR"/>
        </w:rPr>
        <w:br/>
      </w:r>
      <w:r w:rsidRPr="00946736">
        <w:rPr>
          <w:lang w:val="fr-FR"/>
        </w:rPr>
        <w:t>–T-465/15 (Ehab Makhlouf contre le Conseil de l'UE)</w:t>
      </w:r>
      <w:r w:rsidR="003F484E" w:rsidRPr="00946736">
        <w:rPr>
          <w:lang w:val="fr-FR"/>
        </w:rPr>
        <w:br/>
      </w:r>
      <w:r w:rsidRPr="00946736">
        <w:rPr>
          <w:lang w:val="fr-FR"/>
        </w:rPr>
        <w:t>–T-466/15 (Rami Makhlouf contre le Conseil de l'UE)</w:t>
      </w:r>
      <w:r w:rsidR="003F484E" w:rsidRPr="00946736">
        <w:rPr>
          <w:lang w:val="fr-FR"/>
        </w:rPr>
        <w:br/>
      </w:r>
      <w:r w:rsidRPr="00946736">
        <w:rPr>
          <w:lang w:val="fr-FR"/>
        </w:rPr>
        <w:t>–T-467/15 (Société Drex Technologie SA contre le Conseil de l'UE)</w:t>
      </w:r>
      <w:r w:rsidR="003F484E" w:rsidRPr="00946736">
        <w:rPr>
          <w:lang w:val="fr-FR"/>
        </w:rPr>
        <w:br/>
      </w:r>
      <w:r w:rsidRPr="00946736">
        <w:rPr>
          <w:lang w:val="fr-FR"/>
        </w:rPr>
        <w:t>–T-468/15 (Souruh SA contre le Conseil de l'UE)</w:t>
      </w:r>
      <w:r w:rsidR="003F484E" w:rsidRPr="00946736">
        <w:rPr>
          <w:lang w:val="fr-FR"/>
        </w:rPr>
        <w:br/>
      </w:r>
      <w:r w:rsidRPr="00946736">
        <w:rPr>
          <w:lang w:val="fr-FR"/>
        </w:rPr>
        <w:t>–T-469/15 (Société Bena Immobilière contre le Conseil de l'UE)</w:t>
      </w:r>
      <w:r w:rsidR="003F484E" w:rsidRPr="00946736">
        <w:rPr>
          <w:lang w:val="fr-FR"/>
        </w:rPr>
        <w:br/>
      </w:r>
      <w:r w:rsidRPr="00946736">
        <w:rPr>
          <w:lang w:val="fr-FR"/>
        </w:rPr>
        <w:t>–T-470/15 (Société Cham Holding contre le Conseil de l'UE)</w:t>
      </w:r>
      <w:r w:rsidR="003F484E" w:rsidRPr="00946736">
        <w:rPr>
          <w:lang w:val="fr-FR"/>
        </w:rPr>
        <w:br/>
      </w:r>
      <w:r w:rsidRPr="00946736">
        <w:rPr>
          <w:lang w:val="fr-FR"/>
        </w:rPr>
        <w:t>–T-471/15(Syrien Syriatel Mobile Telecom contre le Conseil de l'UE)</w:t>
      </w:r>
      <w:r w:rsidR="003F484E" w:rsidRPr="00946736">
        <w:rPr>
          <w:lang w:val="fr-FR"/>
        </w:rPr>
        <w:br/>
      </w:r>
      <w:r w:rsidRPr="00946736">
        <w:rPr>
          <w:noProof/>
          <w:lang w:val="fr-FR"/>
        </w:rPr>
        <w:t>11732</w:t>
      </w:r>
      <w:r w:rsidRPr="00946736">
        <w:rPr>
          <w:lang w:val="fr-FR"/>
        </w:rPr>
        <w:t>/15 JUR 578, RELEX 689, MOG 87, CONOP 101, CFSP/PESC 495</w:t>
      </w:r>
    </w:p>
    <w:p w14:paraId="0F3B434D" w14:textId="77777777" w:rsidR="00643D86" w:rsidRDefault="00D44582" w:rsidP="00643D86">
      <w:r>
        <w:rPr>
          <w:b/>
        </w:rPr>
        <w:t>Ansvarigt statsråd</w:t>
      </w:r>
      <w:r>
        <w:rPr>
          <w:b/>
        </w:rPr>
        <w:br/>
      </w:r>
      <w:r>
        <w:rPr>
          <w:noProof/>
        </w:rPr>
        <w:t>Margot Wallström</w:t>
      </w:r>
    </w:p>
    <w:p w14:paraId="0F3B4351" w14:textId="4C9BCD97" w:rsidR="00C61504" w:rsidRDefault="00D44582" w:rsidP="00FC00CC">
      <w:r w:rsidRPr="00B44CE2">
        <w:rPr>
          <w:b/>
        </w:rPr>
        <w:t>Annotering</w:t>
      </w:r>
      <w:r>
        <w:rPr>
          <w:b/>
        </w:rPr>
        <w:br/>
      </w:r>
      <w:r>
        <w:rPr>
          <w:b/>
          <w:bCs/>
        </w:rPr>
        <w:t>Avsikt med behandlingen i rådet:</w:t>
      </w:r>
      <w:r>
        <w:t xml:space="preserve"> Information om nio nya mål vid tribunalen där rådet har utsett ombud. </w:t>
      </w:r>
    </w:p>
    <w:p w14:paraId="0F3B4352" w14:textId="77777777" w:rsidR="00C61504" w:rsidRDefault="00D44582">
      <w:pPr>
        <w:spacing w:after="280" w:afterAutospacing="1"/>
      </w:pPr>
      <w:r>
        <w:rPr>
          <w:b/>
          <w:bCs/>
        </w:rPr>
        <w:t>Hur regeringen ställer sig till den blivande A-punkten:</w:t>
      </w:r>
      <w:r>
        <w:t xml:space="preserve"> Regeringen har ingen erinran mot denna informationspunkt. </w:t>
      </w:r>
    </w:p>
    <w:p w14:paraId="0F3B4354" w14:textId="03C9A1A2" w:rsidR="00FB32B9" w:rsidRDefault="00D44582">
      <w:pPr>
        <w:spacing w:after="280" w:afterAutospacing="1"/>
        <w:rPr>
          <w:noProof/>
        </w:rPr>
      </w:pPr>
      <w:r>
        <w:rPr>
          <w:b/>
          <w:bCs/>
        </w:rPr>
        <w:t xml:space="preserve">Bakgrund: </w:t>
      </w:r>
      <w:r>
        <w:t>Samtliga nio mål rör talan om ogiltigförklaring av rådets beslut (</w:t>
      </w:r>
      <w:proofErr w:type="spellStart"/>
      <w:r>
        <w:t>Gusp</w:t>
      </w:r>
      <w:proofErr w:type="spellEnd"/>
      <w:r>
        <w:t>) 2015/837 av den 28 maj 2015 om ändring av beslut 2013/255/</w:t>
      </w:r>
      <w:proofErr w:type="spellStart"/>
      <w:r>
        <w:t>Gusp</w:t>
      </w:r>
      <w:proofErr w:type="spellEnd"/>
      <w:r>
        <w:t xml:space="preserve"> om restriktiva åtgärder mot Syrien i den del beslutet rör sökand</w:t>
      </w:r>
      <w:r w:rsidR="003F484E">
        <w:t xml:space="preserve">ena. </w:t>
      </w:r>
    </w:p>
    <w:p w14:paraId="0F3B4355" w14:textId="77777777" w:rsidR="00643D86" w:rsidRPr="00946736" w:rsidRDefault="00D44582" w:rsidP="00643D86">
      <w:pPr>
        <w:pStyle w:val="Rubrik1"/>
        <w:rPr>
          <w:lang w:val="fr-FR"/>
        </w:rPr>
      </w:pPr>
      <w:bookmarkStart w:id="3" w:name="_Toc430155506"/>
      <w:r w:rsidRPr="00946736">
        <w:rPr>
          <w:noProof/>
          <w:lang w:val="fr-FR"/>
        </w:rPr>
        <w:t xml:space="preserve">Projet de décision du Conseil portant nomination d'un suppléant danois du Comité des régions </w:t>
      </w:r>
      <w:r w:rsidRPr="00946736">
        <w:rPr>
          <w:noProof/>
          <w:lang w:val="fr-FR"/>
        </w:rPr>
        <w:br/>
        <w:t>–Adoption</w:t>
      </w:r>
      <w:bookmarkEnd w:id="3"/>
    </w:p>
    <w:p w14:paraId="0F3B4356" w14:textId="2C15C416" w:rsidR="00643D86" w:rsidRPr="00946736" w:rsidRDefault="00D44582" w:rsidP="00643D86">
      <w:r w:rsidRPr="00946736">
        <w:rPr>
          <w:noProof/>
        </w:rPr>
        <w:t>11778</w:t>
      </w:r>
      <w:r w:rsidRPr="00946736">
        <w:t>/15 CDR 68</w:t>
      </w:r>
      <w:r w:rsidR="00FC00CC" w:rsidRPr="00946736">
        <w:t xml:space="preserve"> </w:t>
      </w:r>
      <w:r w:rsidRPr="00946736">
        <w:t>11776/15 CDR 67</w:t>
      </w:r>
    </w:p>
    <w:p w14:paraId="0F3B4357" w14:textId="77777777" w:rsidR="00643D86" w:rsidRDefault="00D44582" w:rsidP="00643D86">
      <w:r>
        <w:rPr>
          <w:b/>
        </w:rPr>
        <w:t>Ansvarigt statsråd</w:t>
      </w:r>
      <w:r>
        <w:rPr>
          <w:b/>
        </w:rPr>
        <w:br/>
      </w:r>
      <w:r>
        <w:rPr>
          <w:noProof/>
        </w:rPr>
        <w:t>Ardalan Shekarabi</w:t>
      </w:r>
    </w:p>
    <w:p w14:paraId="0F3B435A" w14:textId="77777777" w:rsidR="00643D86" w:rsidRDefault="00D44582" w:rsidP="00643D86">
      <w:r w:rsidRPr="00B44CE2">
        <w:rPr>
          <w:b/>
        </w:rPr>
        <w:t>Annotering</w:t>
      </w:r>
      <w:r>
        <w:rPr>
          <w:b/>
        </w:rPr>
        <w:br/>
      </w:r>
      <w:r>
        <w:t>Föranleder ingen annotering.</w:t>
      </w:r>
    </w:p>
    <w:p w14:paraId="0F3B435B" w14:textId="77777777" w:rsidR="00643D86" w:rsidRPr="00946736" w:rsidRDefault="00D44582" w:rsidP="00643D86">
      <w:pPr>
        <w:pStyle w:val="Rubrik1"/>
        <w:rPr>
          <w:lang w:val="fr-FR"/>
        </w:rPr>
      </w:pPr>
      <w:bookmarkStart w:id="4" w:name="_Toc430155507"/>
      <w:r w:rsidRPr="00946736">
        <w:rPr>
          <w:noProof/>
          <w:lang w:val="fr-FR"/>
        </w:rPr>
        <w:t xml:space="preserve">Projet de décision du Conseil portant nomination de deux membres espagnols du Comité des régions </w:t>
      </w:r>
      <w:r w:rsidRPr="00946736">
        <w:rPr>
          <w:noProof/>
          <w:lang w:val="fr-FR"/>
        </w:rPr>
        <w:br/>
        <w:t>–Adoption</w:t>
      </w:r>
      <w:bookmarkEnd w:id="4"/>
    </w:p>
    <w:p w14:paraId="0F3B435C" w14:textId="0FD88BDF" w:rsidR="00643D86" w:rsidRPr="00946736" w:rsidRDefault="00D44582" w:rsidP="00643D86">
      <w:r w:rsidRPr="00946736">
        <w:rPr>
          <w:noProof/>
        </w:rPr>
        <w:t>11813</w:t>
      </w:r>
      <w:r w:rsidRPr="00946736">
        <w:t>/15 CDR 71</w:t>
      </w:r>
      <w:r w:rsidR="00FC00CC" w:rsidRPr="00946736">
        <w:t xml:space="preserve"> </w:t>
      </w:r>
      <w:r w:rsidRPr="00946736">
        <w:t>11812/15 CDR 70</w:t>
      </w:r>
    </w:p>
    <w:p w14:paraId="0F3B435D" w14:textId="77777777" w:rsidR="00643D86" w:rsidRDefault="00D44582" w:rsidP="00643D86">
      <w:r>
        <w:rPr>
          <w:b/>
        </w:rPr>
        <w:t>Ansvarigt statsråd</w:t>
      </w:r>
      <w:r>
        <w:rPr>
          <w:b/>
        </w:rPr>
        <w:br/>
      </w:r>
      <w:r>
        <w:rPr>
          <w:noProof/>
        </w:rPr>
        <w:t>Ardalan Shekarabi</w:t>
      </w:r>
    </w:p>
    <w:p w14:paraId="0F3B4360" w14:textId="77777777" w:rsidR="00643D86" w:rsidRDefault="00D44582" w:rsidP="00643D86">
      <w:r w:rsidRPr="00B44CE2">
        <w:rPr>
          <w:b/>
        </w:rPr>
        <w:t>Annotering</w:t>
      </w:r>
      <w:r>
        <w:rPr>
          <w:b/>
        </w:rPr>
        <w:br/>
      </w:r>
      <w:r>
        <w:t>Föranleder ingen annotering.</w:t>
      </w:r>
    </w:p>
    <w:p w14:paraId="0F3B4361" w14:textId="77777777" w:rsidR="00643D86" w:rsidRPr="00946736" w:rsidRDefault="00D44582" w:rsidP="00643D86">
      <w:pPr>
        <w:pStyle w:val="Rubrik1"/>
        <w:rPr>
          <w:lang w:val="fr-FR"/>
        </w:rPr>
      </w:pPr>
      <w:bookmarkStart w:id="5" w:name="_Toc430155508"/>
      <w:r w:rsidRPr="00946736">
        <w:rPr>
          <w:noProof/>
          <w:lang w:val="fr-FR"/>
        </w:rPr>
        <w:lastRenderedPageBreak/>
        <w:t xml:space="preserve">Projet de décision du Conseil portant nomination d'un membre autrichien et d'un suppléant autrichien du Comité des régions </w:t>
      </w:r>
      <w:r w:rsidRPr="00946736">
        <w:rPr>
          <w:noProof/>
          <w:lang w:val="fr-FR"/>
        </w:rPr>
        <w:br/>
        <w:t>–Adoption</w:t>
      </w:r>
      <w:bookmarkEnd w:id="5"/>
    </w:p>
    <w:p w14:paraId="0F3B4362" w14:textId="694A66D7" w:rsidR="00643D86" w:rsidRPr="00946736" w:rsidRDefault="00D44582" w:rsidP="00643D86">
      <w:r w:rsidRPr="00946736">
        <w:rPr>
          <w:noProof/>
        </w:rPr>
        <w:t>11861</w:t>
      </w:r>
      <w:r w:rsidRPr="00946736">
        <w:t>/15 CDR 74</w:t>
      </w:r>
      <w:r w:rsidR="003F484E" w:rsidRPr="00946736">
        <w:t xml:space="preserve"> </w:t>
      </w:r>
      <w:r w:rsidRPr="00946736">
        <w:t>11860/15 CDR 73</w:t>
      </w:r>
    </w:p>
    <w:p w14:paraId="0F3B4363" w14:textId="77777777" w:rsidR="00643D86" w:rsidRDefault="00D44582" w:rsidP="00643D86">
      <w:r>
        <w:rPr>
          <w:b/>
        </w:rPr>
        <w:t>Ansvarigt statsråd</w:t>
      </w:r>
      <w:r>
        <w:rPr>
          <w:b/>
        </w:rPr>
        <w:br/>
      </w:r>
      <w:r>
        <w:rPr>
          <w:noProof/>
        </w:rPr>
        <w:t>Ardalan Shekarabi</w:t>
      </w:r>
    </w:p>
    <w:p w14:paraId="0F3B4366" w14:textId="77777777" w:rsidR="00643D86" w:rsidRDefault="00D44582" w:rsidP="00643D86">
      <w:r w:rsidRPr="00B44CE2">
        <w:rPr>
          <w:b/>
        </w:rPr>
        <w:t>Annotering</w:t>
      </w:r>
      <w:r>
        <w:rPr>
          <w:b/>
        </w:rPr>
        <w:br/>
      </w:r>
      <w:r>
        <w:t>Föranleder ingen annotering.</w:t>
      </w:r>
    </w:p>
    <w:p w14:paraId="0F3B4367" w14:textId="77777777" w:rsidR="00643D86" w:rsidRPr="00946736" w:rsidRDefault="00D44582" w:rsidP="00643D86">
      <w:pPr>
        <w:pStyle w:val="Rubrik1"/>
        <w:rPr>
          <w:lang w:val="fr-FR"/>
        </w:rPr>
      </w:pPr>
      <w:bookmarkStart w:id="6" w:name="_Toc430155509"/>
      <w:r w:rsidRPr="00946736">
        <w:rPr>
          <w:noProof/>
          <w:lang w:val="fr-FR"/>
        </w:rPr>
        <w:t xml:space="preserve">Projet de décision du Conseil portant nomination de quatre membres néerlandais et de cinq suppléants néerlandais du Comité des régions </w:t>
      </w:r>
      <w:r w:rsidRPr="00946736">
        <w:rPr>
          <w:noProof/>
          <w:lang w:val="fr-FR"/>
        </w:rPr>
        <w:br/>
        <w:t>–Adoption</w:t>
      </w:r>
      <w:bookmarkEnd w:id="6"/>
    </w:p>
    <w:p w14:paraId="0F3B4368" w14:textId="31CA5880" w:rsidR="00643D86" w:rsidRPr="00946736" w:rsidRDefault="00D44582" w:rsidP="00643D86">
      <w:r w:rsidRPr="00946736">
        <w:rPr>
          <w:noProof/>
        </w:rPr>
        <w:t>11863</w:t>
      </w:r>
      <w:r w:rsidRPr="00946736">
        <w:t>/15 CDR 76</w:t>
      </w:r>
      <w:r w:rsidR="00FC00CC" w:rsidRPr="00946736">
        <w:t xml:space="preserve"> </w:t>
      </w:r>
      <w:r w:rsidRPr="00946736">
        <w:t>11862/15 CDR 75</w:t>
      </w:r>
    </w:p>
    <w:p w14:paraId="0F3B4369" w14:textId="77777777" w:rsidR="00643D86" w:rsidRDefault="00D44582" w:rsidP="00643D86">
      <w:r>
        <w:rPr>
          <w:b/>
        </w:rPr>
        <w:t>Ansvarigt statsråd</w:t>
      </w:r>
      <w:r>
        <w:rPr>
          <w:b/>
        </w:rPr>
        <w:br/>
      </w:r>
      <w:r>
        <w:rPr>
          <w:noProof/>
        </w:rPr>
        <w:t>Ardalan Shekarabi</w:t>
      </w:r>
    </w:p>
    <w:p w14:paraId="0F3B436C" w14:textId="77777777" w:rsidR="00643D86" w:rsidRDefault="00D44582" w:rsidP="00643D86">
      <w:r w:rsidRPr="00B44CE2">
        <w:rPr>
          <w:b/>
        </w:rPr>
        <w:t>Annotering</w:t>
      </w:r>
      <w:r>
        <w:rPr>
          <w:b/>
        </w:rPr>
        <w:br/>
      </w:r>
      <w:r>
        <w:t>Föranleder ingen annotering.</w:t>
      </w:r>
    </w:p>
    <w:p w14:paraId="0F3B436D" w14:textId="77777777" w:rsidR="00643D86" w:rsidRPr="00946736" w:rsidRDefault="00D44582" w:rsidP="00643D86">
      <w:pPr>
        <w:pStyle w:val="Rubrik1"/>
        <w:rPr>
          <w:lang w:val="fr-FR"/>
        </w:rPr>
      </w:pPr>
      <w:bookmarkStart w:id="7" w:name="_Toc430155510"/>
      <w:r w:rsidRPr="00946736">
        <w:rPr>
          <w:noProof/>
          <w:lang w:val="fr-FR"/>
        </w:rPr>
        <w:t>Proposition de virement de crédits n° DEC 26/2015 à l'intérieur de la section III - Commission - du budget général pour l'exercice 2015</w:t>
      </w:r>
      <w:bookmarkEnd w:id="7"/>
    </w:p>
    <w:p w14:paraId="0F3B436E" w14:textId="61DFCE14" w:rsidR="00643D86" w:rsidRPr="00946736" w:rsidRDefault="00D44582" w:rsidP="00643D86">
      <w:r w:rsidRPr="00946736">
        <w:rPr>
          <w:noProof/>
        </w:rPr>
        <w:t>11816</w:t>
      </w:r>
      <w:r w:rsidRPr="00946736">
        <w:t>/15 FIN 596 INST 314 PE-L 50</w:t>
      </w:r>
    </w:p>
    <w:p w14:paraId="0F3B436F" w14:textId="77777777" w:rsidR="00643D86" w:rsidRDefault="00D44582" w:rsidP="00643D86">
      <w:r>
        <w:rPr>
          <w:b/>
        </w:rPr>
        <w:t>Ansvarigt statsråd</w:t>
      </w:r>
      <w:r>
        <w:rPr>
          <w:b/>
        </w:rPr>
        <w:br/>
      </w:r>
      <w:r>
        <w:rPr>
          <w:noProof/>
        </w:rPr>
        <w:t>Magdalena Andersson</w:t>
      </w:r>
    </w:p>
    <w:p w14:paraId="0F3B4372" w14:textId="77777777" w:rsidR="00643D86" w:rsidRDefault="00D44582" w:rsidP="00643D86">
      <w:r w:rsidRPr="00B44CE2">
        <w:rPr>
          <w:b/>
        </w:rPr>
        <w:t>Annotering</w:t>
      </w:r>
      <w:r>
        <w:rPr>
          <w:b/>
        </w:rPr>
        <w:br/>
      </w:r>
      <w:r>
        <w:rPr>
          <w:b/>
          <w:bCs/>
        </w:rPr>
        <w:t>Avsikt med behandlingen i rådet:</w:t>
      </w:r>
      <w:r>
        <w:t xml:space="preserve"> Att med kvalificerad majoritet godkänna överföring av medel. </w:t>
      </w:r>
    </w:p>
    <w:p w14:paraId="0F3B4373" w14:textId="77777777" w:rsidR="00C61504" w:rsidRDefault="00D44582">
      <w:pPr>
        <w:spacing w:after="280" w:afterAutospacing="1"/>
      </w:pPr>
      <w:r>
        <w:rPr>
          <w:b/>
          <w:bCs/>
        </w:rPr>
        <w:t>Hur regeringen ställer sig till den blivande A-punkten:</w:t>
      </w:r>
      <w:r>
        <w:t xml:space="preserve"> Regeringen avser rösta ja. </w:t>
      </w:r>
    </w:p>
    <w:p w14:paraId="0F3B4374" w14:textId="77777777" w:rsidR="00C61504" w:rsidRDefault="00D44582">
      <w:pPr>
        <w:spacing w:after="280" w:afterAutospacing="1"/>
      </w:pPr>
      <w:r>
        <w:rPr>
          <w:b/>
          <w:bCs/>
        </w:rPr>
        <w:t xml:space="preserve">Bakgrund: </w:t>
      </w:r>
      <w:r>
        <w:t xml:space="preserve">KOM föreslår att totalt 15 miljoner euro i betalnings- och åtagandebemyndiganden tillförs </w:t>
      </w:r>
      <w:proofErr w:type="gramStart"/>
      <w:r>
        <w:t>anslaget  23</w:t>
      </w:r>
      <w:proofErr w:type="gramEnd"/>
      <w:r>
        <w:t xml:space="preserve"> 02 01 Humanitärt bistånd. </w:t>
      </w:r>
    </w:p>
    <w:p w14:paraId="0F3B4375" w14:textId="77777777" w:rsidR="00C61504" w:rsidRDefault="00D44582">
      <w:pPr>
        <w:spacing w:after="280" w:afterAutospacing="1"/>
      </w:pPr>
      <w:r>
        <w:t xml:space="preserve">Enligt KOM behövs förstärkningen för humanitära insatser som en följd av situationen i södra Sudan. </w:t>
      </w:r>
    </w:p>
    <w:p w14:paraId="0F3B4377" w14:textId="22A4F333" w:rsidR="00FB32B9" w:rsidRDefault="00D44582">
      <w:pPr>
        <w:spacing w:after="280" w:afterAutospacing="1"/>
        <w:rPr>
          <w:noProof/>
        </w:rPr>
      </w:pPr>
      <w:r>
        <w:t xml:space="preserve">Medlen föreslås överföras från anslaget 01 03 02 Makrofinansiellt stöd. </w:t>
      </w:r>
    </w:p>
    <w:p w14:paraId="0F3B4378" w14:textId="77777777" w:rsidR="00643D86" w:rsidRPr="00946736" w:rsidRDefault="00D44582" w:rsidP="00643D86">
      <w:pPr>
        <w:pStyle w:val="Rubrik1"/>
        <w:rPr>
          <w:lang w:val="fr-FR"/>
        </w:rPr>
      </w:pPr>
      <w:bookmarkStart w:id="8" w:name="_Toc430155511"/>
      <w:r w:rsidRPr="00946736">
        <w:rPr>
          <w:noProof/>
          <w:lang w:val="fr-FR"/>
        </w:rPr>
        <w:t>Proposition de virement de crédits n° DEC 27/2015 à l'intérieur de la section III - Commission</w:t>
      </w:r>
      <w:bookmarkEnd w:id="8"/>
      <w:r w:rsidRPr="00946736">
        <w:rPr>
          <w:noProof/>
          <w:lang w:val="fr-FR"/>
        </w:rPr>
        <w:t xml:space="preserve"> </w:t>
      </w:r>
    </w:p>
    <w:p w14:paraId="0F3B4379" w14:textId="75756064" w:rsidR="00643D86" w:rsidRPr="00946736" w:rsidRDefault="00D44582" w:rsidP="00643D86">
      <w:r w:rsidRPr="00946736">
        <w:rPr>
          <w:noProof/>
        </w:rPr>
        <w:t>11817</w:t>
      </w:r>
      <w:r w:rsidRPr="00946736">
        <w:t>/15 FIN 597 INST 315 PE-L 51</w:t>
      </w:r>
    </w:p>
    <w:p w14:paraId="0F3B437A" w14:textId="77777777" w:rsidR="00643D86" w:rsidRDefault="00D44582" w:rsidP="00643D86">
      <w:r>
        <w:rPr>
          <w:b/>
        </w:rPr>
        <w:t>Ansvarigt statsråd</w:t>
      </w:r>
      <w:r>
        <w:rPr>
          <w:b/>
        </w:rPr>
        <w:br/>
      </w:r>
      <w:r>
        <w:rPr>
          <w:noProof/>
        </w:rPr>
        <w:t>Magdalena Andersson</w:t>
      </w:r>
    </w:p>
    <w:p w14:paraId="0F3B437E" w14:textId="257ECBD0" w:rsidR="00C61504" w:rsidRDefault="00D44582" w:rsidP="00FC00CC">
      <w:r w:rsidRPr="00B44CE2">
        <w:rPr>
          <w:b/>
        </w:rPr>
        <w:t>Annotering</w:t>
      </w:r>
      <w:r>
        <w:rPr>
          <w:b/>
        </w:rPr>
        <w:br/>
      </w:r>
      <w:r>
        <w:rPr>
          <w:b/>
          <w:bCs/>
        </w:rPr>
        <w:t xml:space="preserve">Avsikt med behandlingen i rådet: </w:t>
      </w:r>
      <w:r>
        <w:t xml:space="preserve">Att med kvalificerad majoritet godkänna överföring av medel. </w:t>
      </w:r>
    </w:p>
    <w:p w14:paraId="0F3B437F" w14:textId="77777777" w:rsidR="00C61504" w:rsidRDefault="00D44582">
      <w:pPr>
        <w:spacing w:after="280" w:afterAutospacing="1"/>
      </w:pPr>
      <w:r>
        <w:rPr>
          <w:b/>
          <w:bCs/>
        </w:rPr>
        <w:t xml:space="preserve">Hur regeringen ställer sig till den blivande A-punkten: </w:t>
      </w:r>
      <w:r>
        <w:t xml:space="preserve">Regeringen avser rösta ja. </w:t>
      </w:r>
    </w:p>
    <w:p w14:paraId="0F3B4380" w14:textId="77777777" w:rsidR="00C61504" w:rsidRDefault="00D44582">
      <w:pPr>
        <w:spacing w:after="280" w:afterAutospacing="1"/>
      </w:pPr>
      <w:r>
        <w:rPr>
          <w:b/>
          <w:bCs/>
        </w:rPr>
        <w:t xml:space="preserve">Bakgrund: </w:t>
      </w:r>
      <w:r>
        <w:t xml:space="preserve">KOM föreslår att 19 miljoner euro i betalningsbemyndiganden och 20 miljoner euro i åtagandebemyndiganden tillförs </w:t>
      </w:r>
      <w:proofErr w:type="gramStart"/>
      <w:r>
        <w:t>anslaget  21</w:t>
      </w:r>
      <w:proofErr w:type="gramEnd"/>
      <w:r>
        <w:t xml:space="preserve"> 03 01 04 United Nations Relief and Works Agency for </w:t>
      </w:r>
      <w:proofErr w:type="spellStart"/>
      <w:r>
        <w:t>Palestine</w:t>
      </w:r>
      <w:proofErr w:type="spellEnd"/>
      <w:r>
        <w:t xml:space="preserve"> </w:t>
      </w:r>
      <w:proofErr w:type="spellStart"/>
      <w:r>
        <w:t>Refugees</w:t>
      </w:r>
      <w:proofErr w:type="spellEnd"/>
      <w:r>
        <w:t xml:space="preserve"> (UNRWA)</w:t>
      </w:r>
    </w:p>
    <w:p w14:paraId="0F3B4381" w14:textId="77777777" w:rsidR="00C61504" w:rsidRDefault="00D44582">
      <w:pPr>
        <w:spacing w:after="280" w:afterAutospacing="1"/>
      </w:pPr>
      <w:r>
        <w:t xml:space="preserve">Enligt KOM behövs förstärkningen för att UNRWA ska kunna upprätthålla sin verksamhet till slutet av året. </w:t>
      </w:r>
    </w:p>
    <w:p w14:paraId="0F3B4383" w14:textId="4FE25D1C" w:rsidR="00FB32B9" w:rsidRDefault="00D44582">
      <w:pPr>
        <w:spacing w:after="280" w:afterAutospacing="1"/>
        <w:rPr>
          <w:noProof/>
        </w:rPr>
      </w:pPr>
      <w:r>
        <w:t xml:space="preserve">Medlen föreslås överföras från anslaget 01 03 02 Makrofinansiellt stöd. </w:t>
      </w:r>
    </w:p>
    <w:p w14:paraId="0F3B4384" w14:textId="77777777" w:rsidR="00643D86" w:rsidRPr="00946736" w:rsidRDefault="00D44582" w:rsidP="00643D86">
      <w:pPr>
        <w:pStyle w:val="Rubrik1"/>
        <w:rPr>
          <w:lang w:val="fr-FR"/>
        </w:rPr>
      </w:pPr>
      <w:bookmarkStart w:id="9" w:name="_Toc430155512"/>
      <w:r w:rsidRPr="00946736">
        <w:rPr>
          <w:noProof/>
          <w:lang w:val="fr-FR"/>
        </w:rPr>
        <w:t>Proposition de virement de crédits n° DEC 28/2015 à l'intérieur de la section III - Commission - du budget général pour l'exercice 2015</w:t>
      </w:r>
      <w:bookmarkEnd w:id="9"/>
    </w:p>
    <w:p w14:paraId="0F3B4385" w14:textId="1CE2DC45" w:rsidR="00643D86" w:rsidRPr="00946736" w:rsidRDefault="00D44582" w:rsidP="00643D86">
      <w:r w:rsidRPr="00946736">
        <w:rPr>
          <w:noProof/>
        </w:rPr>
        <w:t>11818</w:t>
      </w:r>
      <w:r w:rsidRPr="00946736">
        <w:t>/15 FIN 598 INST 316 PE-L 52</w:t>
      </w:r>
    </w:p>
    <w:p w14:paraId="0F3B4386" w14:textId="77777777" w:rsidR="00643D86" w:rsidRDefault="00D44582" w:rsidP="00643D86">
      <w:r>
        <w:rPr>
          <w:b/>
        </w:rPr>
        <w:t>Ansvarigt statsråd</w:t>
      </w:r>
      <w:r>
        <w:rPr>
          <w:b/>
        </w:rPr>
        <w:br/>
      </w:r>
      <w:r>
        <w:rPr>
          <w:noProof/>
        </w:rPr>
        <w:t>Magdalena Andersson</w:t>
      </w:r>
    </w:p>
    <w:p w14:paraId="0F3B438A" w14:textId="33A0CD59" w:rsidR="00C61504" w:rsidRDefault="00D44582" w:rsidP="00FC00CC">
      <w:r w:rsidRPr="00B44CE2">
        <w:rPr>
          <w:b/>
        </w:rPr>
        <w:t>Annotering</w:t>
      </w:r>
      <w:r>
        <w:rPr>
          <w:b/>
        </w:rPr>
        <w:br/>
      </w:r>
      <w:r>
        <w:rPr>
          <w:b/>
          <w:bCs/>
        </w:rPr>
        <w:t xml:space="preserve">Avsikt med behandlingen i rådet: </w:t>
      </w:r>
      <w:r>
        <w:t xml:space="preserve">Att med kvalificerad majoritet godkänna </w:t>
      </w:r>
      <w:proofErr w:type="spellStart"/>
      <w:r>
        <w:t>övrföring</w:t>
      </w:r>
      <w:proofErr w:type="spellEnd"/>
      <w:r>
        <w:t xml:space="preserve"> av medel. </w:t>
      </w:r>
    </w:p>
    <w:p w14:paraId="0F3B438B" w14:textId="3AF2ACFE" w:rsidR="00C61504" w:rsidRDefault="00D44582">
      <w:pPr>
        <w:spacing w:after="280" w:afterAutospacing="1"/>
      </w:pPr>
      <w:r>
        <w:rPr>
          <w:b/>
          <w:bCs/>
        </w:rPr>
        <w:t>Hur regeringen ställer sig till den blivande A-punkten:</w:t>
      </w:r>
      <w:r>
        <w:t xml:space="preserve"> Regeringen avser rösta ja. </w:t>
      </w:r>
    </w:p>
    <w:p w14:paraId="0F3B438D" w14:textId="3E3210C9" w:rsidR="00C61504" w:rsidRDefault="00D44582">
      <w:pPr>
        <w:spacing w:after="280" w:afterAutospacing="1"/>
      </w:pPr>
      <w:r>
        <w:rPr>
          <w:b/>
          <w:bCs/>
        </w:rPr>
        <w:t>Bakgrund:</w:t>
      </w:r>
      <w:r w:rsidR="00FC00CC">
        <w:rPr>
          <w:b/>
          <w:bCs/>
        </w:rPr>
        <w:t xml:space="preserve"> </w:t>
      </w:r>
      <w:r>
        <w:t xml:space="preserve">KOM föreslår att totalt 45 000 000 euro i åtagandebemyndiganden och totalt 15 000 000 euro i betalningsbemyndiganden överförs till dels anslag 21 03 01 03 Grannskapsinstrumentet – medelhavsländer (30 </w:t>
      </w:r>
      <w:proofErr w:type="spellStart"/>
      <w:r>
        <w:t>mneuro</w:t>
      </w:r>
      <w:proofErr w:type="spellEnd"/>
      <w:r>
        <w:t xml:space="preserve"> i åtaganden), dels till anslaget 23 02 01 Humanitärt bistånd (15 </w:t>
      </w:r>
      <w:proofErr w:type="spellStart"/>
      <w:r>
        <w:t>mneuro</w:t>
      </w:r>
      <w:proofErr w:type="spellEnd"/>
      <w:r>
        <w:t xml:space="preserve"> i åtaganden och betalningar). </w:t>
      </w:r>
    </w:p>
    <w:p w14:paraId="0F3B438E" w14:textId="77777777" w:rsidR="00C61504" w:rsidRDefault="00D44582">
      <w:pPr>
        <w:spacing w:after="280" w:afterAutospacing="1"/>
      </w:pPr>
      <w:r>
        <w:t>Enligt KOM behövs förstärkningarna mot bakgrund av flyktingsituationen i Syrien och grannländer och övriga humanitära insatser i Syrien och Irak.</w:t>
      </w:r>
    </w:p>
    <w:p w14:paraId="0F3B438F" w14:textId="77777777" w:rsidR="00C61504" w:rsidRDefault="00D44582">
      <w:pPr>
        <w:spacing w:after="280" w:afterAutospacing="1"/>
      </w:pPr>
      <w:r>
        <w:t xml:space="preserve">KOM föreslår att 42 455 000 euro i åtaganden och 1 688 254 euro överförs från anslaget 01 03 02 Makrofinansiellt stöd. </w:t>
      </w:r>
    </w:p>
    <w:p w14:paraId="0F3B4391" w14:textId="41E65B7F" w:rsidR="00FB32B9" w:rsidRDefault="00D44582">
      <w:pPr>
        <w:spacing w:after="280" w:afterAutospacing="1"/>
        <w:rPr>
          <w:noProof/>
        </w:rPr>
      </w:pPr>
      <w:r>
        <w:t>För resterande medel säger sig KOM ha undersökt alla möjligheter till omfördelning inom budgeten för humanitärt bistånd och under rubrik 4 men inte hittat några tillgängliga medel. KOM begär därför en förstärkning på 2 545 000 euro i åtaganden och 13 311 746 euro i betalningar genom mobilisering av reserven för katastrofbistånd</w:t>
      </w:r>
      <w:r w:rsidR="00FC00CC">
        <w:t>.</w:t>
      </w:r>
    </w:p>
    <w:p w14:paraId="0F3B4392" w14:textId="77777777" w:rsidR="00643D86" w:rsidRPr="00946736" w:rsidRDefault="00D44582" w:rsidP="00643D86">
      <w:pPr>
        <w:pStyle w:val="Rubrik1"/>
        <w:rPr>
          <w:lang w:val="fr-FR"/>
        </w:rPr>
      </w:pPr>
      <w:bookmarkStart w:id="10" w:name="_Toc430155513"/>
      <w:r w:rsidRPr="00946736">
        <w:rPr>
          <w:noProof/>
          <w:lang w:val="fr-FR"/>
        </w:rPr>
        <w:t>Proposition de virement de crédits n°1/2015 à l'intérieur de la section X - Service Européen pour l'action Extérieure - du budget général pour l'exercice 2015</w:t>
      </w:r>
      <w:bookmarkEnd w:id="10"/>
    </w:p>
    <w:p w14:paraId="0F3B4393" w14:textId="3D50EAFB" w:rsidR="00643D86" w:rsidRPr="00946736" w:rsidRDefault="00D44582" w:rsidP="00643D86">
      <w:r w:rsidRPr="00946736">
        <w:rPr>
          <w:noProof/>
        </w:rPr>
        <w:t>11802</w:t>
      </w:r>
      <w:r w:rsidRPr="00946736">
        <w:t>/15 FIN 594 INST 312 PE-L 49</w:t>
      </w:r>
    </w:p>
    <w:p w14:paraId="0F3B4394" w14:textId="77777777" w:rsidR="00643D86" w:rsidRDefault="00D44582" w:rsidP="00643D86">
      <w:r>
        <w:rPr>
          <w:b/>
        </w:rPr>
        <w:t>Ansvarigt statsråd</w:t>
      </w:r>
      <w:r>
        <w:rPr>
          <w:b/>
        </w:rPr>
        <w:br/>
      </w:r>
      <w:r>
        <w:rPr>
          <w:noProof/>
        </w:rPr>
        <w:t>Magdalena Andersson</w:t>
      </w:r>
    </w:p>
    <w:p w14:paraId="0F3B4398" w14:textId="0CD00FFC" w:rsidR="00C61504" w:rsidRDefault="00D44582" w:rsidP="00FC00CC">
      <w:r w:rsidRPr="00B44CE2">
        <w:rPr>
          <w:b/>
        </w:rPr>
        <w:t>Annotering</w:t>
      </w:r>
      <w:r>
        <w:rPr>
          <w:b/>
        </w:rPr>
        <w:br/>
      </w:r>
      <w:r>
        <w:rPr>
          <w:b/>
          <w:bCs/>
        </w:rPr>
        <w:t>Avsikt med behandlingen i rådet:</w:t>
      </w:r>
      <w:r>
        <w:t xml:space="preserve"> Att med kvalificerad majoritet godkänna </w:t>
      </w:r>
      <w:proofErr w:type="spellStart"/>
      <w:r>
        <w:t>övrföring</w:t>
      </w:r>
      <w:proofErr w:type="spellEnd"/>
      <w:r>
        <w:t xml:space="preserve"> av medel. </w:t>
      </w:r>
    </w:p>
    <w:p w14:paraId="0F3B4399" w14:textId="77777777" w:rsidR="00C61504" w:rsidRDefault="00D44582">
      <w:pPr>
        <w:spacing w:after="280" w:afterAutospacing="1"/>
      </w:pPr>
      <w:r>
        <w:rPr>
          <w:b/>
          <w:bCs/>
        </w:rPr>
        <w:t>Hur regeringen ställer sig till den blivande A-punkten:</w:t>
      </w:r>
      <w:r>
        <w:t xml:space="preserve"> Regeringen avser rösta ja. </w:t>
      </w:r>
    </w:p>
    <w:p w14:paraId="7C9DAEC3" w14:textId="1B650988" w:rsidR="00FC00CC" w:rsidRDefault="00D44582">
      <w:pPr>
        <w:spacing w:after="280" w:afterAutospacing="1"/>
      </w:pPr>
      <w:r>
        <w:rPr>
          <w:b/>
          <w:bCs/>
        </w:rPr>
        <w:t xml:space="preserve">Bakgrund: </w:t>
      </w:r>
      <w:r>
        <w:t>Europeiska utrikes tjänsten (EEAS) föreslår en överföring inom sin budget på totalt 3 763 000 euro. Medel föreslås föras till framförallt följande områden.</w:t>
      </w:r>
      <w:r w:rsidR="00FC00CC">
        <w:br/>
      </w:r>
      <w:proofErr w:type="gramStart"/>
      <w:r>
        <w:t>-</w:t>
      </w:r>
      <w:proofErr w:type="gramEnd"/>
      <w:r>
        <w:t xml:space="preserve"> ersättning till lokalanställda på delegationerna (förstärkning behövs som en följd av den försvagade euron)</w:t>
      </w:r>
      <w:r w:rsidR="00FC00CC">
        <w:br/>
      </w:r>
      <w:r>
        <w:t xml:space="preserve">- administrativt stöd från KOM </w:t>
      </w:r>
      <w:r w:rsidR="00FC00CC">
        <w:br/>
      </w:r>
      <w:r>
        <w:t xml:space="preserve">- personal- och övervakningskostnader </w:t>
      </w:r>
    </w:p>
    <w:p w14:paraId="0F3B439E" w14:textId="518C05D4" w:rsidR="00C61504" w:rsidRDefault="00D44582">
      <w:pPr>
        <w:spacing w:after="280" w:afterAutospacing="1"/>
      </w:pPr>
      <w:r>
        <w:t>Förstärkningarna finansieras från hyror för byggnader vid huvudkontoret.</w:t>
      </w:r>
    </w:p>
    <w:p w14:paraId="0F3B43A0" w14:textId="77777777" w:rsidR="00643D86" w:rsidRPr="00946736" w:rsidRDefault="00D44582" w:rsidP="00643D86">
      <w:pPr>
        <w:pStyle w:val="Rubrik1"/>
        <w:rPr>
          <w:lang w:val="fr-FR"/>
        </w:rPr>
      </w:pPr>
      <w:bookmarkStart w:id="11" w:name="_Toc430155514"/>
      <w:r w:rsidRPr="00946736">
        <w:rPr>
          <w:noProof/>
          <w:lang w:val="fr-FR"/>
        </w:rPr>
        <w:t>Règlement délégué (UE) …/... de la Commission du 8.7.2015 complétant le règlement (UE) nº 1303/2013 du Parlement européen et du Conseil par des dispositions spécifiques relatives à la notification des irrégularités en ce qui concerne le Fonds européen de développement régional, le Fonds social européen, le Fonds de cohésion et le Fonds européen pour les affaires maritimes et la pêche</w:t>
      </w:r>
      <w:bookmarkEnd w:id="11"/>
    </w:p>
    <w:p w14:paraId="0E2B710A" w14:textId="77777777" w:rsidR="00FC00CC" w:rsidRPr="00946736" w:rsidRDefault="00D44582" w:rsidP="00643D86">
      <w:pPr>
        <w:rPr>
          <w:lang w:val="fr-FR"/>
        </w:rPr>
      </w:pPr>
      <w:r w:rsidRPr="00946736">
        <w:rPr>
          <w:noProof/>
          <w:lang w:val="fr-FR"/>
        </w:rPr>
        <w:t>–</w:t>
      </w:r>
      <w:r w:rsidRPr="00946736">
        <w:rPr>
          <w:lang w:val="fr-FR"/>
        </w:rPr>
        <w:t xml:space="preserve">Intention de ne pas exprimer d'objection à l'égard de l'acte délégué </w:t>
      </w:r>
    </w:p>
    <w:p w14:paraId="0F3B43A1" w14:textId="2E8AE553" w:rsidR="00643D86" w:rsidRPr="00946736" w:rsidRDefault="00D44582" w:rsidP="00643D86">
      <w:pPr>
        <w:rPr>
          <w:lang w:val="fr-FR"/>
        </w:rPr>
      </w:pPr>
      <w:r w:rsidRPr="00946736">
        <w:rPr>
          <w:noProof/>
          <w:lang w:val="fr-FR"/>
        </w:rPr>
        <w:t>11811</w:t>
      </w:r>
      <w:r w:rsidRPr="00946736">
        <w:rPr>
          <w:lang w:val="fr-FR"/>
        </w:rPr>
        <w:t>/15 FSTR 58 FC 57 REGIO 71 SOC 508 EMPL 331 GAF 31 FIN 595 AGRISTR 61 PECHE 287 CADREFIN 50 DELACT 117</w:t>
      </w:r>
      <w:r w:rsidR="00FC00CC" w:rsidRPr="00946736">
        <w:rPr>
          <w:lang w:val="fr-FR"/>
        </w:rPr>
        <w:t xml:space="preserve"> </w:t>
      </w:r>
      <w:r w:rsidRPr="00946736">
        <w:rPr>
          <w:lang w:val="fr-FR"/>
        </w:rPr>
        <w:t>10735/15 FSTR 38 FC 39 REGIO 52 SOC 442 EMPL 287 GAF 22 FIN 504 AGRISTR 53 PECHE 245 CADREFIN 32 DELACT 87</w:t>
      </w:r>
    </w:p>
    <w:p w14:paraId="0F3B43A2" w14:textId="0947EDC2" w:rsidR="00643D86" w:rsidRPr="00457E28" w:rsidRDefault="00D44582" w:rsidP="00643D86">
      <w:r w:rsidRPr="00457E28">
        <w:rPr>
          <w:b/>
        </w:rPr>
        <w:t>Ansvarigt statsråd</w:t>
      </w:r>
      <w:r w:rsidRPr="00457E28">
        <w:rPr>
          <w:b/>
        </w:rPr>
        <w:br/>
      </w:r>
      <w:r w:rsidR="00457E28" w:rsidRPr="00457E28">
        <w:rPr>
          <w:noProof/>
        </w:rPr>
        <w:t xml:space="preserve">Sven-Erik </w:t>
      </w:r>
      <w:r w:rsidRPr="00457E28">
        <w:rPr>
          <w:noProof/>
        </w:rPr>
        <w:t>Bucht</w:t>
      </w:r>
    </w:p>
    <w:p w14:paraId="0F3B43A5" w14:textId="77777777" w:rsidR="00643D86" w:rsidRPr="00FC00CC" w:rsidRDefault="00D44582" w:rsidP="00643D86">
      <w:r w:rsidRPr="00B44CE2">
        <w:rPr>
          <w:b/>
        </w:rPr>
        <w:t>Annotering</w:t>
      </w:r>
      <w:r>
        <w:rPr>
          <w:b/>
        </w:rPr>
        <w:br/>
      </w:r>
      <w:r>
        <w:rPr>
          <w:b/>
          <w:bCs/>
        </w:rPr>
        <w:t xml:space="preserve">Avsikt med behandlingen i rådet: </w:t>
      </w:r>
      <w:r w:rsidRPr="00FC00CC">
        <w:rPr>
          <w:bCs/>
        </w:rPr>
        <w:t>Godta en delegerad akt om rapportering av oriktigheter</w:t>
      </w:r>
      <w:r w:rsidRPr="00FC00CC">
        <w:t xml:space="preserve">  </w:t>
      </w:r>
    </w:p>
    <w:p w14:paraId="0F3B43A6" w14:textId="77777777" w:rsidR="00C61504" w:rsidRDefault="00D44582">
      <w:pPr>
        <w:spacing w:after="280" w:afterAutospacing="1"/>
      </w:pPr>
      <w:r>
        <w:rPr>
          <w:b/>
          <w:bCs/>
        </w:rPr>
        <w:t>Hur regeringen ställer sig till den blivande A-punkten:</w:t>
      </w:r>
      <w:r>
        <w:t xml:space="preserve"> Kan godtas </w:t>
      </w:r>
    </w:p>
    <w:p w14:paraId="0F3B43A8" w14:textId="1DDBCD78" w:rsidR="00FB32B9" w:rsidRDefault="00D44582">
      <w:pPr>
        <w:spacing w:after="280" w:afterAutospacing="1"/>
        <w:rPr>
          <w:noProof/>
        </w:rPr>
      </w:pPr>
      <w:r>
        <w:rPr>
          <w:b/>
          <w:bCs/>
        </w:rPr>
        <w:t xml:space="preserve">Bakgrund: </w:t>
      </w:r>
      <w:r w:rsidRPr="00FC00CC">
        <w:rPr>
          <w:bCs/>
        </w:rPr>
        <w:t xml:space="preserve">Kompletterar grundläggande </w:t>
      </w:r>
      <w:proofErr w:type="spellStart"/>
      <w:r w:rsidRPr="00FC00CC">
        <w:rPr>
          <w:bCs/>
        </w:rPr>
        <w:t>rättakten</w:t>
      </w:r>
      <w:proofErr w:type="spellEnd"/>
      <w:r w:rsidRPr="00FC00CC">
        <w:rPr>
          <w:bCs/>
        </w:rPr>
        <w:t xml:space="preserve"> med bestämmelser om hur rapportering av oriktigheter ska gå till.</w:t>
      </w:r>
    </w:p>
    <w:p w14:paraId="0F3B43A9" w14:textId="19EDD869" w:rsidR="00643D86" w:rsidRPr="00946736" w:rsidRDefault="00D44582" w:rsidP="00643D86">
      <w:pPr>
        <w:pStyle w:val="Rubrik1"/>
        <w:rPr>
          <w:lang w:val="fr-FR"/>
        </w:rPr>
      </w:pPr>
      <w:bookmarkStart w:id="12" w:name="_Toc430155515"/>
      <w:r w:rsidRPr="00946736">
        <w:rPr>
          <w:noProof/>
          <w:lang w:val="fr-FR"/>
        </w:rPr>
        <w:t>Règlement délégué (UE) …/... de la Commission du 28.7.2015 complétant la directive 2002/87/CE du Parlement européen et du Conseil par des normes techniques de réglementation précisant les définitions de la concentration de risques et des transactions intragroupe et coordonnant leur surveillance complémentaire</w:t>
      </w:r>
      <w:bookmarkEnd w:id="12"/>
    </w:p>
    <w:p w14:paraId="322601E6" w14:textId="77777777" w:rsidR="00457E28" w:rsidRPr="00946736" w:rsidRDefault="00457E28" w:rsidP="00457E28">
      <w:pPr>
        <w:rPr>
          <w:lang w:val="fr-FR"/>
        </w:rPr>
      </w:pPr>
      <w:r w:rsidRPr="00457E28">
        <w:rPr>
          <w:bCs/>
          <w:lang w:val="fr-BE"/>
        </w:rPr>
        <w:t>Demande de prolongation du délai</w:t>
      </w:r>
      <w:r w:rsidRPr="00457E28">
        <w:rPr>
          <w:lang w:val="fr-BE"/>
        </w:rPr>
        <w:t xml:space="preserve"> sur l'intention de ne pas exprimer d'objection</w:t>
      </w:r>
      <w:r w:rsidRPr="007C043C">
        <w:rPr>
          <w:lang w:val="fr-BE"/>
        </w:rPr>
        <w:t xml:space="preserve"> à </w:t>
      </w:r>
      <w:r>
        <w:rPr>
          <w:lang w:val="fr-BE"/>
        </w:rPr>
        <w:t>l'égard de l'</w:t>
      </w:r>
      <w:r w:rsidRPr="007C043C">
        <w:rPr>
          <w:lang w:val="fr-BE"/>
        </w:rPr>
        <w:t>acte délégué</w:t>
      </w:r>
    </w:p>
    <w:p w14:paraId="0F3B43AA" w14:textId="1EB21D98" w:rsidR="00643D86" w:rsidRPr="00946736" w:rsidRDefault="00D44582" w:rsidP="00643D86">
      <w:pPr>
        <w:rPr>
          <w:lang w:val="es-ES"/>
        </w:rPr>
      </w:pPr>
      <w:r w:rsidRPr="00946736">
        <w:rPr>
          <w:noProof/>
          <w:lang w:val="es-ES"/>
        </w:rPr>
        <w:t>11931</w:t>
      </w:r>
      <w:r w:rsidRPr="00946736">
        <w:rPr>
          <w:lang w:val="es-ES"/>
        </w:rPr>
        <w:t>/15 EF 170 ECOFIN 701 DELACT 119</w:t>
      </w:r>
      <w:r w:rsidR="00FC00CC" w:rsidRPr="00946736">
        <w:rPr>
          <w:lang w:val="es-ES"/>
        </w:rPr>
        <w:t xml:space="preserve"> </w:t>
      </w:r>
      <w:r w:rsidRPr="00946736">
        <w:rPr>
          <w:lang w:val="es-ES"/>
        </w:rPr>
        <w:t xml:space="preserve">11508/15 EF 165 ECOFIN 677 DELACT 109 </w:t>
      </w:r>
    </w:p>
    <w:p w14:paraId="0F3B43AB" w14:textId="77777777" w:rsidR="00643D86" w:rsidRDefault="00D44582" w:rsidP="00643D86">
      <w:r>
        <w:rPr>
          <w:b/>
        </w:rPr>
        <w:t>Ansvarigt statsråd</w:t>
      </w:r>
      <w:r>
        <w:rPr>
          <w:b/>
        </w:rPr>
        <w:br/>
      </w:r>
      <w:r>
        <w:rPr>
          <w:noProof/>
        </w:rPr>
        <w:t>Per Bolund</w:t>
      </w:r>
    </w:p>
    <w:p w14:paraId="0F3B43AF" w14:textId="1B548611" w:rsidR="00C61504" w:rsidRDefault="00D44582" w:rsidP="00FC00CC">
      <w:r w:rsidRPr="00B44CE2">
        <w:rPr>
          <w:b/>
        </w:rPr>
        <w:t>Annotering</w:t>
      </w:r>
      <w:r>
        <w:rPr>
          <w:b/>
        </w:rPr>
        <w:br/>
      </w:r>
      <w:r>
        <w:rPr>
          <w:b/>
          <w:bCs/>
        </w:rPr>
        <w:t>Avsikt med behandlingen i rådet:</w:t>
      </w:r>
      <w:r>
        <w:t xml:space="preserve"> Rådet föreslås enligt dokument 11931/15 daterat den 14 september begära att tiden för övervägande av den delegerade akten om definitioner samt koordinering av extra tillsyn av riskkoncentrationer och intragrupptransaktioner enligt artikel 21a.1a av direktivet 2002/87/EG om finansiella konglomerat förlängs med en månad. </w:t>
      </w:r>
    </w:p>
    <w:p w14:paraId="0F3B43B1" w14:textId="7EC7DFC1" w:rsidR="00C61504" w:rsidRDefault="00D44582">
      <w:pPr>
        <w:spacing w:after="280" w:afterAutospacing="1"/>
      </w:pPr>
      <w:r>
        <w:rPr>
          <w:b/>
          <w:bCs/>
        </w:rPr>
        <w:t>Hur regeringen ställer sig till den blivande A-punkten:</w:t>
      </w:r>
      <w:r>
        <w:t xml:space="preserve"> Regeringen avser inte motsätta sig förslaget. </w:t>
      </w:r>
    </w:p>
    <w:p w14:paraId="0F3B43B4" w14:textId="02B64500" w:rsidR="00FB32B9" w:rsidRDefault="00D44582">
      <w:pPr>
        <w:spacing w:after="280" w:afterAutospacing="1"/>
        <w:rPr>
          <w:noProof/>
        </w:rPr>
      </w:pPr>
      <w:r>
        <w:rPr>
          <w:b/>
          <w:bCs/>
        </w:rPr>
        <w:t>Bakgrund:</w:t>
      </w:r>
      <w:r w:rsidR="00FC00CC">
        <w:rPr>
          <w:b/>
          <w:bCs/>
        </w:rPr>
        <w:t xml:space="preserve"> </w:t>
      </w:r>
      <w:r>
        <w:t>ESA-myndigheterna (</w:t>
      </w:r>
      <w:proofErr w:type="spellStart"/>
      <w:r>
        <w:t>Eba</w:t>
      </w:r>
      <w:proofErr w:type="spellEnd"/>
      <w:r>
        <w:t xml:space="preserve">, </w:t>
      </w:r>
      <w:proofErr w:type="spellStart"/>
      <w:r>
        <w:t>Esma</w:t>
      </w:r>
      <w:proofErr w:type="spellEnd"/>
      <w:r>
        <w:t xml:space="preserve"> och </w:t>
      </w:r>
      <w:proofErr w:type="spellStart"/>
      <w:r>
        <w:t>Eiopa</w:t>
      </w:r>
      <w:proofErr w:type="spellEnd"/>
      <w:r>
        <w:t>) ska enligt artikel 21a.1a av direktivet 2002/87/EG om finansiella konglomerat föreslå bindande tekniska standarder avseende definitioner samt koordinering av extra tillsyn av riskkoncentrationer och intragrupptransaktioner. Kommissionen har </w:t>
      </w:r>
      <w:proofErr w:type="gramStart"/>
      <w:r>
        <w:t>givits</w:t>
      </w:r>
      <w:proofErr w:type="gramEnd"/>
      <w:r>
        <w:t xml:space="preserve"> befogenhet att anta den delegera akten. Medlemsstaterna har dock möjlighet att motsätta sig att den delegerade akten antas. Medlemsstaterna har även möjlighet att begära förlängd tid för att överväga om medlemsstaterna ska motsätta sig att den delegerade akten antas. </w:t>
      </w:r>
    </w:p>
    <w:p w14:paraId="0F3B43B5" w14:textId="77777777" w:rsidR="00643D86" w:rsidRPr="00946736" w:rsidRDefault="00D44582" w:rsidP="00643D86">
      <w:pPr>
        <w:pStyle w:val="Rubrik1"/>
        <w:rPr>
          <w:lang w:val="fr-FR"/>
        </w:rPr>
      </w:pPr>
      <w:bookmarkStart w:id="13" w:name="_Toc430155516"/>
      <w:r w:rsidRPr="00946736">
        <w:rPr>
          <w:noProof/>
          <w:lang w:val="fr-FR"/>
        </w:rPr>
        <w:t>Spécifications d'exercice (EXSPEC) pour l'exercice militaire de gestion de crise de l'UE pour 2016 (MILEX 16)</w:t>
      </w:r>
      <w:bookmarkEnd w:id="13"/>
    </w:p>
    <w:p w14:paraId="0F3B43B6" w14:textId="347E58A0" w:rsidR="00643D86" w:rsidRDefault="00D44582" w:rsidP="00643D86">
      <w:pPr>
        <w:rPr>
          <w:lang w:val="en-US"/>
        </w:rPr>
      </w:pPr>
      <w:r>
        <w:rPr>
          <w:noProof/>
          <w:lang w:val="en-US"/>
        </w:rPr>
        <w:t>11774</w:t>
      </w:r>
      <w:r>
        <w:rPr>
          <w:lang w:val="en-US"/>
        </w:rPr>
        <w:t>/15 COPS 265 CSDP/PSDC 469</w:t>
      </w:r>
      <w:r w:rsidR="00FC00CC">
        <w:rPr>
          <w:lang w:val="en-US"/>
        </w:rPr>
        <w:t xml:space="preserve"> </w:t>
      </w:r>
      <w:r>
        <w:rPr>
          <w:lang w:val="en-US"/>
        </w:rPr>
        <w:t>11773/15 COPS 264 CSDP/PSDC 468</w:t>
      </w:r>
    </w:p>
    <w:p w14:paraId="0F3B43B7" w14:textId="77777777" w:rsidR="00643D86" w:rsidRDefault="00D44582" w:rsidP="00643D86">
      <w:r>
        <w:rPr>
          <w:b/>
        </w:rPr>
        <w:t>Ansvarigt statsråd</w:t>
      </w:r>
      <w:r>
        <w:rPr>
          <w:b/>
        </w:rPr>
        <w:br/>
      </w:r>
      <w:r>
        <w:rPr>
          <w:noProof/>
        </w:rPr>
        <w:t>Peter Hultqvist</w:t>
      </w:r>
    </w:p>
    <w:p w14:paraId="0F3B43BB" w14:textId="563B7FE3" w:rsidR="00C61504" w:rsidRDefault="00D44582" w:rsidP="00FC00CC">
      <w:r w:rsidRPr="00B44CE2">
        <w:rPr>
          <w:b/>
        </w:rPr>
        <w:t>Annotering</w:t>
      </w:r>
      <w:r>
        <w:rPr>
          <w:b/>
        </w:rPr>
        <w:br/>
      </w:r>
      <w:r>
        <w:rPr>
          <w:b/>
          <w:bCs/>
        </w:rPr>
        <w:t>Avsikt med behandlingen i rådet:</w:t>
      </w:r>
      <w:r>
        <w:t xml:space="preserve"> Rådet föreslås godkänna övningsspecifikationerna. </w:t>
      </w:r>
    </w:p>
    <w:p w14:paraId="0F3B43BD" w14:textId="6396B9A6" w:rsidR="00C61504" w:rsidRDefault="00D44582">
      <w:pPr>
        <w:spacing w:after="280" w:afterAutospacing="1"/>
      </w:pPr>
      <w:r>
        <w:rPr>
          <w:b/>
          <w:bCs/>
        </w:rPr>
        <w:t>Hur regeringen ställer sig till den blivande A-punkten:</w:t>
      </w:r>
      <w:r>
        <w:t xml:space="preserve"> Regeringen stödjer rådets förslag. </w:t>
      </w:r>
    </w:p>
    <w:p w14:paraId="0F3B43C0" w14:textId="76FF0F76" w:rsidR="00FB32B9" w:rsidRDefault="00D44582">
      <w:pPr>
        <w:spacing w:after="280" w:afterAutospacing="1"/>
        <w:rPr>
          <w:noProof/>
        </w:rPr>
      </w:pPr>
      <w:r>
        <w:rPr>
          <w:b/>
          <w:bCs/>
        </w:rPr>
        <w:t>Bakgrund:</w:t>
      </w:r>
      <w:r w:rsidR="00FC00CC">
        <w:rPr>
          <w:b/>
          <w:bCs/>
        </w:rPr>
        <w:t xml:space="preserve"> </w:t>
      </w:r>
      <w:r>
        <w:t>Den 23 juni godkände EU:s militära kommitté utkastet till övningsspecifikationerna (EXSPEC) för EU:s militära krishanteringsövning 2016 (</w:t>
      </w:r>
      <w:proofErr w:type="spellStart"/>
      <w:r>
        <w:t>Milex</w:t>
      </w:r>
      <w:proofErr w:type="spellEnd"/>
      <w:r>
        <w:t xml:space="preserve"> 16) och beslöt att vidarebefordra den till KUSP för notering, vilket gjordes den 4 september. Rådet bjuds nu in att godkänna övningsspecifikationerna. Övningen genomförs 17-27 maj 2016 och avser öva funktionaliteten i Greklands multinationella, strategiska EU-högkvarter (OHQ) i Larissa och ett grekiskt styrkehögkvarter (FHQ).</w:t>
      </w:r>
    </w:p>
    <w:p w14:paraId="0F3B43C1" w14:textId="77777777" w:rsidR="00643D86" w:rsidRPr="00946736" w:rsidRDefault="00D44582" w:rsidP="00643D86">
      <w:pPr>
        <w:pStyle w:val="Rubrik1"/>
        <w:rPr>
          <w:lang w:val="fr-FR"/>
        </w:rPr>
      </w:pPr>
      <w:bookmarkStart w:id="14" w:name="_Toc430155517"/>
      <w:r w:rsidRPr="00946736">
        <w:rPr>
          <w:noProof/>
          <w:lang w:val="fr-FR"/>
        </w:rPr>
        <w:t>Décision du Conseil appuyant un mécanisme de signalement mondial des armes de petit calibre et des armes légères et d'autres armes conventionnelles illicites et de leurs munitions destiné à réduire le risque de leur commerce illicite ("iTrace II")</w:t>
      </w:r>
      <w:bookmarkEnd w:id="14"/>
    </w:p>
    <w:p w14:paraId="0F3B43C2" w14:textId="1108DE55" w:rsidR="00643D86" w:rsidRPr="00F52221" w:rsidRDefault="00D44582" w:rsidP="00643D86">
      <w:pPr>
        <w:rPr>
          <w:lang w:val="en-US"/>
        </w:rPr>
      </w:pPr>
      <w:r w:rsidRPr="00F52221">
        <w:rPr>
          <w:noProof/>
          <w:lang w:val="en-US"/>
        </w:rPr>
        <w:t>11806</w:t>
      </w:r>
      <w:r w:rsidRPr="00F52221">
        <w:rPr>
          <w:lang w:val="en-US"/>
        </w:rPr>
        <w:t>/15 CORLX 60 CODUN 29 COARM 198 CFSP/PESC 506</w:t>
      </w:r>
      <w:r w:rsidR="00FC00CC" w:rsidRPr="00F52221">
        <w:rPr>
          <w:lang w:val="en-US"/>
        </w:rPr>
        <w:t xml:space="preserve"> </w:t>
      </w:r>
      <w:r w:rsidRPr="00F52221">
        <w:rPr>
          <w:lang w:val="en-US"/>
        </w:rPr>
        <w:t>11620/15 CORLX 51 CODUN 27 COARM 196 CFSP/PESC 482</w:t>
      </w:r>
    </w:p>
    <w:p w14:paraId="0F3B43C3" w14:textId="77777777" w:rsidR="00643D86" w:rsidRDefault="00D44582" w:rsidP="00643D86">
      <w:r>
        <w:rPr>
          <w:b/>
        </w:rPr>
        <w:t>Ansvarigt statsråd</w:t>
      </w:r>
      <w:r>
        <w:rPr>
          <w:b/>
        </w:rPr>
        <w:br/>
      </w:r>
      <w:r>
        <w:rPr>
          <w:noProof/>
        </w:rPr>
        <w:t xml:space="preserve">Margot Wallström </w:t>
      </w:r>
    </w:p>
    <w:p w14:paraId="0F3B43C6" w14:textId="33BE7D6A" w:rsidR="00643D86" w:rsidRDefault="00D44582" w:rsidP="00643D86">
      <w:r w:rsidRPr="00B44CE2">
        <w:rPr>
          <w:b/>
        </w:rPr>
        <w:t>Annotering</w:t>
      </w:r>
      <w:r>
        <w:rPr>
          <w:b/>
        </w:rPr>
        <w:br/>
      </w:r>
      <w:r>
        <w:rPr>
          <w:b/>
          <w:bCs/>
        </w:rPr>
        <w:t>Avsikt med behandlingen i rådet:</w:t>
      </w:r>
      <w:r>
        <w:t xml:space="preserve"> Rådet föreslås besluta om fortsatt stöd för en global rapporteringsmekanism för att spåra illegala strömmar av små och lätta vapen och därmed begränsa spridningen av dessa (</w:t>
      </w:r>
      <w:proofErr w:type="spellStart"/>
      <w:r>
        <w:t>iTrace</w:t>
      </w:r>
      <w:proofErr w:type="spellEnd"/>
      <w:r>
        <w:t xml:space="preserve"> II). </w:t>
      </w:r>
    </w:p>
    <w:p w14:paraId="0F3B43C7" w14:textId="77777777" w:rsidR="00C61504" w:rsidRDefault="00D44582">
      <w:pPr>
        <w:spacing w:after="280" w:afterAutospacing="1"/>
      </w:pPr>
      <w:r>
        <w:rPr>
          <w:b/>
          <w:bCs/>
        </w:rPr>
        <w:t>Hur regeringen ställer sig till den blivande A-punkten</w:t>
      </w:r>
      <w:r>
        <w:t xml:space="preserve">: Regeringen avser rösta ja till att rådet beslutar om stöd. </w:t>
      </w:r>
    </w:p>
    <w:p w14:paraId="0F3B43C9" w14:textId="632A83C4" w:rsidR="00FB32B9" w:rsidRDefault="00D44582">
      <w:pPr>
        <w:spacing w:after="280" w:afterAutospacing="1"/>
        <w:rPr>
          <w:noProof/>
        </w:rPr>
      </w:pPr>
      <w:r>
        <w:rPr>
          <w:b/>
          <w:bCs/>
        </w:rPr>
        <w:t>Bakgrund</w:t>
      </w:r>
      <w:r>
        <w:t xml:space="preserve">: Europeiska rådet antog 2005 </w:t>
      </w:r>
      <w:r w:rsidRPr="00824D14">
        <w:rPr>
          <w:i/>
        </w:rPr>
        <w:t>EU:s strategi för kampen mot olaglig anhopning av</w:t>
      </w:r>
      <w:r w:rsidR="00824D14" w:rsidRPr="00824D14">
        <w:rPr>
          <w:i/>
        </w:rPr>
        <w:t xml:space="preserve"> och handel med handeld</w:t>
      </w:r>
      <w:r w:rsidR="00824D14">
        <w:rPr>
          <w:i/>
        </w:rPr>
        <w:t>vapen och lätta vapen samt</w:t>
      </w:r>
      <w:r w:rsidRPr="00824D14">
        <w:rPr>
          <w:i/>
        </w:rPr>
        <w:t xml:space="preserve"> ammunition till dessa</w:t>
      </w:r>
      <w:r>
        <w:t xml:space="preserve">. Inom ramen för denna strategi genomförs olika projekt inom området. 2013 beslutade EU att genomföra </w:t>
      </w:r>
      <w:proofErr w:type="spellStart"/>
      <w:r>
        <w:t>iTrace</w:t>
      </w:r>
      <w:proofErr w:type="spellEnd"/>
      <w:r>
        <w:t xml:space="preserve"> I (2013/698/CFSP), ett webbaserat verktyg för att spåra illegala strömmar av små och lätta vapen (SALW) och därmed begränsa spridningen av dessa. Verktyget ska också kunna stödja implementering av vapenhandelsfördraget ATT. Det nu aktuella projektet, </w:t>
      </w:r>
      <w:proofErr w:type="spellStart"/>
      <w:r>
        <w:t>iTrace</w:t>
      </w:r>
      <w:proofErr w:type="spellEnd"/>
      <w:r>
        <w:t xml:space="preserve"> II, är en förlängning av </w:t>
      </w:r>
      <w:proofErr w:type="spellStart"/>
      <w:r>
        <w:t>iTrace</w:t>
      </w:r>
      <w:proofErr w:type="spellEnd"/>
      <w:r>
        <w:t xml:space="preserve"> I. Inom ramen för </w:t>
      </w:r>
      <w:proofErr w:type="spellStart"/>
      <w:r>
        <w:t>iTrace</w:t>
      </w:r>
      <w:proofErr w:type="spellEnd"/>
      <w:r>
        <w:t xml:space="preserve"> II skall bland annat använda</w:t>
      </w:r>
      <w:r w:rsidR="00824D14">
        <w:t>r</w:t>
      </w:r>
      <w:r>
        <w:t xml:space="preserve">vänligheten förbättras och den geografiska omfattningen breddas. Genomförare av projektet är, liksom vid </w:t>
      </w:r>
      <w:proofErr w:type="spellStart"/>
      <w:r>
        <w:t>iTrace</w:t>
      </w:r>
      <w:proofErr w:type="spellEnd"/>
      <w:r>
        <w:t xml:space="preserve"> I, </w:t>
      </w:r>
      <w:proofErr w:type="spellStart"/>
      <w:r>
        <w:t>Conflict</w:t>
      </w:r>
      <w:proofErr w:type="spellEnd"/>
      <w:r>
        <w:t xml:space="preserve"> </w:t>
      </w:r>
      <w:proofErr w:type="spellStart"/>
      <w:r>
        <w:t>Armament</w:t>
      </w:r>
      <w:proofErr w:type="spellEnd"/>
      <w:r>
        <w:t xml:space="preserve"> Research Ltd. (CAR). Projektlängd är 24 månader. Projektet finansieras av EU (</w:t>
      </w:r>
      <w:proofErr w:type="gramStart"/>
      <w:r>
        <w:t>84%</w:t>
      </w:r>
      <w:proofErr w:type="gramEnd"/>
      <w:r>
        <w:t xml:space="preserve">) med medfinansiering från Tyskland och betalningsmottagaren, </w:t>
      </w:r>
      <w:proofErr w:type="spellStart"/>
      <w:r>
        <w:t>Conflict</w:t>
      </w:r>
      <w:proofErr w:type="spellEnd"/>
      <w:r>
        <w:t xml:space="preserve"> </w:t>
      </w:r>
      <w:proofErr w:type="spellStart"/>
      <w:r>
        <w:t>Armament</w:t>
      </w:r>
      <w:proofErr w:type="spellEnd"/>
      <w:r>
        <w:t xml:space="preserve"> Research, (16 %). Medlen hämtas från KUSP-budgeten. Utkast till rådsbeslut godkändes på rådsarbetsgruppsnivå den 23 juli (</w:t>
      </w:r>
      <w:proofErr w:type="spellStart"/>
      <w:r>
        <w:t>Conop</w:t>
      </w:r>
      <w:proofErr w:type="spellEnd"/>
      <w:r>
        <w:t>/</w:t>
      </w:r>
      <w:proofErr w:type="spellStart"/>
      <w:r>
        <w:t>Codun</w:t>
      </w:r>
      <w:proofErr w:type="spellEnd"/>
      <w:r>
        <w:t xml:space="preserve">) samt i </w:t>
      </w:r>
      <w:proofErr w:type="spellStart"/>
      <w:r>
        <w:t>Relex</w:t>
      </w:r>
      <w:proofErr w:type="spellEnd"/>
      <w:r>
        <w:t xml:space="preserve"> den 8 augusti.</w:t>
      </w:r>
    </w:p>
    <w:p w14:paraId="0F3B43CA" w14:textId="77777777" w:rsidR="00643D86" w:rsidRPr="00946736" w:rsidRDefault="00D44582" w:rsidP="00643D86">
      <w:pPr>
        <w:pStyle w:val="Rubrik1"/>
        <w:rPr>
          <w:lang w:val="fr-FR"/>
        </w:rPr>
      </w:pPr>
      <w:bookmarkStart w:id="15" w:name="_Toc430155518"/>
      <w:r w:rsidRPr="00946736">
        <w:rPr>
          <w:noProof/>
          <w:lang w:val="fr-FR"/>
        </w:rPr>
        <w:t>(évent.) Elargissement</w:t>
      </w:r>
      <w:r w:rsidRPr="00946736">
        <w:rPr>
          <w:noProof/>
          <w:lang w:val="fr-FR"/>
        </w:rPr>
        <w:br/>
        <w:t>–Négociations d'adhésion avec Monténégro</w:t>
      </w:r>
      <w:bookmarkEnd w:id="15"/>
    </w:p>
    <w:p w14:paraId="6A87CAC6" w14:textId="77777777" w:rsidR="00FC00CC" w:rsidRPr="00AD20E4" w:rsidRDefault="00FC00CC" w:rsidP="00457E28">
      <w:pPr>
        <w:rPr>
          <w:lang w:val="fr-BE"/>
        </w:rPr>
      </w:pPr>
      <w:r w:rsidRPr="00FC00CC">
        <w:rPr>
          <w:lang w:val="fr-BE"/>
        </w:rPr>
        <w:t>Satisfaction des critères d'ouverture</w:t>
      </w:r>
      <w:r>
        <w:rPr>
          <w:lang w:val="fr-BE"/>
        </w:rPr>
        <w:t xml:space="preserve"> pour le chapitre 15 : Energie</w:t>
      </w:r>
    </w:p>
    <w:p w14:paraId="0F3B43CB" w14:textId="229C8ADB" w:rsidR="00643D86" w:rsidRPr="00946736" w:rsidRDefault="00D44582" w:rsidP="00643D86">
      <w:r w:rsidRPr="00946736">
        <w:rPr>
          <w:noProof/>
        </w:rPr>
        <w:t>11810</w:t>
      </w:r>
      <w:r w:rsidRPr="00946736">
        <w:t>/15 ELARG 41</w:t>
      </w:r>
    </w:p>
    <w:p w14:paraId="0F3B43CC" w14:textId="77777777" w:rsidR="00643D86" w:rsidRDefault="00D44582" w:rsidP="00643D86">
      <w:r>
        <w:rPr>
          <w:b/>
        </w:rPr>
        <w:t>Ansvarigt statsråd</w:t>
      </w:r>
      <w:r>
        <w:rPr>
          <w:b/>
        </w:rPr>
        <w:br/>
      </w:r>
      <w:r>
        <w:rPr>
          <w:noProof/>
        </w:rPr>
        <w:t>Margot Wallström</w:t>
      </w:r>
    </w:p>
    <w:p w14:paraId="0F3B43D0" w14:textId="19137CFD" w:rsidR="00C61504" w:rsidRDefault="00D44582" w:rsidP="00457E28">
      <w:r w:rsidRPr="00B44CE2">
        <w:rPr>
          <w:b/>
        </w:rPr>
        <w:t>Annotering</w:t>
      </w:r>
      <w:r>
        <w:rPr>
          <w:b/>
        </w:rPr>
        <w:br/>
      </w:r>
      <w:r>
        <w:rPr>
          <w:b/>
          <w:bCs/>
        </w:rPr>
        <w:t xml:space="preserve">Avsikt med behandlingen i rådet: </w:t>
      </w:r>
      <w:r w:rsidR="00BF1DA0">
        <w:t xml:space="preserve">Rådet föreslås besluta huruvida öppningsvillkoren är uppfyllda för kapitel 15 gällande energi. </w:t>
      </w:r>
    </w:p>
    <w:p w14:paraId="0F3B43D1" w14:textId="77777777" w:rsidR="00C61504" w:rsidRDefault="00D44582">
      <w:pPr>
        <w:spacing w:after="280" w:afterAutospacing="1"/>
      </w:pPr>
      <w:r>
        <w:rPr>
          <w:b/>
          <w:bCs/>
        </w:rPr>
        <w:t xml:space="preserve">Hur regeringen ställer sig till den blivande A-punkten: </w:t>
      </w:r>
      <w:r>
        <w:t xml:space="preserve">Regeringen avser att stödja förslaget om beslut att godkänna uppfyllnad av öppningsvillor. </w:t>
      </w:r>
    </w:p>
    <w:p w14:paraId="0F3B43D3" w14:textId="1E389900" w:rsidR="00FB32B9" w:rsidRDefault="00D44582">
      <w:pPr>
        <w:spacing w:after="280" w:afterAutospacing="1"/>
        <w:rPr>
          <w:noProof/>
        </w:rPr>
      </w:pPr>
      <w:r>
        <w:rPr>
          <w:b/>
          <w:bCs/>
        </w:rPr>
        <w:t>Bakgrund:</w:t>
      </w:r>
      <w:r>
        <w:t xml:space="preserve"> Dokumentet anger de öppningsvillkor inom kapitel 15 (energi) som Montenegro måste uppfylla för att </w:t>
      </w:r>
      <w:proofErr w:type="spellStart"/>
      <w:r>
        <w:t>medlemsskapsförhandlingarna</w:t>
      </w:r>
      <w:proofErr w:type="spellEnd"/>
      <w:r>
        <w:t xml:space="preserve"> på detta område ska inledas. SE stödjer dess villkor.</w:t>
      </w:r>
    </w:p>
    <w:p w14:paraId="0F3B43D4" w14:textId="77777777" w:rsidR="00643D86" w:rsidRPr="00946736" w:rsidRDefault="00D44582" w:rsidP="00643D86">
      <w:pPr>
        <w:pStyle w:val="Rubrik1"/>
        <w:rPr>
          <w:lang w:val="fr-FR"/>
        </w:rPr>
      </w:pPr>
      <w:bookmarkStart w:id="16" w:name="_Toc430155519"/>
      <w:r w:rsidRPr="00946736">
        <w:rPr>
          <w:noProof/>
          <w:lang w:val="fr-FR"/>
        </w:rPr>
        <w:t>Proposition de décision du Conseil sur le possible transfert du siège de l'OIC de Londres à Abidjan</w:t>
      </w:r>
      <w:bookmarkEnd w:id="16"/>
    </w:p>
    <w:p w14:paraId="0F3B43D5" w14:textId="0D51AACF" w:rsidR="00643D86" w:rsidRPr="00946736" w:rsidRDefault="00D44582" w:rsidP="00643D86">
      <w:pPr>
        <w:rPr>
          <w:lang w:val="fr-FR"/>
        </w:rPr>
      </w:pPr>
      <w:r w:rsidRPr="00946736">
        <w:rPr>
          <w:noProof/>
          <w:lang w:val="fr-FR"/>
        </w:rPr>
        <w:t>11690</w:t>
      </w:r>
      <w:r w:rsidRPr="00946736">
        <w:rPr>
          <w:lang w:val="fr-FR"/>
        </w:rPr>
        <w:t>/15 PROBA 22 ACP 119 RELEX 685 AGRI 454 FORETS 29 WTO 180 DEVGEN 154 ENV 534</w:t>
      </w:r>
      <w:r w:rsidR="00457E28" w:rsidRPr="00946736">
        <w:rPr>
          <w:lang w:val="fr-FR"/>
        </w:rPr>
        <w:t xml:space="preserve"> </w:t>
      </w:r>
      <w:r w:rsidRPr="00946736">
        <w:rPr>
          <w:lang w:val="fr-FR"/>
        </w:rPr>
        <w:t>11642/15 PROBA 20 ACP 118 RELEX 677 AGRI 452 FORETS 27 WTO 179 DEVGEN 152 ENV 530</w:t>
      </w:r>
    </w:p>
    <w:p w14:paraId="0F3B43D6" w14:textId="77777777" w:rsidR="00643D86" w:rsidRPr="00946736" w:rsidRDefault="00D44582" w:rsidP="00643D86">
      <w:pPr>
        <w:rPr>
          <w:noProof/>
          <w:lang w:val="fr-FR"/>
        </w:rPr>
      </w:pPr>
      <w:r w:rsidRPr="00946736">
        <w:rPr>
          <w:b/>
          <w:lang w:val="fr-FR"/>
        </w:rPr>
        <w:t>Ansvarigt statsråd</w:t>
      </w:r>
      <w:r w:rsidRPr="00946736">
        <w:rPr>
          <w:b/>
          <w:lang w:val="fr-FR"/>
        </w:rPr>
        <w:br/>
      </w:r>
      <w:r w:rsidRPr="00946736">
        <w:rPr>
          <w:noProof/>
          <w:lang w:val="fr-FR"/>
        </w:rPr>
        <w:t>Sven-Erik Bucht</w:t>
      </w:r>
    </w:p>
    <w:p w14:paraId="39D27D9D" w14:textId="63B88F21" w:rsidR="00B71550" w:rsidRPr="00B71550" w:rsidRDefault="00B71550" w:rsidP="00B71550">
      <w:r w:rsidRPr="00B71550">
        <w:rPr>
          <w:b/>
        </w:rPr>
        <w:t>Annotering</w:t>
      </w:r>
      <w:r w:rsidRPr="00B71550">
        <w:rPr>
          <w:b/>
        </w:rPr>
        <w:br/>
      </w:r>
      <w:r w:rsidRPr="00B71550">
        <w:rPr>
          <w:b/>
          <w:bCs/>
        </w:rPr>
        <w:t>Avsikt med behandlingen i rådet</w:t>
      </w:r>
      <w:r w:rsidRPr="00B71550">
        <w:t>: Fastställa EU:s position inför möte i Internationella Kakao organisationen rörande flytt av organisationens högkvarter från London till Abidjan, Elfenbenskusten</w:t>
      </w:r>
      <w:proofErr w:type="gramStart"/>
      <w:r w:rsidRPr="00B71550">
        <w:t>..</w:t>
      </w:r>
      <w:proofErr w:type="gramEnd"/>
    </w:p>
    <w:p w14:paraId="41ED8ADB" w14:textId="77777777" w:rsidR="00B71550" w:rsidRPr="00B71550" w:rsidRDefault="00B71550" w:rsidP="00B71550">
      <w:r w:rsidRPr="00B71550">
        <w:rPr>
          <w:b/>
          <w:bCs/>
        </w:rPr>
        <w:t>Hur regeringen ställer sig till den blivande A-punkten</w:t>
      </w:r>
      <w:r w:rsidRPr="00B71550">
        <w:t>: Sverige kan stödja förslaget och att den hanteras som A-punkt.</w:t>
      </w:r>
    </w:p>
    <w:p w14:paraId="0F3B43D9" w14:textId="41B10C7A" w:rsidR="00643D86" w:rsidRDefault="00D44582" w:rsidP="00643D86">
      <w:r w:rsidRPr="00B71550">
        <w:t>Beslutet avser EU:s position inför möte i den Internationella Kakao organisationen (ICCO). Vid mötet ska slutlig ställning tas till om ett tidigare fattat beslut att flytta organisationens högkvarter från London till Abidjan, Elfenbenskusten, ska genomföras eller inte. EU:s position är att acceptera en flytt under vissa ekonomiska villkor, innebärande att Elfenbenskusten tar ett ekonomiskt ansvar för genomförande av flytten och även fortsättningsvis för organisationen, så att ICCO inte negativt påverkas av en flytt. Sverige kan ställa sig bakom EU:s position.</w:t>
      </w:r>
    </w:p>
    <w:p w14:paraId="0F3B43DA" w14:textId="77777777" w:rsidR="00643D86" w:rsidRPr="00946736" w:rsidRDefault="00D44582" w:rsidP="00643D86">
      <w:pPr>
        <w:pStyle w:val="Rubrik1"/>
        <w:rPr>
          <w:lang w:val="fr-FR"/>
        </w:rPr>
      </w:pPr>
      <w:bookmarkStart w:id="17" w:name="_Toc430155520"/>
      <w:r w:rsidRPr="00946736">
        <w:rPr>
          <w:noProof/>
          <w:lang w:val="fr-FR"/>
        </w:rPr>
        <w:t>Projet de Décision du Conseil établissant la position à prendre au nom de l'Union européenne au sein du Conseil du commerce des services de l'Organisation mondiale du commerce au sujet de l'approbation d'un traitement préférentiel notifié par les membres de l'OMC, autres que l'Union et ses États membres, en ce qui concerne les services et fournisseurs de services des pays les moins avancés membres, sur l'application de mesures autres que celles définies à l'article XVI de l'AGCS</w:t>
      </w:r>
      <w:bookmarkEnd w:id="17"/>
    </w:p>
    <w:p w14:paraId="78FCC314" w14:textId="77777777" w:rsidR="00457E28" w:rsidRDefault="00D44582" w:rsidP="00643D86">
      <w:pPr>
        <w:rPr>
          <w:lang w:val="en-US"/>
        </w:rPr>
      </w:pPr>
      <w:r>
        <w:rPr>
          <w:noProof/>
          <w:lang w:val="en-US"/>
        </w:rPr>
        <w:t>–</w:t>
      </w:r>
      <w:r>
        <w:rPr>
          <w:lang w:val="en-US"/>
        </w:rPr>
        <w:t>Adoption</w:t>
      </w:r>
    </w:p>
    <w:p w14:paraId="0F3B43DB" w14:textId="7006036C" w:rsidR="00643D86" w:rsidRDefault="00D44582" w:rsidP="00643D86">
      <w:pPr>
        <w:rPr>
          <w:lang w:val="en-US"/>
        </w:rPr>
      </w:pPr>
      <w:r>
        <w:rPr>
          <w:noProof/>
          <w:lang w:val="en-US"/>
        </w:rPr>
        <w:t>11838</w:t>
      </w:r>
      <w:r>
        <w:rPr>
          <w:lang w:val="en-US"/>
        </w:rPr>
        <w:t>/15 WTO 182 SERVICES 28 COMER 119</w:t>
      </w:r>
      <w:r w:rsidR="00457E28">
        <w:rPr>
          <w:lang w:val="en-US"/>
        </w:rPr>
        <w:t xml:space="preserve"> </w:t>
      </w:r>
      <w:r>
        <w:rPr>
          <w:lang w:val="en-US"/>
        </w:rPr>
        <w:t>11213/15 WTO 158 SERVICES 26 COMER 105</w:t>
      </w:r>
    </w:p>
    <w:p w14:paraId="0F3B43DC" w14:textId="77777777" w:rsidR="00643D86" w:rsidRDefault="00D44582" w:rsidP="00643D86">
      <w:r>
        <w:rPr>
          <w:b/>
        </w:rPr>
        <w:t>Ansvarigt statsråd</w:t>
      </w:r>
      <w:r>
        <w:rPr>
          <w:b/>
        </w:rPr>
        <w:br/>
      </w:r>
      <w:r>
        <w:rPr>
          <w:noProof/>
        </w:rPr>
        <w:t>Mikael Damberg</w:t>
      </w:r>
    </w:p>
    <w:p w14:paraId="0F3B43E0" w14:textId="3D14C5BE" w:rsidR="00C61504" w:rsidRDefault="00D44582" w:rsidP="00457E28">
      <w:r w:rsidRPr="00B44CE2">
        <w:rPr>
          <w:b/>
        </w:rPr>
        <w:t>Annotering</w:t>
      </w:r>
      <w:r>
        <w:rPr>
          <w:b/>
        </w:rPr>
        <w:br/>
      </w:r>
      <w:r>
        <w:t xml:space="preserve">Förslaget innebär att EUs ståndpunkt i världshandelsorganisationen WTO ska vara att stödja godkännandet av förmånsbehandling som beviljats av andra WTO-medlemmar för tjänster och tjänsteleverantörer från de minst utvecklade länderna även när åtgärderna går utöver artikel XVI i </w:t>
      </w:r>
      <w:proofErr w:type="spellStart"/>
      <w:r>
        <w:t>Gats</w:t>
      </w:r>
      <w:proofErr w:type="spellEnd"/>
      <w:r>
        <w:t xml:space="preserve"> (marknadstillträde). Detta är i enlighet med WTO:s ministerbeslut av den 7 december 2013 (WT/L/918). </w:t>
      </w:r>
    </w:p>
    <w:p w14:paraId="0F3B43E3" w14:textId="195AAC42" w:rsidR="00643D86" w:rsidRPr="00946736" w:rsidRDefault="00D44582" w:rsidP="00457E28">
      <w:pPr>
        <w:spacing w:after="280" w:afterAutospacing="1"/>
      </w:pPr>
      <w:r>
        <w:t xml:space="preserve">Det föreslagna rådsbeslutet är första steget i genomförandet av WTO:s undantag för tjänster för de minst utvecklade länderna (LDC services </w:t>
      </w:r>
      <w:proofErr w:type="spellStart"/>
      <w:r>
        <w:t>waiver</w:t>
      </w:r>
      <w:proofErr w:type="spellEnd"/>
      <w:r>
        <w:t xml:space="preserve">). Undantaget ger WTO-medlemmarna tillstånd att bevilja unilaterala handelsförmåner för tjänster från de minst utvecklade länderna. Det förutsätter ett godkännande av WTO om åtgärderna går utöver artikel XVI i </w:t>
      </w:r>
      <w:proofErr w:type="spellStart"/>
      <w:r>
        <w:t>Gats</w:t>
      </w:r>
      <w:proofErr w:type="spellEnd"/>
      <w:r>
        <w:t xml:space="preserve"> (marknadstillträde). </w:t>
      </w:r>
      <w:bookmarkEnd w:id="2"/>
    </w:p>
    <w:sectPr w:rsidR="00643D86" w:rsidRPr="0094673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B43F5" w14:textId="77777777" w:rsidR="0058161D" w:rsidRDefault="00D44582">
      <w:pPr>
        <w:spacing w:after="0" w:line="240" w:lineRule="auto"/>
      </w:pPr>
      <w:r>
        <w:separator/>
      </w:r>
    </w:p>
  </w:endnote>
  <w:endnote w:type="continuationSeparator" w:id="0">
    <w:p w14:paraId="0F3B43F7" w14:textId="77777777" w:rsidR="0058161D" w:rsidRDefault="00D4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B43F1" w14:textId="77777777" w:rsidR="0058161D" w:rsidRDefault="00D44582">
      <w:pPr>
        <w:spacing w:after="0" w:line="240" w:lineRule="auto"/>
      </w:pPr>
      <w:r>
        <w:separator/>
      </w:r>
    </w:p>
  </w:footnote>
  <w:footnote w:type="continuationSeparator" w:id="0">
    <w:p w14:paraId="0F3B43F3" w14:textId="77777777" w:rsidR="0058161D" w:rsidRDefault="00D44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1157"/>
      <w:docPartObj>
        <w:docPartGallery w:val="Page Numbers (Top of Page)"/>
        <w:docPartUnique/>
      </w:docPartObj>
    </w:sdtPr>
    <w:sdtEndPr/>
    <w:sdtContent>
      <w:p w14:paraId="6FF858BC" w14:textId="7E16D0C0" w:rsidR="00457E28" w:rsidRDefault="00457E28">
        <w:pPr>
          <w:pStyle w:val="Sidhuvud"/>
          <w:jc w:val="right"/>
        </w:pPr>
        <w:r>
          <w:fldChar w:fldCharType="begin"/>
        </w:r>
        <w:r>
          <w:instrText>PAGE   \* MERGEFORMAT</w:instrText>
        </w:r>
        <w:r>
          <w:fldChar w:fldCharType="separate"/>
        </w:r>
        <w:r w:rsidR="00F52221">
          <w:rPr>
            <w:noProof/>
          </w:rPr>
          <w:t>11</w:t>
        </w:r>
        <w:r>
          <w:fldChar w:fldCharType="end"/>
        </w:r>
      </w:p>
    </w:sdtContent>
  </w:sdt>
  <w:p w14:paraId="0F3B43E5" w14:textId="77777777" w:rsidR="006F1C0D" w:rsidRDefault="00F5222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C61504" w14:paraId="0F3B43EB" w14:textId="77777777" w:rsidTr="006E71D7">
      <w:tc>
        <w:tcPr>
          <w:tcW w:w="4606" w:type="dxa"/>
        </w:tcPr>
        <w:p w14:paraId="0F3B43E6" w14:textId="77777777" w:rsidR="006E71D7" w:rsidRDefault="00D44582" w:rsidP="00752770">
          <w:pPr>
            <w:pStyle w:val="Sidhuvud"/>
            <w:ind w:left="0"/>
          </w:pPr>
          <w:r>
            <w:rPr>
              <w:noProof/>
              <w:lang w:eastAsia="sv-SE"/>
            </w:rPr>
            <w:drawing>
              <wp:inline distT="0" distB="0" distL="0" distR="0" wp14:anchorId="0F3B43F1" wp14:editId="0F3B43F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F3B43E7" w14:textId="77777777" w:rsidR="00FB32B9" w:rsidRDefault="00F52221" w:rsidP="00FB32B9">
          <w:pPr>
            <w:ind w:right="916"/>
            <w:rPr>
              <w:rFonts w:ascii="TradeGothic" w:hAnsi="TradeGothic"/>
              <w:b/>
            </w:rPr>
          </w:pPr>
        </w:p>
        <w:p w14:paraId="0F3B43E8" w14:textId="77777777" w:rsidR="00FB32B9" w:rsidRDefault="00D44582" w:rsidP="00FB32B9">
          <w:pPr>
            <w:ind w:right="916"/>
          </w:pPr>
          <w:r>
            <w:rPr>
              <w:rFonts w:ascii="TradeGothic" w:hAnsi="TradeGothic"/>
              <w:b/>
            </w:rPr>
            <w:t>Promemoria</w:t>
          </w:r>
        </w:p>
        <w:p w14:paraId="0F3B43E9" w14:textId="77777777" w:rsidR="00FB32B9" w:rsidRDefault="00F52221" w:rsidP="00FB32B9">
          <w:pPr>
            <w:jc w:val="right"/>
          </w:pPr>
        </w:p>
        <w:p w14:paraId="0F3B43EA" w14:textId="09E98EE1" w:rsidR="006E71D7" w:rsidRDefault="00D44582" w:rsidP="00A71229">
          <w:pPr>
            <w:ind w:right="916"/>
          </w:pPr>
          <w:r>
            <w:rPr>
              <w:rFonts w:ascii="TradeGothic" w:hAnsi="TradeGothic"/>
              <w:b/>
              <w:noProof/>
            </w:rPr>
            <w:t>2015-09-1</w:t>
          </w:r>
          <w:r w:rsidR="00A71229">
            <w:rPr>
              <w:rFonts w:ascii="TradeGothic" w:hAnsi="TradeGothic"/>
              <w:b/>
              <w:noProof/>
            </w:rPr>
            <w:t>6</w:t>
          </w:r>
          <w:r w:rsidRPr="00934953">
            <w:t xml:space="preserve"> </w:t>
          </w:r>
        </w:p>
      </w:tc>
    </w:tr>
  </w:tbl>
  <w:p w14:paraId="0F3B43EC" w14:textId="77777777" w:rsidR="00FB32B9" w:rsidRDefault="00F52221" w:rsidP="00FB32B9">
    <w:pPr>
      <w:pStyle w:val="Avsndare"/>
      <w:framePr w:w="0" w:hRule="auto" w:hSpace="0" w:wrap="auto" w:vAnchor="margin" w:hAnchor="text" w:xAlign="left" w:yAlign="inline"/>
      <w:rPr>
        <w:b/>
        <w:i w:val="0"/>
        <w:sz w:val="22"/>
      </w:rPr>
    </w:pPr>
  </w:p>
  <w:p w14:paraId="0F3B43ED" w14:textId="77777777" w:rsidR="00FB32B9" w:rsidRDefault="00D44582" w:rsidP="00FB32B9">
    <w:pPr>
      <w:pStyle w:val="Avsndare"/>
      <w:framePr w:w="0" w:hRule="auto" w:hSpace="0" w:wrap="auto" w:vAnchor="margin" w:hAnchor="text" w:xAlign="left" w:yAlign="inline"/>
      <w:rPr>
        <w:b/>
        <w:i w:val="0"/>
        <w:sz w:val="22"/>
      </w:rPr>
    </w:pPr>
    <w:r>
      <w:rPr>
        <w:b/>
        <w:i w:val="0"/>
        <w:sz w:val="22"/>
      </w:rPr>
      <w:t>Statsrådsberedningen</w:t>
    </w:r>
  </w:p>
  <w:p w14:paraId="0F3B43EE" w14:textId="77777777" w:rsidR="00FB32B9" w:rsidRDefault="00F52221" w:rsidP="00FB32B9">
    <w:pPr>
      <w:pStyle w:val="Avsndare"/>
      <w:framePr w:w="0" w:hRule="auto" w:hSpace="0" w:wrap="auto" w:vAnchor="margin" w:hAnchor="text" w:xAlign="left" w:yAlign="inline"/>
    </w:pPr>
  </w:p>
  <w:p w14:paraId="0F3B43EF" w14:textId="77777777" w:rsidR="00FB32B9" w:rsidRDefault="00D44582" w:rsidP="00FB32B9">
    <w:pPr>
      <w:pStyle w:val="Avsndare"/>
      <w:framePr w:w="0" w:hRule="auto" w:hSpace="0" w:wrap="auto" w:vAnchor="margin" w:hAnchor="text" w:xAlign="left" w:yAlign="inline"/>
    </w:pPr>
    <w:r>
      <w:t>EU-kansliet</w:t>
    </w:r>
  </w:p>
  <w:p w14:paraId="0F3B43F0" w14:textId="77777777" w:rsidR="0012376B" w:rsidRDefault="00F5222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 w15:restartNumberingAfterBreak="0">
    <w:nsid w:val="6A410AE9"/>
    <w:multiLevelType w:val="hybridMultilevel"/>
    <w:tmpl w:val="5E0C4660"/>
    <w:lvl w:ilvl="0" w:tplc="23A24C72">
      <w:start w:val="1"/>
      <w:numFmt w:val="decimal"/>
      <w:pStyle w:val="Rubrik1"/>
      <w:lvlText w:val="%1."/>
      <w:lvlJc w:val="left"/>
      <w:pPr>
        <w:ind w:left="720" w:hanging="360"/>
      </w:pPr>
    </w:lvl>
    <w:lvl w:ilvl="1" w:tplc="3960A646" w:tentative="1">
      <w:start w:val="1"/>
      <w:numFmt w:val="lowerLetter"/>
      <w:lvlText w:val="%2."/>
      <w:lvlJc w:val="left"/>
      <w:pPr>
        <w:ind w:left="1440" w:hanging="360"/>
      </w:pPr>
    </w:lvl>
    <w:lvl w:ilvl="2" w:tplc="599296F8" w:tentative="1">
      <w:start w:val="1"/>
      <w:numFmt w:val="lowerRoman"/>
      <w:lvlText w:val="%3."/>
      <w:lvlJc w:val="right"/>
      <w:pPr>
        <w:ind w:left="2160" w:hanging="180"/>
      </w:pPr>
    </w:lvl>
    <w:lvl w:ilvl="3" w:tplc="10B0883A" w:tentative="1">
      <w:start w:val="1"/>
      <w:numFmt w:val="decimal"/>
      <w:lvlText w:val="%4."/>
      <w:lvlJc w:val="left"/>
      <w:pPr>
        <w:ind w:left="2880" w:hanging="360"/>
      </w:pPr>
    </w:lvl>
    <w:lvl w:ilvl="4" w:tplc="87A2D59A" w:tentative="1">
      <w:start w:val="1"/>
      <w:numFmt w:val="lowerLetter"/>
      <w:lvlText w:val="%5."/>
      <w:lvlJc w:val="left"/>
      <w:pPr>
        <w:ind w:left="3600" w:hanging="360"/>
      </w:pPr>
    </w:lvl>
    <w:lvl w:ilvl="5" w:tplc="EC16CC92" w:tentative="1">
      <w:start w:val="1"/>
      <w:numFmt w:val="lowerRoman"/>
      <w:lvlText w:val="%6."/>
      <w:lvlJc w:val="right"/>
      <w:pPr>
        <w:ind w:left="4320" w:hanging="180"/>
      </w:pPr>
    </w:lvl>
    <w:lvl w:ilvl="6" w:tplc="7FA0997E" w:tentative="1">
      <w:start w:val="1"/>
      <w:numFmt w:val="decimal"/>
      <w:lvlText w:val="%7."/>
      <w:lvlJc w:val="left"/>
      <w:pPr>
        <w:ind w:left="5040" w:hanging="360"/>
      </w:pPr>
    </w:lvl>
    <w:lvl w:ilvl="7" w:tplc="FC8057C2" w:tentative="1">
      <w:start w:val="1"/>
      <w:numFmt w:val="lowerLetter"/>
      <w:lvlText w:val="%8."/>
      <w:lvlJc w:val="left"/>
      <w:pPr>
        <w:ind w:left="5760" w:hanging="360"/>
      </w:pPr>
    </w:lvl>
    <w:lvl w:ilvl="8" w:tplc="3F7CCB28"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2B7C8516">
      <w:start w:val="1"/>
      <w:numFmt w:val="decimal"/>
      <w:lvlText w:val="%1."/>
      <w:lvlJc w:val="left"/>
      <w:pPr>
        <w:ind w:left="360" w:hanging="360"/>
      </w:pPr>
      <w:rPr>
        <w:b w:val="0"/>
      </w:rPr>
    </w:lvl>
    <w:lvl w:ilvl="1" w:tplc="31ACE69C" w:tentative="1">
      <w:start w:val="1"/>
      <w:numFmt w:val="lowerLetter"/>
      <w:lvlText w:val="%2."/>
      <w:lvlJc w:val="left"/>
      <w:pPr>
        <w:ind w:left="1080" w:hanging="360"/>
      </w:pPr>
    </w:lvl>
    <w:lvl w:ilvl="2" w:tplc="895050A8" w:tentative="1">
      <w:start w:val="1"/>
      <w:numFmt w:val="lowerRoman"/>
      <w:lvlText w:val="%3."/>
      <w:lvlJc w:val="right"/>
      <w:pPr>
        <w:ind w:left="1800" w:hanging="180"/>
      </w:pPr>
    </w:lvl>
    <w:lvl w:ilvl="3" w:tplc="AFA27B92" w:tentative="1">
      <w:start w:val="1"/>
      <w:numFmt w:val="decimal"/>
      <w:lvlText w:val="%4."/>
      <w:lvlJc w:val="left"/>
      <w:pPr>
        <w:ind w:left="2520" w:hanging="360"/>
      </w:pPr>
    </w:lvl>
    <w:lvl w:ilvl="4" w:tplc="22E86300" w:tentative="1">
      <w:start w:val="1"/>
      <w:numFmt w:val="lowerLetter"/>
      <w:lvlText w:val="%5."/>
      <w:lvlJc w:val="left"/>
      <w:pPr>
        <w:ind w:left="3240" w:hanging="360"/>
      </w:pPr>
    </w:lvl>
    <w:lvl w:ilvl="5" w:tplc="62142284" w:tentative="1">
      <w:start w:val="1"/>
      <w:numFmt w:val="lowerRoman"/>
      <w:lvlText w:val="%6."/>
      <w:lvlJc w:val="right"/>
      <w:pPr>
        <w:ind w:left="3960" w:hanging="180"/>
      </w:pPr>
    </w:lvl>
    <w:lvl w:ilvl="6" w:tplc="76367202" w:tentative="1">
      <w:start w:val="1"/>
      <w:numFmt w:val="decimal"/>
      <w:lvlText w:val="%7."/>
      <w:lvlJc w:val="left"/>
      <w:pPr>
        <w:ind w:left="4680" w:hanging="360"/>
      </w:pPr>
    </w:lvl>
    <w:lvl w:ilvl="7" w:tplc="3E825D58" w:tentative="1">
      <w:start w:val="1"/>
      <w:numFmt w:val="lowerLetter"/>
      <w:lvlText w:val="%8."/>
      <w:lvlJc w:val="left"/>
      <w:pPr>
        <w:ind w:left="5400" w:hanging="360"/>
      </w:pPr>
    </w:lvl>
    <w:lvl w:ilvl="8" w:tplc="5D38BA3E" w:tentative="1">
      <w:start w:val="1"/>
      <w:numFmt w:val="lowerRoman"/>
      <w:lvlText w:val="%9."/>
      <w:lvlJc w:val="right"/>
      <w:pPr>
        <w:ind w:left="6120" w:hanging="180"/>
      </w:pPr>
    </w:lvl>
  </w:abstractNum>
  <w:abstractNum w:abstractNumId="3"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04"/>
    <w:rsid w:val="003F484E"/>
    <w:rsid w:val="00457E28"/>
    <w:rsid w:val="0058161D"/>
    <w:rsid w:val="006931FB"/>
    <w:rsid w:val="00824D14"/>
    <w:rsid w:val="00933BD9"/>
    <w:rsid w:val="00946736"/>
    <w:rsid w:val="00A71229"/>
    <w:rsid w:val="00B71550"/>
    <w:rsid w:val="00BF1DA0"/>
    <w:rsid w:val="00C61504"/>
    <w:rsid w:val="00D44582"/>
    <w:rsid w:val="00DC6638"/>
    <w:rsid w:val="00F52221"/>
    <w:rsid w:val="00FC00CC"/>
    <w:rsid w:val="00FF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432E"/>
  <w15:docId w15:val="{05B968C7-DFB1-4B3A-AB3F-1CBD3F75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DashEqual2">
    <w:name w:val="Dash Equal 2"/>
    <w:basedOn w:val="Normal"/>
    <w:rsid w:val="00FC00CC"/>
    <w:pPr>
      <w:numPr>
        <w:numId w:val="3"/>
      </w:numPr>
      <w:spacing w:after="0" w:line="240" w:lineRule="auto"/>
      <w:outlineLvl w:val="1"/>
    </w:pPr>
    <w:rPr>
      <w:rFonts w:eastAsia="Times New Roman"/>
      <w:sz w:val="24"/>
      <w:szCs w:val="24"/>
      <w:lang w:val="fr-FR"/>
    </w:rPr>
  </w:style>
  <w:style w:type="paragraph" w:customStyle="1" w:styleId="Dash1">
    <w:name w:val="Dash 1"/>
    <w:basedOn w:val="Normal"/>
    <w:rsid w:val="00457E28"/>
    <w:pPr>
      <w:numPr>
        <w:numId w:val="4"/>
      </w:numPr>
      <w:spacing w:after="0" w:line="240" w:lineRule="auto"/>
      <w:outlineLvl w:val="0"/>
    </w:pPr>
    <w:rPr>
      <w:rFonts w:eastAsia="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9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JE6N4JFJXNNF-9-69032</_dlc_DocId>
    <_dlc_DocIdUrl xmlns="8b66ae41-1ec6-402e-b662-35d1932ca064">
      <Url>http://rkdhs-sb/enhet/EUKansli/_layouts/DocIdRedir.aspx?ID=JE6N4JFJXNNF-9-69032</Url>
      <Description>JE6N4JFJXNNF-9-69032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EDE9-3F0C-4F0B-B958-1CD8E19CA03E}">
  <ds:schemaRefs>
    <ds:schemaRef ds:uri="http://schemas.microsoft.com/sharepoint/v3/contenttype/forms/url"/>
  </ds:schemaRefs>
</ds:datastoreItem>
</file>

<file path=customXml/itemProps2.xml><?xml version="1.0" encoding="utf-8"?>
<ds:datastoreItem xmlns:ds="http://schemas.openxmlformats.org/officeDocument/2006/customXml" ds:itemID="{71AD128B-B727-42D3-86C0-3710078CDBF0}">
  <ds:schemaRefs>
    <ds:schemaRef ds:uri="http://schemas.microsoft.com/sharepoint/v3/contenttype/forms"/>
  </ds:schemaRefs>
</ds:datastoreItem>
</file>

<file path=customXml/itemProps3.xml><?xml version="1.0" encoding="utf-8"?>
<ds:datastoreItem xmlns:ds="http://schemas.openxmlformats.org/officeDocument/2006/customXml" ds:itemID="{75307429-6B44-485D-BC53-26DB4C51CC7F}">
  <ds:schemaRef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1BFA265-88E8-45E1-87BF-AC4D71BFD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FE6988-9EF1-4E55-B857-CDCA0F1C2081}">
  <ds:schemaRefs>
    <ds:schemaRef ds:uri="http://schemas.microsoft.com/sharepoint/events"/>
  </ds:schemaRefs>
</ds:datastoreItem>
</file>

<file path=customXml/itemProps6.xml><?xml version="1.0" encoding="utf-8"?>
<ds:datastoreItem xmlns:ds="http://schemas.openxmlformats.org/officeDocument/2006/customXml" ds:itemID="{10A7E617-1D87-4C67-AC3C-CA9662212D77}">
  <ds:schemaRefs>
    <ds:schemaRef ds:uri="http://schemas.microsoft.com/office/2006/metadata/customXsn"/>
  </ds:schemaRefs>
</ds:datastoreItem>
</file>

<file path=customXml/itemProps7.xml><?xml version="1.0" encoding="utf-8"?>
<ds:datastoreItem xmlns:ds="http://schemas.openxmlformats.org/officeDocument/2006/customXml" ds:itemID="{653A3A04-AF61-4727-A3E8-01B9C849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2694</Words>
  <Characters>15576</Characters>
  <Application>Microsoft Office Word</Application>
  <DocSecurity>0</DocSecurity>
  <Lines>324</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3</cp:revision>
  <dcterms:created xsi:type="dcterms:W3CDTF">2015-09-16T11:38:00Z</dcterms:created>
  <dcterms:modified xsi:type="dcterms:W3CDTF">2015-09-16T11:46:00Z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9d4f3f50-ab27-465a-a379-f6a7fe581b7b</vt:lpwstr>
  </property>
</Properties>
</file>