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867" w:rsidRPr="00914867" w:rsidRDefault="00914867">
      <w:pPr>
        <w:pStyle w:val="Rubrik1"/>
        <w:shd w:val="clear" w:color="000000" w:fill="auto"/>
        <w:spacing w:before="480"/>
      </w:pPr>
      <w:bookmarkStart w:id="0" w:name="_Toc252090067"/>
      <w:bookmarkStart w:id="1" w:name="_Toc242588119"/>
      <w:r w:rsidRPr="00914867">
        <w:t>Sammanfattning</w:t>
      </w:r>
      <w:bookmarkEnd w:id="0"/>
    </w:p>
    <w:p w:rsidR="00914867" w:rsidRPr="00914867" w:rsidRDefault="00914867">
      <w:pPr>
        <w:shd w:val="clear" w:color="000000" w:fill="auto"/>
      </w:pPr>
      <w:r w:rsidRPr="00914867">
        <w:t>Våren 2009 beslutade riksdagen att införa en könsneutral äktenskapsbalk. Detta är ett beslut som mött stark kritik från flera håll och som även många av förespråkare för den nya lagen inte anser vara den bästa lösningen på hur staten ska reglera samlevnaden mellan vuxna par.</w:t>
      </w:r>
    </w:p>
    <w:p w:rsidR="00914867" w:rsidRPr="00914867" w:rsidRDefault="00914867">
      <w:pPr>
        <w:pStyle w:val="Normaltindrag"/>
        <w:shd w:val="clear" w:color="000000" w:fill="auto"/>
      </w:pPr>
      <w:r w:rsidRPr="00914867">
        <w:t>Kristdemokraterna föreslår en ny juridisk ordning för samlevnad mellan två vuxna personer. Förslaget har sin grund i förhållandet att kyrka och stat numera är åtskilda och innebär att myndighetsutövningen i detta sammanhang förbehålls staten.</w:t>
      </w:r>
    </w:p>
    <w:p w:rsidR="00914867" w:rsidRPr="00914867" w:rsidRDefault="00914867">
      <w:pPr>
        <w:pStyle w:val="Normaltindrag"/>
        <w:shd w:val="clear" w:color="000000" w:fill="auto"/>
      </w:pPr>
      <w:r w:rsidRPr="00914867">
        <w:t>Regleringen sker genom införande av en civilrättslig samlevnadsbalk, fö</w:t>
      </w:r>
      <w:r w:rsidRPr="00914867">
        <w:t>r</w:t>
      </w:r>
      <w:r w:rsidRPr="00914867">
        <w:t xml:space="preserve">slagsvis benämnd giftermålsbalk. Begreppet äktenskap </w:t>
      </w:r>
      <w:r w:rsidRPr="00914867">
        <w:rPr>
          <w:bCs/>
        </w:rPr>
        <w:t>tas bort från lagstif</w:t>
      </w:r>
      <w:r w:rsidRPr="00914867">
        <w:rPr>
          <w:bCs/>
        </w:rPr>
        <w:t>t</w:t>
      </w:r>
      <w:r w:rsidRPr="00914867">
        <w:rPr>
          <w:bCs/>
        </w:rPr>
        <w:t>ningen.</w:t>
      </w:r>
      <w:r w:rsidRPr="00914867">
        <w:t xml:space="preserve"> Både par av olika och av samma kön får enligt denna reglering gifta sig genom en registrering. Rättsverkningarna är knutna till registreringen och är desamma i båda fallen. I myndighetsutövningen görs alltså ingen åtskillnad mellan sam- och olikkönade par. Myndighetsutövningen förbehålls det offen</w:t>
      </w:r>
      <w:r w:rsidRPr="00914867">
        <w:t>t</w:t>
      </w:r>
      <w:r w:rsidRPr="00914867">
        <w:t>liga och utövas inte av religiösa samfund eller andra institutioner eller pers</w:t>
      </w:r>
      <w:r w:rsidRPr="00914867">
        <w:t>o</w:t>
      </w:r>
      <w:r w:rsidRPr="00914867">
        <w:t>ner vid sidan härav.</w:t>
      </w:r>
    </w:p>
    <w:p w:rsidR="00914867" w:rsidRPr="00914867" w:rsidRDefault="00914867">
      <w:pPr>
        <w:pStyle w:val="Normaltindrag"/>
        <w:shd w:val="clear" w:color="000000" w:fill="auto"/>
      </w:pPr>
      <w:r w:rsidRPr="00914867">
        <w:t>Välsignelseakter i skilda for</w:t>
      </w:r>
      <w:r w:rsidRPr="00914867">
        <w:t>mer och andra ceremonier i sammanhanget blir en fråga för kyrkor, samfund och andra sammanslutningar och självklart för parterna själva. Staten kan och bör inte ha något inflytande över hur männ</w:t>
      </w:r>
      <w:r w:rsidRPr="00914867">
        <w:t>i</w:t>
      </w:r>
      <w:r w:rsidRPr="00914867">
        <w:t>skor väljer att manifestera sin kärlek och få den välsignad. Därmed är relig</w:t>
      </w:r>
      <w:r w:rsidRPr="00914867">
        <w:t>i</w:t>
      </w:r>
      <w:r w:rsidRPr="00914867">
        <w:t>onsfriheten respekterad.</w:t>
      </w:r>
    </w:p>
    <w:p w:rsidR="00914867" w:rsidRPr="00914867" w:rsidRDefault="00914867">
      <w:pPr>
        <w:pStyle w:val="Normaltindrag"/>
        <w:shd w:val="clear" w:color="000000" w:fill="auto"/>
      </w:pPr>
      <w:r w:rsidRPr="00914867">
        <w:t>Införandet av civilrättsligt reglerad samlevnad är ett sätt att garantera att alla par som vill gifta sig behandlas lika och är också en rimlig konsekvens av delningen mellan kyrka och stat. Genom att återföra äkten</w:t>
      </w:r>
      <w:r w:rsidRPr="00914867">
        <w:t>skapsbegreppet till det civila samhället respekterar vi begreppets djupa kulturella och religiösa innebörd.</w:t>
      </w:r>
    </w:p>
    <w:p w:rsidR="00914867" w:rsidRPr="00914867" w:rsidRDefault="00914867">
      <w:pPr>
        <w:pStyle w:val="Normaltindrag"/>
        <w:shd w:val="clear" w:color="000000" w:fill="auto"/>
      </w:pPr>
      <w:r w:rsidRPr="00914867">
        <w:t>I flera andra länder gäller redan civilrättsligt reglerad samlevnad. I exe</w:t>
      </w:r>
      <w:r w:rsidRPr="00914867">
        <w:t>m</w:t>
      </w:r>
      <w:r w:rsidRPr="00914867">
        <w:t>pelvis Spanien, Frankrike, Tyskland och Brasilien sker först en civilrättslig registrering och därefter eventuellt en religiös välsignelseceremoni.</w:t>
      </w:r>
    </w:p>
    <w:p w:rsidR="00914867" w:rsidRPr="00914867" w:rsidRDefault="00914867">
      <w:pPr>
        <w:pStyle w:val="RubrikInnehllsf"/>
        <w:shd w:val="clear" w:color="000000" w:fill="auto"/>
      </w:pPr>
      <w:bookmarkStart w:id="2" w:name="_Toc252090068"/>
      <w:r w:rsidRPr="00914867">
        <w:lastRenderedPageBreak/>
        <w:t>Innehållsförteckning</w:t>
      </w:r>
      <w:bookmarkEnd w:id="2"/>
    </w:p>
    <w:p w:rsidR="00914867" w:rsidRPr="00914867" w:rsidRDefault="00914867">
      <w:pPr>
        <w:pStyle w:val="Innehll1"/>
        <w:shd w:val="clear" w:color="000000" w:fill="auto"/>
        <w:spacing w:before="125"/>
        <w:rPr>
          <w:sz w:val="24"/>
          <w:szCs w:val="24"/>
        </w:rPr>
      </w:pPr>
      <w:r w:rsidRPr="00914867">
        <w:rPr>
          <w:sz w:val="24"/>
        </w:rPr>
        <w:fldChar w:fldCharType="begin" w:fldLock="1"/>
      </w:r>
      <w:r w:rsidRPr="00914867">
        <w:rPr>
          <w:sz w:val="24"/>
        </w:rPr>
        <w:instrText xml:space="preserve"> TOC \o "1-3" </w:instrText>
      </w:r>
      <w:r w:rsidRPr="00914867">
        <w:rPr>
          <w:sz w:val="24"/>
        </w:rPr>
        <w:fldChar w:fldCharType="separate"/>
      </w:r>
      <w:r w:rsidRPr="00914867">
        <w:t>Sammanfattning</w:t>
      </w:r>
      <w:r w:rsidRPr="00914867">
        <w:tab/>
      </w:r>
      <w:r w:rsidRPr="00914867">
        <w:fldChar w:fldCharType="begin" w:fldLock="1"/>
      </w:r>
      <w:r w:rsidRPr="00914867">
        <w:instrText xml:space="preserve"> PAGEREF _Toc252090067 \h </w:instrText>
      </w:r>
      <w:r w:rsidRPr="00914867">
        <w:fldChar w:fldCharType="separate"/>
      </w:r>
      <w:r w:rsidRPr="00914867">
        <w:t>1</w:t>
      </w:r>
      <w:r w:rsidRPr="00914867">
        <w:fldChar w:fldCharType="end"/>
      </w:r>
    </w:p>
    <w:p w:rsidR="00914867" w:rsidRPr="00914867" w:rsidRDefault="00914867">
      <w:pPr>
        <w:pStyle w:val="Innehll1"/>
        <w:shd w:val="clear" w:color="000000" w:fill="auto"/>
        <w:rPr>
          <w:sz w:val="24"/>
          <w:szCs w:val="24"/>
        </w:rPr>
      </w:pPr>
      <w:r w:rsidRPr="00914867">
        <w:t>Innehållsförteckning</w:t>
      </w:r>
      <w:r w:rsidRPr="00914867">
        <w:tab/>
      </w:r>
      <w:r w:rsidRPr="00914867">
        <w:fldChar w:fldCharType="begin" w:fldLock="1"/>
      </w:r>
      <w:r w:rsidRPr="00914867">
        <w:instrText xml:space="preserve"> PAGEREF _Toc252090068 \h </w:instrText>
      </w:r>
      <w:r w:rsidRPr="00914867">
        <w:fldChar w:fldCharType="separate"/>
      </w:r>
      <w:r w:rsidRPr="00914867">
        <w:t>2</w:t>
      </w:r>
      <w:r w:rsidRPr="00914867">
        <w:fldChar w:fldCharType="end"/>
      </w:r>
    </w:p>
    <w:p w:rsidR="00914867" w:rsidRPr="00914867" w:rsidRDefault="00914867">
      <w:pPr>
        <w:pStyle w:val="Innehll1"/>
        <w:shd w:val="clear" w:color="000000" w:fill="auto"/>
        <w:rPr>
          <w:sz w:val="24"/>
          <w:szCs w:val="24"/>
        </w:rPr>
      </w:pPr>
      <w:r w:rsidRPr="00914867">
        <w:t>Förslag till riksdagsbeslut</w:t>
      </w:r>
      <w:r w:rsidRPr="00914867">
        <w:tab/>
      </w:r>
      <w:r w:rsidRPr="00914867">
        <w:fldChar w:fldCharType="begin" w:fldLock="1"/>
      </w:r>
      <w:r w:rsidRPr="00914867">
        <w:instrText xml:space="preserve"> PAGEREF _Toc252090069 \h </w:instrText>
      </w:r>
      <w:r w:rsidRPr="00914867">
        <w:fldChar w:fldCharType="separate"/>
      </w:r>
      <w:r w:rsidRPr="00914867">
        <w:t>3</w:t>
      </w:r>
      <w:r w:rsidRPr="00914867">
        <w:fldChar w:fldCharType="end"/>
      </w:r>
    </w:p>
    <w:p w:rsidR="00914867" w:rsidRPr="00914867" w:rsidRDefault="00914867">
      <w:pPr>
        <w:pStyle w:val="Innehll1"/>
        <w:shd w:val="clear" w:color="000000" w:fill="auto"/>
        <w:rPr>
          <w:sz w:val="24"/>
          <w:szCs w:val="24"/>
        </w:rPr>
      </w:pPr>
      <w:r w:rsidRPr="00914867">
        <w:t>Bakgrund</w:t>
      </w:r>
      <w:r w:rsidRPr="00914867">
        <w:tab/>
      </w:r>
      <w:r w:rsidRPr="00914867">
        <w:fldChar w:fldCharType="begin" w:fldLock="1"/>
      </w:r>
      <w:r w:rsidRPr="00914867">
        <w:instrText xml:space="preserve"> PAGEREF _Toc252090070 \h </w:instrText>
      </w:r>
      <w:r w:rsidRPr="00914867">
        <w:fldChar w:fldCharType="separate"/>
      </w:r>
      <w:r w:rsidRPr="00914867">
        <w:t>3</w:t>
      </w:r>
      <w:r w:rsidRPr="00914867">
        <w:fldChar w:fldCharType="end"/>
      </w:r>
    </w:p>
    <w:p w:rsidR="00914867" w:rsidRPr="00914867" w:rsidRDefault="00914867">
      <w:pPr>
        <w:pStyle w:val="Innehll1"/>
        <w:shd w:val="clear" w:color="000000" w:fill="auto"/>
        <w:rPr>
          <w:sz w:val="24"/>
          <w:szCs w:val="24"/>
        </w:rPr>
      </w:pPr>
      <w:r w:rsidRPr="00914867">
        <w:t>Begreppet äktenskap och dess symbolvärde</w:t>
      </w:r>
      <w:r w:rsidRPr="00914867">
        <w:tab/>
      </w:r>
      <w:r w:rsidRPr="00914867">
        <w:fldChar w:fldCharType="begin" w:fldLock="1"/>
      </w:r>
      <w:r w:rsidRPr="00914867">
        <w:instrText xml:space="preserve"> PAGEREF _Toc252090071 \h </w:instrText>
      </w:r>
      <w:r w:rsidRPr="00914867">
        <w:fldChar w:fldCharType="separate"/>
      </w:r>
      <w:r w:rsidRPr="00914867">
        <w:t>3</w:t>
      </w:r>
      <w:r w:rsidRPr="00914867">
        <w:fldChar w:fldCharType="end"/>
      </w:r>
    </w:p>
    <w:p w:rsidR="00914867" w:rsidRPr="00914867" w:rsidRDefault="00914867">
      <w:pPr>
        <w:pStyle w:val="Innehll1"/>
        <w:shd w:val="clear" w:color="000000" w:fill="auto"/>
        <w:rPr>
          <w:sz w:val="24"/>
          <w:szCs w:val="24"/>
        </w:rPr>
      </w:pPr>
      <w:r w:rsidRPr="00914867">
        <w:t>Civilrättsligt reglerad samlevnad mellan vuxna par</w:t>
      </w:r>
      <w:r w:rsidRPr="00914867">
        <w:tab/>
      </w:r>
      <w:r w:rsidRPr="00914867">
        <w:fldChar w:fldCharType="begin" w:fldLock="1"/>
      </w:r>
      <w:r w:rsidRPr="00914867">
        <w:instrText xml:space="preserve"> PAGEREF _Toc252090072 \h </w:instrText>
      </w:r>
      <w:r w:rsidRPr="00914867">
        <w:fldChar w:fldCharType="separate"/>
      </w:r>
      <w:r w:rsidRPr="00914867">
        <w:t>4</w:t>
      </w:r>
      <w:r w:rsidRPr="00914867">
        <w:fldChar w:fldCharType="end"/>
      </w:r>
    </w:p>
    <w:p w:rsidR="00914867" w:rsidRPr="00914867" w:rsidRDefault="00914867">
      <w:pPr>
        <w:pStyle w:val="Innehll1"/>
        <w:shd w:val="clear" w:color="000000" w:fill="auto"/>
        <w:rPr>
          <w:sz w:val="24"/>
          <w:szCs w:val="24"/>
        </w:rPr>
      </w:pPr>
      <w:r w:rsidRPr="00914867">
        <w:t>Flera remissinstanser för denna ordning</w:t>
      </w:r>
      <w:r w:rsidRPr="00914867">
        <w:tab/>
      </w:r>
      <w:r w:rsidRPr="00914867">
        <w:fldChar w:fldCharType="begin" w:fldLock="1"/>
      </w:r>
      <w:r w:rsidRPr="00914867">
        <w:instrText xml:space="preserve"> PAGEREF _Toc252090073 \h </w:instrText>
      </w:r>
      <w:r w:rsidRPr="00914867">
        <w:fldChar w:fldCharType="separate"/>
      </w:r>
      <w:r w:rsidRPr="00914867">
        <w:t>4</w:t>
      </w:r>
      <w:r w:rsidRPr="00914867">
        <w:fldChar w:fldCharType="end"/>
      </w:r>
    </w:p>
    <w:p w:rsidR="00914867" w:rsidRPr="00914867" w:rsidRDefault="00914867">
      <w:pPr>
        <w:pStyle w:val="Innehll1"/>
        <w:shd w:val="clear" w:color="000000" w:fill="auto"/>
        <w:rPr>
          <w:sz w:val="24"/>
          <w:szCs w:val="24"/>
        </w:rPr>
      </w:pPr>
      <w:r w:rsidRPr="00914867">
        <w:t>Avskaffad vigselrätt</w:t>
      </w:r>
      <w:r w:rsidRPr="00914867">
        <w:tab/>
      </w:r>
      <w:r w:rsidRPr="00914867">
        <w:fldChar w:fldCharType="begin" w:fldLock="1"/>
      </w:r>
      <w:r w:rsidRPr="00914867">
        <w:instrText xml:space="preserve"> PAGEREF _Toc252090074 \h </w:instrText>
      </w:r>
      <w:r w:rsidRPr="00914867">
        <w:fldChar w:fldCharType="separate"/>
      </w:r>
      <w:r w:rsidRPr="00914867">
        <w:t>6</w:t>
      </w:r>
      <w:r w:rsidRPr="00914867">
        <w:fldChar w:fldCharType="end"/>
      </w:r>
    </w:p>
    <w:p w:rsidR="00914867" w:rsidRPr="00914867" w:rsidRDefault="00914867">
      <w:r w:rsidRPr="00914867">
        <w:fldChar w:fldCharType="end"/>
      </w:r>
      <w:bookmarkStart w:id="3" w:name="_Toc252090069"/>
    </w:p>
    <w:p w:rsidR="00914867" w:rsidRPr="00914867" w:rsidRDefault="00914867">
      <w:pPr>
        <w:pStyle w:val="Frslagsrubrik"/>
        <w:pageBreakBefore/>
        <w:shd w:val="clear" w:color="000000" w:fill="auto"/>
        <w:spacing w:before="0"/>
      </w:pPr>
      <w:r w:rsidRPr="00914867">
        <w:t>Förslag till riksdagsbeslut</w:t>
      </w:r>
      <w:bookmarkEnd w:id="1"/>
      <w:bookmarkEnd w:id="3"/>
    </w:p>
    <w:p w:rsidR="00914867" w:rsidRPr="00914867" w:rsidRDefault="00914867">
      <w:pPr>
        <w:pStyle w:val="Hemstlatt"/>
        <w:shd w:val="clear" w:color="000000" w:fill="auto"/>
      </w:pPr>
      <w:r w:rsidRPr="00914867">
        <w:t>Riksdagen tillkännager för regeringen som sin mening vad som anförs i motionen om att utreda utformningen av en civilrättsligt reglerad samlevnad mellan vuxna par, förslagsvis kallad giftermålsbalk.</w:t>
      </w:r>
    </w:p>
    <w:p w:rsidR="00914867" w:rsidRPr="00914867" w:rsidRDefault="00914867">
      <w:pPr>
        <w:pStyle w:val="Rubrik1"/>
        <w:shd w:val="clear" w:color="000000" w:fill="auto"/>
      </w:pPr>
      <w:bookmarkStart w:id="4" w:name="_Toc242588121"/>
      <w:bookmarkStart w:id="5" w:name="_Toc252090070"/>
      <w:r w:rsidRPr="00914867">
        <w:t>Bakgrund</w:t>
      </w:r>
      <w:bookmarkEnd w:id="4"/>
      <w:bookmarkEnd w:id="5"/>
    </w:p>
    <w:p w:rsidR="00914867" w:rsidRPr="00914867" w:rsidRDefault="00914867">
      <w:pPr>
        <w:shd w:val="clear" w:color="000000" w:fill="auto"/>
      </w:pPr>
      <w:r w:rsidRPr="00914867">
        <w:t xml:space="preserve">Våren 2007 överlämnade Hans Regner sitt slutbetänkande </w:t>
      </w:r>
      <w:r w:rsidRPr="00914867">
        <w:rPr>
          <w:i/>
        </w:rPr>
        <w:t>Äktenskap för par med samma kön – Vigselfrågor</w:t>
      </w:r>
      <w:r w:rsidRPr="00914867">
        <w:t xml:space="preserve"> (SOU 2007:17) till regeringen. Betänkandet föreslog en könsneutral äktenskapsbalk, det vill säga att två personer ska kunna ingå äktenskap oavsett könstillhörighet. Betänkandet var ute på remiss till i mitten av januari 2008.</w:t>
      </w:r>
    </w:p>
    <w:p w:rsidR="00914867" w:rsidRPr="00914867" w:rsidRDefault="00914867">
      <w:pPr>
        <w:pStyle w:val="Normaltindrag"/>
        <w:shd w:val="clear" w:color="000000" w:fill="auto"/>
      </w:pPr>
      <w:r w:rsidRPr="00914867">
        <w:t>Utredaren fick bl.a. i uppdrag att utreda och analysera en civiläktenskap</w:t>
      </w:r>
      <w:r w:rsidRPr="00914867">
        <w:t>s</w:t>
      </w:r>
      <w:r w:rsidRPr="00914867">
        <w:t>modell. Det uppdraget har inte utredaren utfört på det grundliga sätt vi fö</w:t>
      </w:r>
      <w:r w:rsidRPr="00914867">
        <w:t>r</w:t>
      </w:r>
      <w:r w:rsidRPr="00914867">
        <w:t>väntade oss.</w:t>
      </w:r>
    </w:p>
    <w:p w:rsidR="00914867" w:rsidRPr="00914867" w:rsidRDefault="00914867">
      <w:pPr>
        <w:pStyle w:val="Normaltindrag"/>
        <w:shd w:val="clear" w:color="000000" w:fill="auto"/>
      </w:pPr>
      <w:r w:rsidRPr="00914867">
        <w:t>När frågan om en könsneutral äktenskapslagstiftning behandlades i riksd</w:t>
      </w:r>
      <w:r w:rsidRPr="00914867">
        <w:t>a</w:t>
      </w:r>
      <w:r w:rsidRPr="00914867">
        <w:t>gen under våren 2009 föreslog Kristdemokraterna en civilrättslig ordning. Vårt förslag vann då inte riksdagens gehör, även om många både utanför och i riksdagen uttalade sympati för vår linje. Det finns därför anledning att söka en gemensam lösning som förenar olika perspektiv.</w:t>
      </w:r>
    </w:p>
    <w:p w:rsidR="00914867" w:rsidRPr="00914867" w:rsidRDefault="00914867">
      <w:pPr>
        <w:pStyle w:val="Rubrik1"/>
        <w:shd w:val="clear" w:color="000000" w:fill="auto"/>
      </w:pPr>
      <w:bookmarkStart w:id="6" w:name="_Toc242588122"/>
      <w:bookmarkStart w:id="7" w:name="_Toc252090071"/>
      <w:r w:rsidRPr="00914867">
        <w:t>Begreppet äktenskap och dess symbolvärde</w:t>
      </w:r>
      <w:bookmarkEnd w:id="6"/>
      <w:bookmarkEnd w:id="7"/>
    </w:p>
    <w:p w:rsidR="00914867" w:rsidRPr="00914867" w:rsidRDefault="00914867">
      <w:pPr>
        <w:shd w:val="clear" w:color="000000" w:fill="auto"/>
      </w:pPr>
      <w:r w:rsidRPr="00914867">
        <w:t>Utifrån filosofiska, kulturella eller religiösa bevekelsegrunder betonar en stor del av svenska folket och många sammanslutningar – däribland samtliga trossamfund inom Sveriges kristna råd – vikten av att värna det unika i just relationen mellan en man och en kvinna som i dag inryms i begreppet äkte</w:t>
      </w:r>
      <w:r w:rsidRPr="00914867">
        <w:t>n</w:t>
      </w:r>
      <w:r w:rsidRPr="00914867">
        <w:t>skap. Det är viktigt att skilja på å ena sidan äktenskapets rättsliga innebörd och å andra sidan dess kulturella, religiösa och sociala aspekter. Äktenskapet definieras ibland som ”en gemenskapens institution”. Det är på en och samma gång en djup persongemenskap och ett lagligt reglerat avtal mellan en kvinna och en man.</w:t>
      </w:r>
    </w:p>
    <w:p w:rsidR="00914867" w:rsidRPr="00914867" w:rsidRDefault="00914867">
      <w:pPr>
        <w:pStyle w:val="Normaltindrag"/>
        <w:shd w:val="clear" w:color="000000" w:fill="auto"/>
      </w:pPr>
      <w:r w:rsidRPr="00914867">
        <w:t>Begreppet äktenskap har i grunden ett religiöst ursprung. Det har funnits längre än svensk äktenskapslagstiftning. Därför bör betydelsen av att värna de religiösa samfundens rätt att själv</w:t>
      </w:r>
      <w:r w:rsidRPr="00914867">
        <w:t>a definiera innehållet i centrala teologiska begrepp och ceremonier uppmärksammas.</w:t>
      </w:r>
    </w:p>
    <w:p w:rsidR="00914867" w:rsidRPr="00914867" w:rsidRDefault="00914867">
      <w:pPr>
        <w:pStyle w:val="Rubrik1"/>
        <w:shd w:val="clear" w:color="000000" w:fill="auto"/>
      </w:pPr>
      <w:bookmarkStart w:id="8" w:name="_Toc242588123"/>
      <w:bookmarkStart w:id="9" w:name="_Toc252090072"/>
      <w:r w:rsidRPr="00914867">
        <w:t>Civilrättsligt reglerad samlevnad mellan vuxna par</w:t>
      </w:r>
      <w:bookmarkEnd w:id="8"/>
      <w:bookmarkEnd w:id="9"/>
    </w:p>
    <w:p w:rsidR="00914867" w:rsidRPr="00914867" w:rsidRDefault="00914867">
      <w:pPr>
        <w:shd w:val="clear" w:color="000000" w:fill="auto"/>
      </w:pPr>
      <w:r w:rsidRPr="00914867">
        <w:t xml:space="preserve">Den statlige utredaren Hans Regners uppdrag var förutom att ta ställning till frågan om par av samma kön bör kunna ingå äktenskap också att ta ställning till frågan om äktenskap endast bör få ingås civilt. Den senare frågan har som tidigare påpekats inte getts samma utrymme. Två argument som förts fram för att trossamfunden inte bör ha kvar sin vigselrätt är att Svenska kyrkan numera har skilts från staten och att staten bör vara neutral i religiösa frågor. Det hävdas också att för det fall ett system med </w:t>
      </w:r>
      <w:r w:rsidRPr="00914867">
        <w:t>endast civilrättslig samlevnad införs skulle det på ett klarare sätt komma till uttryck att giftermålet utgör ett rent civil</w:t>
      </w:r>
      <w:r w:rsidRPr="00914867">
        <w:softHyphen/>
        <w:t>rättsligt förhållande.</w:t>
      </w:r>
    </w:p>
    <w:p w:rsidR="00914867" w:rsidRPr="00914867" w:rsidRDefault="00914867">
      <w:pPr>
        <w:pStyle w:val="Normaltindrag"/>
        <w:shd w:val="clear" w:color="000000" w:fill="auto"/>
      </w:pPr>
      <w:r w:rsidRPr="00914867">
        <w:t>Kristdemokraterna anser dessa argument övertygande och föreslår därför att äktenskapsbalken ersätts med en civilrättslig samlevnadsbalk, förslagsvis kallad giftermålsbalk, som gäller lika för hetero- och homosexuella par</w:t>
      </w:r>
      <w:r w:rsidRPr="00914867">
        <w:rPr>
          <w:i/>
        </w:rPr>
        <w:t>.</w:t>
      </w:r>
      <w:r w:rsidRPr="00914867">
        <w:t xml:space="preserve"> Dä</w:t>
      </w:r>
      <w:r w:rsidRPr="00914867">
        <w:t>r</w:t>
      </w:r>
      <w:r w:rsidRPr="00914867">
        <w:t>med skiljer man på den strikt rättsliga ordning som staten ska reglera och kyrkornas ceremoni som har starka filosofiska, traditionella och religiösa dimensioner. Rent praktiskt innebär det att alla par som vill gifta sig går till en myndighet, exempelvis skattemyndigheten, och registrerar det juridiska förbundet. Därefter inramar varje par giftermålet på det sätt som de själva önskar. Det kan vara ett stort kyrkbröllop, en profan personligt utformad ceremoni eller att man nöjer sig med själva registre</w:t>
      </w:r>
      <w:r w:rsidRPr="00914867">
        <w:t>ringen.</w:t>
      </w:r>
    </w:p>
    <w:p w:rsidR="00914867" w:rsidRPr="00914867" w:rsidRDefault="00914867">
      <w:pPr>
        <w:pStyle w:val="Normaltindrag"/>
        <w:shd w:val="clear" w:color="000000" w:fill="auto"/>
      </w:pPr>
      <w:r w:rsidRPr="00914867">
        <w:t>En civilrättslig ordning innebär alltså att staten bistår vuxna par med att j</w:t>
      </w:r>
      <w:r w:rsidRPr="00914867">
        <w:t>u</w:t>
      </w:r>
      <w:r w:rsidRPr="00914867">
        <w:t>ridiskt reglera sin samlevnad och skapa trygga juridiska förhållanden i parr</w:t>
      </w:r>
      <w:r w:rsidRPr="00914867">
        <w:t>e</w:t>
      </w:r>
      <w:r w:rsidRPr="00914867">
        <w:t>lationer. Detta gäller både hetero- och homosexuella par. Lagen erbjuder samma möjligheter till juridiskt skydd för alla vuxna par.</w:t>
      </w:r>
    </w:p>
    <w:p w:rsidR="00914867" w:rsidRPr="00914867" w:rsidRDefault="00914867">
      <w:pPr>
        <w:pStyle w:val="Normaltindrag"/>
        <w:shd w:val="clear" w:color="000000" w:fill="auto"/>
      </w:pPr>
      <w:r w:rsidRPr="00914867">
        <w:t xml:space="preserve">En civilrättslig lösning är konstruktiv genom att den bibehåller riksdagens beslut om en enhetlig könsneutral lagstiftning, samtidigt som äktenskapet som begrepp lämnas utanför lagstiftningen. Det är viktigt att finna en lösning som bygger på respekt för de olika åsikter som föreligger i denna fråga. </w:t>
      </w:r>
      <w:r w:rsidRPr="00914867">
        <w:t>Förslaget respekterar både dem som utifrån filosofiska, traditionella eller religiösa b</w:t>
      </w:r>
      <w:r w:rsidRPr="00914867">
        <w:t>e</w:t>
      </w:r>
      <w:r w:rsidRPr="00914867">
        <w:t>vekelsegrunder betonar vikten av att värna det unika i just relationen mellan en man och en kvinna, som av tradition inryms i begreppet äktenskap och dem som hävdar att det faktum att homosexuella och heterosexuella parrel</w:t>
      </w:r>
      <w:r w:rsidRPr="00914867">
        <w:t>a</w:t>
      </w:r>
      <w:r w:rsidRPr="00914867">
        <w:t>tioner har olika benämningar är en diskriminering.</w:t>
      </w:r>
    </w:p>
    <w:p w:rsidR="00914867" w:rsidRPr="00914867" w:rsidRDefault="00914867">
      <w:pPr>
        <w:pStyle w:val="Normaltindrag"/>
        <w:shd w:val="clear" w:color="000000" w:fill="auto"/>
      </w:pPr>
      <w:r w:rsidRPr="00914867">
        <w:t>I stället för att ha en lag som leder till splittring bör vi gå vidare och stifta en lag som fullt ut respekterar de olika synsätten i denna fråga, oc</w:t>
      </w:r>
      <w:r w:rsidRPr="00914867">
        <w:t>h som dä</w:t>
      </w:r>
      <w:r w:rsidRPr="00914867">
        <w:t>r</w:t>
      </w:r>
      <w:r w:rsidRPr="00914867">
        <w:t>med får bredast möjliga legitimitet. Sverige får därmed samma system som finns i flera länder i Europa, till exempel i Frankrike, Tyskland och Spanien.</w:t>
      </w:r>
    </w:p>
    <w:p w:rsidR="00914867" w:rsidRPr="00914867" w:rsidRDefault="00914867">
      <w:pPr>
        <w:pStyle w:val="Rubrik1"/>
        <w:shd w:val="clear" w:color="000000" w:fill="auto"/>
      </w:pPr>
      <w:bookmarkStart w:id="10" w:name="_Toc242588124"/>
      <w:bookmarkStart w:id="11" w:name="_Toc252090073"/>
      <w:r w:rsidRPr="00914867">
        <w:t>Flera remissinstanser för denna ordning</w:t>
      </w:r>
      <w:bookmarkEnd w:id="10"/>
      <w:bookmarkEnd w:id="11"/>
    </w:p>
    <w:p w:rsidR="00914867" w:rsidRPr="00914867" w:rsidRDefault="00914867">
      <w:pPr>
        <w:shd w:val="clear" w:color="000000" w:fill="auto"/>
      </w:pPr>
      <w:r w:rsidRPr="00914867">
        <w:t>Flera remissinstanser till den statliga utredningen stöder vår linje. Svenska Missionskyrkan, Svenska Baptistsamfundet</w:t>
      </w:r>
      <w:r w:rsidRPr="00914867">
        <w:rPr>
          <w:b/>
        </w:rPr>
        <w:t xml:space="preserve">, </w:t>
      </w:r>
      <w:r w:rsidRPr="00914867">
        <w:t>Metodistkyrkan i Sverige, H</w:t>
      </w:r>
      <w:r w:rsidRPr="00914867">
        <w:t>u</w:t>
      </w:r>
      <w:r w:rsidRPr="00914867">
        <w:t>manisterna, Hovrätten över Skåne och Blekinge och RFSU – Riksförbundet för sexuell upplysning – föreslår att civilregistrering ska införas i Sverige. Evangeliska Fosterlandsstiftelsen uttalade att om utredningens förslag går igenom bör civilregistrering införas.</w:t>
      </w:r>
    </w:p>
    <w:p w:rsidR="00914867" w:rsidRPr="00914867" w:rsidRDefault="00914867">
      <w:pPr>
        <w:pStyle w:val="Normaltindrag"/>
        <w:shd w:val="clear" w:color="000000" w:fill="auto"/>
      </w:pPr>
      <w:r w:rsidRPr="00914867">
        <w:t>Många remissinstanser anser också att utredaren inte utrett alternativet om civilregistrering, vilket ingick i utredningsuppdraget. Svenska Missionsky</w:t>
      </w:r>
      <w:r w:rsidRPr="00914867">
        <w:t>r</w:t>
      </w:r>
      <w:r w:rsidRPr="00914867">
        <w:t>kan skriver: ”Vi är utomordentligt kritiska mot utredningens brist på ett reellt alternativ för obligatoriskt civilrättsligt giftermål och hur det skulle praktiskt kunna lösas samt förhålla sig till många människors önskan att skapa högti</w:t>
      </w:r>
      <w:r w:rsidRPr="00914867">
        <w:t>d</w:t>
      </w:r>
      <w:r w:rsidRPr="00914867">
        <w:t>lighet och fest.”</w:t>
      </w:r>
    </w:p>
    <w:p w:rsidR="00914867" w:rsidRPr="00914867" w:rsidRDefault="00914867">
      <w:pPr>
        <w:pStyle w:val="Normaltindrag"/>
        <w:shd w:val="clear" w:color="000000" w:fill="auto"/>
      </w:pPr>
      <w:r w:rsidRPr="00914867">
        <w:t>Hovrätten över Skåne och Blekinge skriver ”att den nuvarande ordningen ger upphov till en mängd problem – – – .”Det finns enligt hovrättens mening all anledning att i stället försöka skapa ett system som är hållbart på lång sikt. Detta talar mycket stark</w:t>
      </w:r>
      <w:r w:rsidRPr="00914867">
        <w:t>t för ett införande av obligatoriskt civiläktenskap.”</w:t>
      </w:r>
    </w:p>
    <w:p w:rsidR="00914867" w:rsidRPr="00914867" w:rsidRDefault="00914867">
      <w:pPr>
        <w:pStyle w:val="Normaltindrag"/>
        <w:shd w:val="clear" w:color="000000" w:fill="auto"/>
      </w:pPr>
      <w:r w:rsidRPr="00914867">
        <w:t>RFSU anför i sitt remissvar:</w:t>
      </w:r>
    </w:p>
    <w:p w:rsidR="00914867" w:rsidRPr="00914867" w:rsidRDefault="00914867">
      <w:pPr>
        <w:pStyle w:val="Citat"/>
        <w:shd w:val="clear" w:color="000000" w:fill="auto"/>
        <w:rPr>
          <w:szCs w:val="24"/>
        </w:rPr>
      </w:pPr>
      <w:r w:rsidRPr="00914867">
        <w:t>Stat och kyrka skildes åt år 2000 vilket innebär att kyrkan inte längre är en statlig institution och heller inte per automatik utför statligt myndi</w:t>
      </w:r>
      <w:r w:rsidRPr="00914867">
        <w:t>g</w:t>
      </w:r>
      <w:r w:rsidRPr="00914867">
        <w:t>hetsutövande. Enligt den rådande ordningen delegeras möjligheten att viga personer till trossamfund. Dock finns det inga krav på att trossa</w:t>
      </w:r>
      <w:r w:rsidRPr="00914867">
        <w:t>m</w:t>
      </w:r>
      <w:r w:rsidRPr="00914867">
        <w:t>funden ska viga samkönade par. Detta krav finns däremot på personer som får rätt att utföra borgerliga vigslar. Enligt RFSU är därför uppgiften att viga människor i stället en arbetsuppgift för staten som registrerar både samkönade och olikkönade par. På så sätt försvinner risken för diskriminering av samkönade par. Däremot ska det efter det juridiska fö</w:t>
      </w:r>
      <w:r w:rsidRPr="00914867">
        <w:t>r</w:t>
      </w:r>
      <w:r w:rsidRPr="00914867">
        <w:t>farandet stå v</w:t>
      </w:r>
      <w:r w:rsidRPr="00914867">
        <w:t>arje par fritt att välja ceremoni, religiös eller annan. RFSU kan hålla med om att det inte är befogat att tvinga trossamfund skilda från staten att utföra handlingar som strider mot deras övertygelser, men då är det inte heller befogat att låta dem utöva statlig makt. För att un</w:t>
      </w:r>
      <w:r w:rsidRPr="00914867">
        <w:t>d</w:t>
      </w:r>
      <w:r w:rsidRPr="00914867">
        <w:t>komma den intressekonflikt som uppkommer liksom diskriminering m</w:t>
      </w:r>
      <w:r w:rsidRPr="00914867">
        <w:t>e</w:t>
      </w:r>
      <w:r w:rsidRPr="00914867">
        <w:t>nar RFSU att den bästa lösningen är att skilja äktenskapet från kyrkan genom att endast tillåta civilrättslig registrering som juridiskt bindande.</w:t>
      </w:r>
    </w:p>
    <w:p w:rsidR="00914867" w:rsidRPr="00914867" w:rsidRDefault="00914867">
      <w:pPr>
        <w:shd w:val="clear" w:color="000000" w:fill="auto"/>
      </w:pPr>
      <w:r w:rsidRPr="00914867">
        <w:t xml:space="preserve">Humanisterna anför </w:t>
      </w:r>
      <w:r w:rsidRPr="00914867">
        <w:t xml:space="preserve">i sitt remissvar att de menar att ”civiläktenskap ska vara den enda juridiska bindande formen för äktenskap. Det främsta skälet till detta är att garantera alla pars likabehandling.” De fortsätter: ”I många länder världen över gäller civiläktenskap. Bland dessa noteras särskilt Spanien som trots katolska kyrkans starka inflytande införde könsneutrala civiläktenskap </w:t>
      </w:r>
      <w:smartTag w:uri="urn:schemas-microsoft-com:office:smarttags" w:element="metricconverter">
        <w:smartTagPr>
          <w:attr w:name="ProductID" w:val="2005.”"/>
        </w:smartTagPr>
        <w:r w:rsidRPr="00914867">
          <w:t>2005.”</w:t>
        </w:r>
      </w:smartTag>
    </w:p>
    <w:p w:rsidR="00914867" w:rsidRPr="00914867" w:rsidRDefault="00914867">
      <w:pPr>
        <w:pStyle w:val="Normaltindrag"/>
        <w:shd w:val="clear" w:color="000000" w:fill="auto"/>
      </w:pPr>
      <w:r w:rsidRPr="00914867">
        <w:t>HomO skriver i remissvaret att det inte är emot utredarens förslag men att ”det kan dock finnas skäl att i framtiden återkomma till fråga</w:t>
      </w:r>
      <w:r w:rsidRPr="00914867">
        <w:t>n om obligat</w:t>
      </w:r>
      <w:r w:rsidRPr="00914867">
        <w:t>o</w:t>
      </w:r>
      <w:r w:rsidRPr="00914867">
        <w:t>riskt civiläktenskap för alla som vill gifta sig”.</w:t>
      </w:r>
    </w:p>
    <w:p w:rsidR="00914867" w:rsidRPr="00914867" w:rsidRDefault="00914867">
      <w:pPr>
        <w:pStyle w:val="Normaltindrag"/>
        <w:shd w:val="clear" w:color="000000" w:fill="auto"/>
      </w:pPr>
      <w:r w:rsidRPr="00914867">
        <w:t>I debatten som följt efter att Kristdemokraterna första gången presenterade sitt förslag om en civilrättslig registrering har framkommit att förslaget har ett mycket brett samhälleligt stöd från ledamöter i andra partier, olika organis</w:t>
      </w:r>
      <w:r w:rsidRPr="00914867">
        <w:t>a</w:t>
      </w:r>
      <w:r w:rsidRPr="00914867">
        <w:t>tionsföreträdare, ledarskribenter, kristna och muslimska trossamfund med flera.</w:t>
      </w:r>
      <w:r w:rsidRPr="00914867">
        <w:rPr>
          <w:b/>
        </w:rPr>
        <w:t xml:space="preserve"> </w:t>
      </w:r>
      <w:r w:rsidRPr="00914867">
        <w:t>Det har tidigare år också lagts flera riksdagsmotioner från flera olika partier med förslag om att införa civilrättsligt reglerad registrering men u</w:t>
      </w:r>
      <w:r w:rsidRPr="00914867">
        <w:t>t</w:t>
      </w:r>
      <w:r w:rsidRPr="00914867">
        <w:t xml:space="preserve">ifrån olika ingångsvärden. </w:t>
      </w:r>
    </w:p>
    <w:p w:rsidR="00914867" w:rsidRPr="00914867" w:rsidRDefault="00914867">
      <w:pPr>
        <w:pStyle w:val="Rubrik1"/>
        <w:shd w:val="clear" w:color="000000" w:fill="auto"/>
      </w:pPr>
      <w:bookmarkStart w:id="12" w:name="_Toc242588125"/>
      <w:bookmarkStart w:id="13" w:name="_Toc252090074"/>
      <w:r w:rsidRPr="00914867">
        <w:t>Avskaffad vigselrätt</w:t>
      </w:r>
      <w:bookmarkEnd w:id="12"/>
      <w:bookmarkEnd w:id="13"/>
    </w:p>
    <w:p w:rsidR="00914867" w:rsidRPr="00914867" w:rsidRDefault="00914867">
      <w:pPr>
        <w:shd w:val="clear" w:color="000000" w:fill="auto"/>
      </w:pPr>
      <w:r w:rsidRPr="00914867">
        <w:t>Följden av att en civilrättslig registrering införs blir att det görs en tydlig åtskillnad mellan den juridiska betydelsen av en vigsel och den (eventuella) religiösa och ceremoniella. Detta innebär att de religiösa samfundens vigse</w:t>
      </w:r>
      <w:r w:rsidRPr="00914867">
        <w:t>l</w:t>
      </w:r>
      <w:r w:rsidRPr="00914867">
        <w:t>rätt i juridisk mening upphör. Staten har i lag gett vuxna par möjlighet att reglera den juridiska relationen, och att registrera denna relation handlar om myndighetsutövning. Därför är det rimligt att staten också helt sköter denna del och att religiösa samfund, eller någon annan, inte agerar som en förlängd arm till staten. I den del som handlar om myndighetsutövning garanteras på detta sätt alla vuxna par likabehandling. Det är samtidigt ett sätt att hindra staten att lägga sig i det som borde vara reli</w:t>
      </w:r>
      <w:r w:rsidRPr="00914867">
        <w:t>giösa samfunds interna angel</w:t>
      </w:r>
      <w:r w:rsidRPr="00914867">
        <w:t>ä</w:t>
      </w:r>
      <w:r w:rsidRPr="00914867">
        <w:t>genheter. Äktenskap och vigsel är för många i grunden begrepp med ett rel</w:t>
      </w:r>
      <w:r w:rsidRPr="00914867">
        <w:t>i</w:t>
      </w:r>
      <w:r w:rsidRPr="00914867">
        <w:t>giöst ursprung. I religionsfriheten ligger vikten av att värna de religiösa sa</w:t>
      </w:r>
      <w:r w:rsidRPr="00914867">
        <w:t>m</w:t>
      </w:r>
      <w:r w:rsidRPr="00914867">
        <w:t>fundens rätt att själva definiera innehållet i centrala teologiska begrepp. För dem som lägger in en religiös betydelse i äktenskapet är vigselceremonin att betrakta som en gudstjänst. Staten ska inte ha synpunkter på när, hur och för vem gudstjänster anordnas.</w:t>
      </w:r>
    </w:p>
    <w:p w:rsidR="00914867" w:rsidRPr="00914867" w:rsidRDefault="00914867">
      <w:pPr>
        <w:pStyle w:val="Normaltindrag"/>
        <w:shd w:val="clear" w:color="000000" w:fill="auto"/>
      </w:pPr>
      <w:r w:rsidRPr="00914867">
        <w:t>Det finns naturligtvis skäl mot att avskaffa trossamfundens vigselrä</w:t>
      </w:r>
      <w:r w:rsidRPr="00914867">
        <w:t>tt, och de måste diskuteras öppet. För många blir det lite krångligare att gifta sig, eftersom de som också vill ha en välsignelseceremoni behöver vända sig till två instanser mot tidigare en. Så var emellertid fallet tidigare i Sverige och ansågs då inte medföra någon större olägenhet.</w:t>
      </w:r>
    </w:p>
    <w:p w:rsidR="00914867" w:rsidRPr="00914867" w:rsidRDefault="00914867">
      <w:pPr>
        <w:pStyle w:val="Normaltindrag"/>
        <w:shd w:val="clear" w:color="000000" w:fill="auto"/>
      </w:pPr>
      <w:r w:rsidRPr="00914867">
        <w:t>Införandet av civilrättsligt reglerad samlevnad är enda sättet att garantera att alla par som vill gifta sig behandlas lika och är också en rimlig konsekvens av delningen mellan kyrka och stat. Genom att återföra äktenskapsb</w:t>
      </w:r>
      <w:r w:rsidRPr="00914867">
        <w:t>egreppet till det civila samhället respekterar vi dess djupa kulturella och religiösa inn</w:t>
      </w:r>
      <w:r w:rsidRPr="00914867">
        <w:t>e</w:t>
      </w:r>
      <w:r w:rsidRPr="00914867">
        <w:t>börd. I många länder världen över gäller redan civilrättsligt reglerad samle</w:t>
      </w:r>
      <w:r w:rsidRPr="00914867">
        <w:t>v</w:t>
      </w:r>
      <w:r w:rsidRPr="00914867">
        <w:t xml:space="preserve">nad, och där har det inte framkommit några påtagliga olägenheter med detta system. </w:t>
      </w:r>
    </w:p>
    <w:p w:rsidR="00914867" w:rsidRPr="00914867" w:rsidRDefault="00914867">
      <w:pPr>
        <w:pStyle w:val="Normaltindrag"/>
        <w:shd w:val="clear" w:color="000000" w:fill="auto"/>
      </w:pPr>
      <w:r w:rsidRPr="00914867">
        <w:t>I länder som Spanien, Frankrike, Tyskland och Brasilien handlar det om att man först gifter sig civilrättsligt för att sedan, om man så önskar, ha en rel</w:t>
      </w:r>
      <w:r w:rsidRPr="00914867">
        <w:t>i</w:t>
      </w:r>
      <w:r w:rsidRPr="00914867">
        <w:t>giös välsignelseceremoni.</w:t>
      </w:r>
    </w:p>
    <w:p w:rsidR="00914867" w:rsidRPr="00914867" w:rsidRDefault="00914867">
      <w:pPr>
        <w:pStyle w:val="Normaltindrag"/>
        <w:shd w:val="clear" w:color="000000" w:fill="auto"/>
      </w:pPr>
      <w:r w:rsidRPr="00914867">
        <w:t>Det är angeläget att regeringen snarast inleder ett utredningsarbete som syftar till att ta fram ett förslag till en civilrättsligt reglerad samlevnad.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867">
        <w:trPr>
          <w:cantSplit/>
        </w:trPr>
        <w:tc>
          <w:tcPr>
            <w:tcW w:w="3046" w:type="dxa"/>
          </w:tcPr>
          <w:p w:rsidR="00914867" w:rsidRPr="00914867" w:rsidRDefault="00914867">
            <w:pPr>
              <w:pStyle w:val="UnderskriftDatum"/>
              <w:shd w:val="clear" w:color="000000" w:fill="auto"/>
              <w:spacing w:before="240"/>
            </w:pPr>
            <w:r w:rsidRPr="00914867">
              <w:t>Stockholm den 6 oktober 2009</w:t>
            </w:r>
          </w:p>
        </w:tc>
        <w:tc>
          <w:tcPr>
            <w:tcW w:w="3047" w:type="dxa"/>
          </w:tcPr>
          <w:p w:rsidR="00914867" w:rsidRPr="00914867" w:rsidRDefault="00914867">
            <w:pPr>
              <w:pStyle w:val="Underskrifter"/>
              <w:shd w:val="clear" w:color="000000" w:fill="auto"/>
              <w:spacing w:before="240"/>
            </w:pPr>
          </w:p>
        </w:tc>
      </w:tr>
      <w:tr w:rsidR="00000000" w:rsidRPr="00914867">
        <w:trPr>
          <w:cantSplit/>
        </w:trPr>
        <w:tc>
          <w:tcPr>
            <w:tcW w:w="3046" w:type="dxa"/>
          </w:tcPr>
          <w:p w:rsidR="00914867" w:rsidRPr="00914867" w:rsidRDefault="00914867">
            <w:pPr>
              <w:pStyle w:val="Underskrifter"/>
              <w:shd w:val="clear" w:color="000000" w:fill="auto"/>
            </w:pPr>
            <w:r w:rsidRPr="00914867">
              <w:t>Stefan Attefall (kd)</w:t>
            </w:r>
          </w:p>
        </w:tc>
        <w:tc>
          <w:tcPr>
            <w:tcW w:w="3046" w:type="dxa"/>
          </w:tcPr>
          <w:p w:rsidR="00914867" w:rsidRPr="00914867" w:rsidRDefault="00914867">
            <w:pPr>
              <w:pStyle w:val="Underskrifter"/>
              <w:shd w:val="clear" w:color="000000" w:fill="auto"/>
            </w:pPr>
          </w:p>
        </w:tc>
      </w:tr>
      <w:tr w:rsidR="00000000" w:rsidRPr="00914867">
        <w:trPr>
          <w:cantSplit/>
        </w:trPr>
        <w:tc>
          <w:tcPr>
            <w:tcW w:w="3046" w:type="dxa"/>
          </w:tcPr>
          <w:p w:rsidR="00914867" w:rsidRPr="00914867" w:rsidRDefault="00914867">
            <w:pPr>
              <w:pStyle w:val="Underskrifter"/>
              <w:shd w:val="clear" w:color="000000" w:fill="auto"/>
            </w:pPr>
            <w:r w:rsidRPr="00914867">
              <w:t>Inger Davidson (kd)</w:t>
            </w:r>
          </w:p>
        </w:tc>
        <w:tc>
          <w:tcPr>
            <w:tcW w:w="3046" w:type="dxa"/>
          </w:tcPr>
          <w:p w:rsidR="00914867" w:rsidRPr="00914867" w:rsidRDefault="00914867">
            <w:pPr>
              <w:pStyle w:val="Underskrifter"/>
              <w:shd w:val="clear" w:color="000000" w:fill="auto"/>
            </w:pPr>
            <w:r w:rsidRPr="00914867">
              <w:t>Dan Kihlström (kd)</w:t>
            </w:r>
          </w:p>
        </w:tc>
      </w:tr>
      <w:tr w:rsidR="00000000" w:rsidRPr="00914867">
        <w:trPr>
          <w:cantSplit/>
        </w:trPr>
        <w:tc>
          <w:tcPr>
            <w:tcW w:w="3046" w:type="dxa"/>
          </w:tcPr>
          <w:p w:rsidR="00914867" w:rsidRPr="00914867" w:rsidRDefault="00914867">
            <w:pPr>
              <w:pStyle w:val="Underskrifter"/>
              <w:shd w:val="clear" w:color="000000" w:fill="auto"/>
            </w:pPr>
            <w:r w:rsidRPr="00914867">
              <w:t>Else-Marie Lindgren (kd)</w:t>
            </w:r>
          </w:p>
        </w:tc>
        <w:tc>
          <w:tcPr>
            <w:tcW w:w="3046" w:type="dxa"/>
          </w:tcPr>
          <w:p w:rsidR="00914867" w:rsidRPr="00914867" w:rsidRDefault="00914867">
            <w:pPr>
              <w:pStyle w:val="Underskrifter"/>
              <w:shd w:val="clear" w:color="000000" w:fill="auto"/>
            </w:pPr>
            <w:r w:rsidRPr="00914867">
              <w:t>Mikael Oscarsson (kd)</w:t>
            </w:r>
          </w:p>
        </w:tc>
      </w:tr>
      <w:tr w:rsidR="00000000" w:rsidRPr="00914867">
        <w:trPr>
          <w:cantSplit/>
        </w:trPr>
        <w:tc>
          <w:tcPr>
            <w:tcW w:w="3046" w:type="dxa"/>
          </w:tcPr>
          <w:p w:rsidR="00914867" w:rsidRPr="00914867" w:rsidRDefault="00914867">
            <w:pPr>
              <w:pStyle w:val="Underskrifter"/>
              <w:shd w:val="clear" w:color="000000" w:fill="auto"/>
            </w:pPr>
            <w:r w:rsidRPr="00914867">
              <w:t>Chatrine Pålsson Ahlgren (kd)</w:t>
            </w:r>
          </w:p>
        </w:tc>
        <w:tc>
          <w:tcPr>
            <w:tcW w:w="3046" w:type="dxa"/>
          </w:tcPr>
          <w:p w:rsidR="00914867" w:rsidRPr="00914867" w:rsidRDefault="00914867">
            <w:pPr>
              <w:pStyle w:val="Underskrifter"/>
              <w:shd w:val="clear" w:color="000000" w:fill="auto"/>
            </w:pPr>
            <w:r w:rsidRPr="00914867">
              <w:t>Yvonne Andersson (kd)</w:t>
            </w:r>
          </w:p>
        </w:tc>
      </w:tr>
    </w:tbl>
    <w:p w:rsidR="00914867" w:rsidRPr="00914867" w:rsidRDefault="00914867">
      <w:pPr>
        <w:pStyle w:val="Normaltindrag"/>
        <w:shd w:val="clear" w:color="000000" w:fill="auto"/>
      </w:pPr>
    </w:p>
    <w:sectPr w:rsidR="00000000" w:rsidRPr="009148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867" w:rsidRPr="00914867" w:rsidRDefault="00914867">
      <w:r w:rsidRPr="00914867">
        <w:separator/>
      </w:r>
    </w:p>
  </w:endnote>
  <w:endnote w:type="continuationSeparator" w:id="0">
    <w:p w:rsidR="00914867" w:rsidRPr="00914867" w:rsidRDefault="00914867">
      <w:r w:rsidRPr="009148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67" w:rsidRPr="00914867" w:rsidRDefault="00914867">
    <w:pPr>
      <w:pStyle w:val="Sidfot"/>
    </w:pPr>
    <w:r w:rsidRPr="009148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92222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67" w:rsidRDefault="0091486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867" w:rsidRDefault="0091486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67" w:rsidRPr="00914867" w:rsidRDefault="00914867">
    <w:pPr>
      <w:pStyle w:val="Sidfot"/>
    </w:pPr>
    <w:r w:rsidRPr="009148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0729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67" w:rsidRDefault="0091486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867" w:rsidRDefault="0091486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67" w:rsidRPr="00914867" w:rsidRDefault="00914867">
    <w:pPr>
      <w:pStyle w:val="Sidfot"/>
    </w:pPr>
    <w:r w:rsidRPr="009148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3897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67" w:rsidRDefault="009148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867" w:rsidRDefault="009148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867" w:rsidRPr="00914867" w:rsidRDefault="00914867">
      <w:r w:rsidRPr="00914867">
        <w:separator/>
      </w:r>
    </w:p>
  </w:footnote>
  <w:footnote w:type="continuationSeparator" w:id="0">
    <w:p w:rsidR="00914867" w:rsidRPr="00914867" w:rsidRDefault="00914867">
      <w:r w:rsidRPr="009148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67" w:rsidRPr="00914867" w:rsidRDefault="00914867">
    <w:pPr>
      <w:pStyle w:val="Sidhuvud"/>
    </w:pPr>
    <w:r w:rsidRPr="009148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6532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67" w:rsidRDefault="009148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867" w:rsidRDefault="009148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67" w:rsidRPr="00914867" w:rsidRDefault="00914867">
    <w:pPr>
      <w:pStyle w:val="Sidhuvud"/>
    </w:pPr>
    <w:r w:rsidRPr="009148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0505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867" w:rsidRDefault="009148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867" w:rsidRDefault="009148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867" w:rsidRPr="00914867" w:rsidRDefault="00914867">
    <w:pPr>
      <w:pStyle w:val="FSHNormal"/>
      <w:tabs>
        <w:tab w:val="right" w:pos="5840"/>
      </w:tabs>
    </w:pPr>
    <w:r w:rsidRPr="00914867">
      <w:br/>
    </w:r>
    <w:r w:rsidRPr="00914867">
      <w:fldChar w:fldCharType="begin" w:fldLock="1"/>
    </w:r>
    <w:r w:rsidRPr="00914867">
      <w:instrText xml:space="preserve"> DOCPROPERTY</w:instrText>
    </w:r>
    <w:r w:rsidRPr="00914867">
      <w:rPr>
        <w:sz w:val="18"/>
      </w:rPr>
      <w:instrText xml:space="preserve"> "YearUser" *\charformat </w:instrText>
    </w:r>
    <w:r w:rsidRPr="00914867">
      <w:fldChar w:fldCharType="separate"/>
    </w:r>
    <w:r w:rsidRPr="00914867">
      <w:t>2009/10</w:t>
    </w:r>
    <w:r w:rsidRPr="00914867">
      <w:fldChar w:fldCharType="end"/>
    </w:r>
    <w:r w:rsidRPr="00914867">
      <w:t xml:space="preserve"> </w:t>
    </w:r>
    <w:r w:rsidRPr="00914867">
      <w:tab/>
      <w:t xml:space="preserve">mnr: </w:t>
    </w:r>
    <w:r w:rsidRPr="00914867">
      <w:fldChar w:fldCharType="begin" w:fldLock="1"/>
    </w:r>
    <w:r w:rsidRPr="00914867">
      <w:instrText xml:space="preserve"> DOCPROPERTY</w:instrText>
    </w:r>
    <w:r w:rsidRPr="00914867">
      <w:rPr>
        <w:sz w:val="18"/>
      </w:rPr>
      <w:instrText xml:space="preserve"> "Motionsnummer" *\charformat </w:instrText>
    </w:r>
    <w:r w:rsidRPr="00914867">
      <w:fldChar w:fldCharType="separate"/>
    </w:r>
    <w:r w:rsidRPr="00914867">
      <w:t>C495</w:t>
    </w:r>
    <w:r w:rsidRPr="00914867">
      <w:fldChar w:fldCharType="end"/>
    </w:r>
    <w:r w:rsidRPr="00914867">
      <w:br/>
    </w:r>
    <w:r w:rsidRPr="00914867">
      <w:fldChar w:fldCharType="begin" w:fldLock="1"/>
    </w:r>
    <w:r w:rsidRPr="00914867">
      <w:instrText xml:space="preserve"> DOCPROPERTY</w:instrText>
    </w:r>
    <w:r w:rsidRPr="00914867">
      <w:rPr>
        <w:sz w:val="18"/>
      </w:rPr>
      <w:instrText xml:space="preserve"> "Samling" *\charformat </w:instrText>
    </w:r>
    <w:r w:rsidRPr="00914867">
      <w:fldChar w:fldCharType="end"/>
    </w:r>
    <w:r w:rsidRPr="00914867">
      <w:tab/>
      <w:t xml:space="preserve">pnr: </w:t>
    </w:r>
    <w:r w:rsidRPr="00914867">
      <w:fldChar w:fldCharType="begin" w:fldLock="1"/>
    </w:r>
    <w:r w:rsidRPr="00914867">
      <w:instrText xml:space="preserve"> DOCPROPERTY</w:instrText>
    </w:r>
    <w:r w:rsidRPr="00914867">
      <w:rPr>
        <w:sz w:val="18"/>
      </w:rPr>
      <w:instrText xml:space="preserve"> "Partinummer" *\charformat </w:instrText>
    </w:r>
    <w:r w:rsidRPr="00914867">
      <w:fldChar w:fldCharType="separate"/>
    </w:r>
    <w:r w:rsidRPr="00914867">
      <w:t>kd856</w:t>
    </w:r>
    <w:r w:rsidRPr="00914867">
      <w:fldChar w:fldCharType="end"/>
    </w:r>
  </w:p>
  <w:p w:rsidR="00914867" w:rsidRPr="00914867" w:rsidRDefault="00914867">
    <w:pPr>
      <w:pStyle w:val="FSHRub1"/>
    </w:pPr>
    <w:r w:rsidRPr="00914867">
      <w:t>Motion till riksdagen</w:t>
    </w:r>
    <w:r w:rsidRPr="00914867">
      <w:br/>
    </w:r>
    <w:r w:rsidRPr="00914867">
      <w:fldChar w:fldCharType="begin" w:fldLock="1"/>
    </w:r>
    <w:r w:rsidRPr="00914867">
      <w:instrText xml:space="preserve"> DOCPROPERTY "YearUser" *\charformat </w:instrText>
    </w:r>
    <w:r w:rsidRPr="00914867">
      <w:fldChar w:fldCharType="separate"/>
    </w:r>
    <w:r w:rsidRPr="00914867">
      <w:t>2009/10</w:t>
    </w:r>
    <w:r w:rsidRPr="00914867">
      <w:fldChar w:fldCharType="end"/>
    </w:r>
    <w:r w:rsidRPr="00914867">
      <w:t>:</w:t>
    </w:r>
    <w:r w:rsidRPr="00914867">
      <w:fldChar w:fldCharType="begin" w:fldLock="1"/>
    </w:r>
    <w:r w:rsidRPr="00914867">
      <w:instrText xml:space="preserve"> DOCPROPERTY "Motionsnummer" *\charformat </w:instrText>
    </w:r>
    <w:r w:rsidRPr="00914867">
      <w:fldChar w:fldCharType="separate"/>
    </w:r>
    <w:r w:rsidRPr="00914867">
      <w:t>C495</w:t>
    </w:r>
    <w:r w:rsidRPr="00914867">
      <w:fldChar w:fldCharType="end"/>
    </w:r>
  </w:p>
  <w:p w:rsidR="00914867" w:rsidRPr="00914867" w:rsidRDefault="00914867">
    <w:pPr>
      <w:pStyle w:val="FSHNormalS5"/>
    </w:pPr>
    <w:r w:rsidRPr="00914867">
      <w:fldChar w:fldCharType="begin" w:fldLock="1"/>
    </w:r>
    <w:r w:rsidRPr="00914867">
      <w:instrText xml:space="preserve"> DOCPROPERTY "MotionarText" *\charformat </w:instrText>
    </w:r>
    <w:r w:rsidRPr="00914867">
      <w:fldChar w:fldCharType="separate"/>
    </w:r>
    <w:r w:rsidRPr="00914867">
      <w:t>av Stefan Attefall m.fl. (kd)</w:t>
    </w:r>
    <w:r w:rsidRPr="00914867">
      <w:fldChar w:fldCharType="end"/>
    </w:r>
    <w:r w:rsidRPr="00914867">
      <w:br/>
    </w:r>
    <w:r w:rsidRPr="00914867">
      <w:fldChar w:fldCharType="begin" w:fldLock="1"/>
    </w:r>
    <w:r w:rsidRPr="00914867">
      <w:instrText xml:space="preserve"> DOCPROPERTY "SvarFrasKort" *\charformat </w:instrText>
    </w:r>
    <w:r w:rsidRPr="00914867">
      <w:fldChar w:fldCharType="end"/>
    </w:r>
  </w:p>
  <w:p w:rsidR="00914867" w:rsidRPr="00914867" w:rsidRDefault="00914867">
    <w:pPr>
      <w:pStyle w:val="FSHTitel"/>
    </w:pPr>
    <w:r w:rsidRPr="00914867">
      <w:fldChar w:fldCharType="begin" w:fldLock="1"/>
    </w:r>
    <w:r w:rsidRPr="00914867">
      <w:instrText xml:space="preserve"> DOCPROPERTY</w:instrText>
    </w:r>
    <w:r w:rsidRPr="00914867">
      <w:rPr>
        <w:sz w:val="18"/>
      </w:rPr>
      <w:instrText xml:space="preserve"> "RubrikSvar" *\charformat </w:instrText>
    </w:r>
    <w:r w:rsidRPr="00914867">
      <w:fldChar w:fldCharType="separate"/>
    </w:r>
    <w:r w:rsidRPr="00914867">
      <w:t>En civilrättslig samlevnadsbalk</w:t>
    </w:r>
    <w:r w:rsidRPr="00914867">
      <w:fldChar w:fldCharType="end"/>
    </w:r>
  </w:p>
  <w:p w:rsidR="00914867" w:rsidRPr="00914867" w:rsidRDefault="00914867">
    <w:pPr>
      <w:pStyle w:val="Normal00"/>
    </w:pPr>
  </w:p>
  <w:p w:rsidR="00914867" w:rsidRPr="00914867" w:rsidRDefault="00914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8362388">
    <w:abstractNumId w:val="8"/>
  </w:num>
  <w:num w:numId="2" w16cid:durableId="1879391211">
    <w:abstractNumId w:val="9"/>
  </w:num>
  <w:num w:numId="3" w16cid:durableId="1514804649">
    <w:abstractNumId w:val="8"/>
  </w:num>
  <w:num w:numId="4" w16cid:durableId="702754758">
    <w:abstractNumId w:val="9"/>
  </w:num>
  <w:num w:numId="5" w16cid:durableId="105003376">
    <w:abstractNumId w:val="13"/>
  </w:num>
  <w:num w:numId="6" w16cid:durableId="1314406707">
    <w:abstractNumId w:val="10"/>
  </w:num>
  <w:num w:numId="7" w16cid:durableId="1927230112">
    <w:abstractNumId w:val="11"/>
  </w:num>
  <w:num w:numId="8" w16cid:durableId="1936933212">
    <w:abstractNumId w:val="12"/>
  </w:num>
  <w:num w:numId="9" w16cid:durableId="825824944">
    <w:abstractNumId w:val="8"/>
  </w:num>
  <w:num w:numId="10" w16cid:durableId="158815141">
    <w:abstractNumId w:val="3"/>
  </w:num>
  <w:num w:numId="11" w16cid:durableId="414474481">
    <w:abstractNumId w:val="2"/>
  </w:num>
  <w:num w:numId="12" w16cid:durableId="1136678260">
    <w:abstractNumId w:val="1"/>
  </w:num>
  <w:num w:numId="13" w16cid:durableId="195044359">
    <w:abstractNumId w:val="0"/>
  </w:num>
  <w:num w:numId="14" w16cid:durableId="1545563381">
    <w:abstractNumId w:val="9"/>
  </w:num>
  <w:num w:numId="15" w16cid:durableId="938173628">
    <w:abstractNumId w:val="7"/>
  </w:num>
  <w:num w:numId="16" w16cid:durableId="1470707177">
    <w:abstractNumId w:val="6"/>
  </w:num>
  <w:num w:numId="17" w16cid:durableId="1745712809">
    <w:abstractNumId w:val="5"/>
  </w:num>
  <w:num w:numId="18" w16cid:durableId="2076707032">
    <w:abstractNumId w:val="4"/>
  </w:num>
  <w:num w:numId="19" w16cid:durableId="113912042">
    <w:abstractNumId w:val="11"/>
  </w:num>
  <w:num w:numId="20" w16cid:durableId="1645695823">
    <w:abstractNumId w:val="10"/>
  </w:num>
  <w:num w:numId="21" w16cid:durableId="903563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606508B3-E5F5-4BA9-8483-D01AFAD7B662},{D19EB20C-B6DE-438C-BAA6-E9D9FE5B3029},{D414EDBF-0EB6-44AF-A50A-4874C38FC7D3},{D46F3292-FCA5-4F7C-8FA2-C637F52C2641},{EDE16031-2D7B-4D4A-9915-D6F54A4E1AFB},{E846D039-4823-408E-BF10-E855DEE27216},{A066DAED-97D6-488F-BBF6-2A057F85E055}"/>
  </w:docVars>
  <w:rsids>
    <w:rsidRoot w:val="00FB2DFF"/>
    <w:rsid w:val="00914867"/>
    <w:rsid w:val="00FB2D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4BD0F115-C1CD-46DB-8396-F2F2C677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1917</Words>
  <Characters>11331</Characters>
  <Application>Microsoft Office Word</Application>
  <DocSecurity>4</DocSecurity>
  <Lines>209</Lines>
  <Paragraphs>64</Paragraphs>
  <ScaleCrop>false</ScaleCrop>
  <HeadingPairs>
    <vt:vector size="2" baseType="variant">
      <vt:variant>
        <vt:lpstr>Rubrik</vt:lpstr>
      </vt:variant>
      <vt:variant>
        <vt:i4>1</vt:i4>
      </vt:variant>
    </vt:vector>
  </HeadingPairs>
  <TitlesOfParts>
    <vt:vector size="1" baseType="lpstr">
      <vt:lpstr>kd856</vt:lpstr>
    </vt:vector>
  </TitlesOfParts>
  <Company>Riksdagen</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kd856</dc:title>
  <dc:subject>kd856</dc:subject>
  <dc:creator>Riksdagen</dc:creator>
  <cp:keywords>Riksdagen</cp:keywords>
  <dc:description>Nya formatmallshantering för förslag+urix bakåtkomp+könamn</dc:description>
  <cp:lastModifiedBy>Lars Brink</cp:lastModifiedBy>
  <cp:revision>2</cp:revision>
  <cp:lastPrinted>2010-01-24T08:52:00Z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civilrättslig samlevnadsbalk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civilrättslig samlevnadsbalk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kd856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Stefan Attefall m.fl. (kd)</vt:lpwstr>
  </property>
  <property fmtid="{D5CDD505-2E9C-101B-9397-08002B2CF9AE}" pid="26" name="MotionarLista">
    <vt:lpwstr>Attefall, Stefan (kd)\Davidson, Inger (kd)\Kihlström, Dan (kd)\Lindgren, Else-Marie (kd)\Oscarsson, Mikael (kd)\Pålsson Ahlgren, Chatrine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Inger Davidson (kd), Dan Kihlström (kd), Else-Marie Lindgren (kd), Mikael Oscarsson (kd), Chatrine Pålsson Ahlgren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20092010000001070100000008560080</vt:lpwstr>
  </property>
  <property fmtid="{D5CDD505-2E9C-101B-9397-08002B2CF9AE}" pid="47" name="datum">
    <vt:lpwstr>091006</vt:lpwstr>
  </property>
  <property fmtid="{D5CDD505-2E9C-101B-9397-08002B2CF9AE}" pid="48" name="avsändar-e-post">
    <vt:lpwstr>tove.fridman@riksdagen.se</vt:lpwstr>
  </property>
  <property fmtid="{D5CDD505-2E9C-101B-9397-08002B2CF9AE}" pid="49" name="id">
    <vt:lpwstr>20092010000001070100000008560080</vt:lpwstr>
  </property>
  <property fmtid="{D5CDD505-2E9C-101B-9397-08002B2CF9AE}" pid="50" name="nummer">
    <vt:lpwstr>495</vt:lpwstr>
  </property>
  <property fmtid="{D5CDD505-2E9C-101B-9397-08002B2CF9AE}" pid="51" name="utskottsbeteckning">
    <vt:lpwstr>C</vt:lpwstr>
  </property>
  <property fmtid="{D5CDD505-2E9C-101B-9397-08002B2CF9AE}" pid="52" name="GlobalUID">
    <vt:lpwstr>{FD8287F9-E6DB-4EC0-94AB-9B857A23D3B4}</vt:lpwstr>
  </property>
  <property fmtid="{D5CDD505-2E9C-101B-9397-08002B2CF9AE}" pid="53" name="Överföringar">
    <vt:i4>0</vt:i4>
  </property>
  <property fmtid="{D5CDD505-2E9C-101B-9397-08002B2CF9AE}" pid="54" name="Checksum">
    <vt:lpwstr>*0010906053949*</vt:lpwstr>
  </property>
  <property fmtid="{D5CDD505-2E9C-101B-9397-08002B2CF9AE}" pid="55" name="skuggnummer">
    <vt:lpwstr>3700</vt:lpwstr>
  </property>
  <property fmtid="{D5CDD505-2E9C-101B-9397-08002B2CF9AE}" pid="56" name="urixVersion">
    <vt:lpwstr>4.1.0.6</vt:lpwstr>
  </property>
  <property fmtid="{D5CDD505-2E9C-101B-9397-08002B2CF9AE}" pid="57" name="urixOrigin">
    <vt:lpwstr>100124 09:52:48.002</vt:lpwstr>
  </property>
  <property fmtid="{D5CDD505-2E9C-101B-9397-08002B2CF9AE}" pid="58" name="urixGuid">
    <vt:lpwstr>{4D39DF5F-FDAE-49AB-BAC0-69362EB538FC}</vt:lpwstr>
  </property>
</Properties>
</file>