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B44" w:rsidRPr="00E15158" w:rsidRDefault="00663B44">
      <w:pPr>
        <w:pStyle w:val="RubrikSammanf"/>
        <w:shd w:val="clear" w:color="000000" w:fill="auto"/>
      </w:pPr>
      <w:r w:rsidRPr="00E15158">
        <w:t>Sammanfattning</w:t>
      </w:r>
    </w:p>
    <w:p w:rsidR="00663B44" w:rsidRPr="00E15158" w:rsidRDefault="00663B44">
      <w:pPr>
        <w:shd w:val="clear" w:color="000000" w:fill="auto"/>
      </w:pPr>
      <w:r w:rsidRPr="00E15158">
        <w:t>Vänsterpartiet föreslår att Konjunkturinstitutet samt regeringens finanspoliti</w:t>
      </w:r>
      <w:r w:rsidRPr="00E15158">
        <w:t>s</w:t>
      </w:r>
      <w:r w:rsidRPr="00E15158">
        <w:t>ka råd avvecklas. Statistiska centralbyrån föreslås få ökade anslag på grund av avvisad besparing, överföring av uppgifter från Konjunkturinstitutet samt kompensation för den låga prisuppräkningen. Finansinspektionen föreslås få ökade anslag av sistnämnda skäl.</w:t>
      </w:r>
    </w:p>
    <w:p w:rsidR="00663B44" w:rsidRPr="00E15158" w:rsidRDefault="00663B44">
      <w:pPr>
        <w:pStyle w:val="Hemstlrubrik"/>
        <w:shd w:val="clear" w:color="000000" w:fill="auto"/>
      </w:pPr>
      <w:r w:rsidRPr="00E15158">
        <w:t>Förslag till riksdagsbeslut</w:t>
      </w:r>
    </w:p>
    <w:p w:rsidR="00663B44" w:rsidRPr="00E15158" w:rsidRDefault="00663B44">
      <w:pPr>
        <w:pStyle w:val="Hemstlatt"/>
        <w:numPr>
          <w:ilvl w:val="0"/>
          <w:numId w:val="1"/>
        </w:numPr>
        <w:shd w:val="clear" w:color="000000" w:fill="auto"/>
      </w:pPr>
      <w:r w:rsidRPr="00E15158">
        <w:t>Riksdagen beslutar att Konjunkturinstitutet a</w:t>
      </w:r>
      <w:r w:rsidRPr="00E15158">
        <w:t>v</w:t>
      </w:r>
      <w:r w:rsidRPr="00E15158">
        <w:t>vecklas per den 1 juli 2008.</w:t>
      </w:r>
    </w:p>
    <w:p w:rsidR="00663B44" w:rsidRPr="00E15158" w:rsidRDefault="00663B44">
      <w:pPr>
        <w:pStyle w:val="Hemstlatt"/>
        <w:numPr>
          <w:ilvl w:val="0"/>
          <w:numId w:val="1"/>
        </w:numPr>
        <w:shd w:val="clear" w:color="000000" w:fill="auto"/>
      </w:pPr>
      <w:r w:rsidRPr="00E15158">
        <w:t>Riksdagen anvisar med följande ändringar i förhållande till regeringens förslag anslagen under utgiftsområde 2 Samhällsekonomi och finansförvaltning enligt uppställning:</w:t>
      </w:r>
    </w:p>
    <w:tbl>
      <w:tblPr>
        <w:tblW w:w="6067" w:type="dxa"/>
        <w:tblInd w:w="55" w:type="dxa"/>
        <w:tblLayout w:type="fixed"/>
        <w:tblCellMar>
          <w:left w:w="70" w:type="dxa"/>
          <w:right w:w="70" w:type="dxa"/>
        </w:tblCellMar>
        <w:tblLook w:val="0000" w:firstRow="0" w:lastRow="0" w:firstColumn="0" w:lastColumn="0" w:noHBand="0" w:noVBand="0"/>
      </w:tblPr>
      <w:tblGrid>
        <w:gridCol w:w="712"/>
        <w:gridCol w:w="2140"/>
        <w:gridCol w:w="1776"/>
        <w:gridCol w:w="1439"/>
      </w:tblGrid>
      <w:tr w:rsidR="00000000" w:rsidRPr="00E15158">
        <w:trPr>
          <w:trHeight w:val="420"/>
        </w:trPr>
        <w:tc>
          <w:tcPr>
            <w:tcW w:w="712" w:type="dxa"/>
            <w:tcBorders>
              <w:top w:val="single" w:sz="4" w:space="0" w:color="auto"/>
              <w:left w:val="nil"/>
              <w:bottom w:val="single" w:sz="8" w:space="0" w:color="000000"/>
              <w:right w:val="nil"/>
            </w:tcBorders>
          </w:tcPr>
          <w:p w:rsidR="00663B44" w:rsidRPr="00E15158" w:rsidRDefault="00663B44">
            <w:pPr>
              <w:pStyle w:val="Normaltindrag"/>
              <w:shd w:val="clear" w:color="000000" w:fill="auto"/>
              <w:spacing w:before="60" w:line="200" w:lineRule="exact"/>
              <w:ind w:firstLine="0"/>
              <w:jc w:val="left"/>
              <w:rPr>
                <w:b/>
                <w:sz w:val="16"/>
              </w:rPr>
            </w:pPr>
            <w:r w:rsidRPr="00E15158">
              <w:rPr>
                <w:b/>
                <w:sz w:val="16"/>
              </w:rPr>
              <w:t>Anslag</w:t>
            </w:r>
          </w:p>
        </w:tc>
        <w:tc>
          <w:tcPr>
            <w:tcW w:w="2140" w:type="dxa"/>
            <w:tcBorders>
              <w:top w:val="single" w:sz="4" w:space="0" w:color="auto"/>
              <w:left w:val="nil"/>
              <w:bottom w:val="single" w:sz="8" w:space="0" w:color="000000"/>
              <w:right w:val="nil"/>
            </w:tcBorders>
            <w:vAlign w:val="bottom"/>
          </w:tcPr>
          <w:p w:rsidR="00663B44" w:rsidRPr="00E15158" w:rsidRDefault="00663B44">
            <w:pPr>
              <w:shd w:val="clear" w:color="000000" w:fill="auto"/>
              <w:spacing w:before="60" w:line="200" w:lineRule="exact"/>
              <w:rPr>
                <w:b/>
                <w:bCs/>
                <w:color w:val="000000"/>
                <w:sz w:val="16"/>
              </w:rPr>
            </w:pPr>
          </w:p>
        </w:tc>
        <w:tc>
          <w:tcPr>
            <w:tcW w:w="1776" w:type="dxa"/>
            <w:tcBorders>
              <w:top w:val="single" w:sz="4" w:space="0" w:color="auto"/>
              <w:left w:val="nil"/>
              <w:bottom w:val="single" w:sz="8" w:space="0" w:color="000000"/>
              <w:right w:val="nil"/>
            </w:tcBorders>
            <w:vAlign w:val="bottom"/>
          </w:tcPr>
          <w:p w:rsidR="00663B44" w:rsidRPr="00E15158" w:rsidRDefault="00663B44">
            <w:pPr>
              <w:shd w:val="clear" w:color="000000" w:fill="auto"/>
              <w:spacing w:before="60" w:line="200" w:lineRule="exact"/>
              <w:jc w:val="center"/>
              <w:rPr>
                <w:b/>
                <w:bCs/>
                <w:color w:val="000000"/>
                <w:sz w:val="16"/>
              </w:rPr>
            </w:pPr>
            <w:r w:rsidRPr="00E15158">
              <w:rPr>
                <w:b/>
                <w:bCs/>
                <w:color w:val="000000"/>
                <w:sz w:val="16"/>
              </w:rPr>
              <w:t xml:space="preserve">Regeringens </w:t>
            </w:r>
            <w:r w:rsidRPr="00E15158">
              <w:rPr>
                <w:b/>
                <w:bCs/>
                <w:color w:val="000000"/>
                <w:sz w:val="16"/>
              </w:rPr>
              <w:br/>
              <w:t>förslag (tkr)</w:t>
            </w:r>
          </w:p>
        </w:tc>
        <w:tc>
          <w:tcPr>
            <w:tcW w:w="1439" w:type="dxa"/>
            <w:tcBorders>
              <w:top w:val="single" w:sz="4" w:space="0" w:color="auto"/>
              <w:left w:val="nil"/>
              <w:bottom w:val="single" w:sz="8" w:space="0" w:color="000000"/>
              <w:right w:val="nil"/>
            </w:tcBorders>
            <w:vAlign w:val="bottom"/>
          </w:tcPr>
          <w:p w:rsidR="00663B44" w:rsidRPr="00E15158" w:rsidRDefault="00663B44">
            <w:pPr>
              <w:shd w:val="clear" w:color="000000" w:fill="auto"/>
              <w:spacing w:before="60" w:line="200" w:lineRule="exact"/>
              <w:rPr>
                <w:b/>
                <w:bCs/>
                <w:color w:val="000000"/>
                <w:sz w:val="16"/>
              </w:rPr>
            </w:pPr>
            <w:r w:rsidRPr="00E15158">
              <w:rPr>
                <w:b/>
                <w:bCs/>
                <w:color w:val="000000"/>
                <w:sz w:val="16"/>
              </w:rPr>
              <w:t>Anslags-förändring (tkr)</w:t>
            </w:r>
          </w:p>
        </w:tc>
      </w:tr>
      <w:tr w:rsidR="00000000" w:rsidRPr="00E15158">
        <w:trPr>
          <w:trHeight w:val="319"/>
        </w:trPr>
        <w:tc>
          <w:tcPr>
            <w:tcW w:w="712" w:type="dxa"/>
            <w:tcBorders>
              <w:top w:val="nil"/>
              <w:left w:val="nil"/>
              <w:bottom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1:1</w:t>
            </w:r>
          </w:p>
        </w:tc>
        <w:tc>
          <w:tcPr>
            <w:tcW w:w="2140" w:type="dxa"/>
            <w:tcBorders>
              <w:top w:val="nil"/>
              <w:left w:val="nil"/>
              <w:bottom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Konjunkturinstitutet</w:t>
            </w:r>
          </w:p>
        </w:tc>
        <w:tc>
          <w:tcPr>
            <w:tcW w:w="1776" w:type="dxa"/>
            <w:tcBorders>
              <w:top w:val="nil"/>
              <w:left w:val="nil"/>
              <w:bottom w:val="nil"/>
              <w:right w:val="nil"/>
            </w:tcBorders>
            <w:vAlign w:val="bottom"/>
          </w:tcPr>
          <w:p w:rsidR="00663B44" w:rsidRPr="00E15158" w:rsidRDefault="00663B44">
            <w:pPr>
              <w:shd w:val="clear" w:color="000000" w:fill="auto"/>
              <w:spacing w:before="60" w:line="200" w:lineRule="exact"/>
              <w:ind w:right="583"/>
              <w:jc w:val="right"/>
              <w:rPr>
                <w:color w:val="000000"/>
                <w:sz w:val="16"/>
              </w:rPr>
            </w:pPr>
            <w:r w:rsidRPr="00E15158">
              <w:rPr>
                <w:color w:val="000000"/>
                <w:sz w:val="16"/>
              </w:rPr>
              <w:t>49 955</w:t>
            </w:r>
          </w:p>
        </w:tc>
        <w:tc>
          <w:tcPr>
            <w:tcW w:w="1439" w:type="dxa"/>
            <w:tcBorders>
              <w:top w:val="nil"/>
              <w:left w:val="nil"/>
              <w:bottom w:val="nil"/>
              <w:right w:val="nil"/>
            </w:tcBorders>
            <w:vAlign w:val="bottom"/>
          </w:tcPr>
          <w:p w:rsidR="00663B44" w:rsidRPr="00E15158" w:rsidRDefault="00663B44">
            <w:pPr>
              <w:pStyle w:val="PunktlistaTankstreck"/>
              <w:numPr>
                <w:ilvl w:val="0"/>
                <w:numId w:val="0"/>
              </w:numPr>
              <w:shd w:val="clear" w:color="000000" w:fill="auto"/>
              <w:spacing w:before="60" w:line="200" w:lineRule="exact"/>
              <w:ind w:right="583"/>
              <w:jc w:val="right"/>
              <w:rPr>
                <w:sz w:val="16"/>
              </w:rPr>
            </w:pPr>
            <w:r w:rsidRPr="00E15158">
              <w:rPr>
                <w:sz w:val="16"/>
              </w:rPr>
              <w:t>–20 000</w:t>
            </w:r>
          </w:p>
        </w:tc>
      </w:tr>
      <w:tr w:rsidR="00000000" w:rsidRPr="00E15158">
        <w:trPr>
          <w:trHeight w:val="319"/>
        </w:trPr>
        <w:tc>
          <w:tcPr>
            <w:tcW w:w="712" w:type="dxa"/>
            <w:tcBorders>
              <w:top w:val="nil"/>
              <w:left w:val="nil"/>
              <w:bottom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 xml:space="preserve">1:5 </w:t>
            </w:r>
          </w:p>
        </w:tc>
        <w:tc>
          <w:tcPr>
            <w:tcW w:w="2140" w:type="dxa"/>
            <w:tcBorders>
              <w:top w:val="nil"/>
              <w:left w:val="nil"/>
              <w:bottom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Statistiska centralbyrån</w:t>
            </w:r>
          </w:p>
        </w:tc>
        <w:tc>
          <w:tcPr>
            <w:tcW w:w="1776" w:type="dxa"/>
            <w:tcBorders>
              <w:top w:val="nil"/>
              <w:left w:val="nil"/>
              <w:bottom w:val="nil"/>
              <w:right w:val="nil"/>
            </w:tcBorders>
            <w:vAlign w:val="bottom"/>
          </w:tcPr>
          <w:p w:rsidR="00663B44" w:rsidRPr="00E15158" w:rsidRDefault="00663B44">
            <w:pPr>
              <w:shd w:val="clear" w:color="000000" w:fill="auto"/>
              <w:spacing w:before="60" w:line="200" w:lineRule="exact"/>
              <w:ind w:right="583"/>
              <w:jc w:val="right"/>
              <w:rPr>
                <w:color w:val="000000"/>
                <w:sz w:val="16"/>
              </w:rPr>
            </w:pPr>
            <w:r w:rsidRPr="00E15158">
              <w:rPr>
                <w:color w:val="000000"/>
                <w:sz w:val="16"/>
              </w:rPr>
              <w:t>476 901</w:t>
            </w:r>
          </w:p>
        </w:tc>
        <w:tc>
          <w:tcPr>
            <w:tcW w:w="1439" w:type="dxa"/>
            <w:tcBorders>
              <w:top w:val="nil"/>
              <w:left w:val="nil"/>
              <w:bottom w:val="nil"/>
              <w:right w:val="nil"/>
            </w:tcBorders>
            <w:vAlign w:val="bottom"/>
          </w:tcPr>
          <w:p w:rsidR="00663B44" w:rsidRPr="00E15158" w:rsidRDefault="00663B44">
            <w:pPr>
              <w:shd w:val="clear" w:color="000000" w:fill="auto"/>
              <w:spacing w:before="60" w:line="200" w:lineRule="exact"/>
              <w:ind w:right="583"/>
              <w:jc w:val="right"/>
              <w:rPr>
                <w:color w:val="000000"/>
                <w:sz w:val="16"/>
              </w:rPr>
            </w:pPr>
            <w:r w:rsidRPr="00E15158">
              <w:rPr>
                <w:color w:val="000000"/>
                <w:sz w:val="16"/>
              </w:rPr>
              <w:t>22 000</w:t>
            </w:r>
          </w:p>
        </w:tc>
      </w:tr>
      <w:tr w:rsidR="00000000" w:rsidRPr="00E15158">
        <w:trPr>
          <w:trHeight w:val="319"/>
        </w:trPr>
        <w:tc>
          <w:tcPr>
            <w:tcW w:w="712" w:type="dxa"/>
            <w:tcBorders>
              <w:top w:val="nil"/>
              <w:left w:val="nil"/>
              <w:bottom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1:7</w:t>
            </w:r>
          </w:p>
        </w:tc>
        <w:tc>
          <w:tcPr>
            <w:tcW w:w="2140" w:type="dxa"/>
            <w:tcBorders>
              <w:top w:val="nil"/>
              <w:left w:val="nil"/>
              <w:bottom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Finanspolitiska rådet</w:t>
            </w:r>
          </w:p>
        </w:tc>
        <w:tc>
          <w:tcPr>
            <w:tcW w:w="1776" w:type="dxa"/>
            <w:tcBorders>
              <w:top w:val="nil"/>
              <w:left w:val="nil"/>
              <w:bottom w:val="nil"/>
              <w:right w:val="nil"/>
            </w:tcBorders>
            <w:vAlign w:val="bottom"/>
          </w:tcPr>
          <w:p w:rsidR="00663B44" w:rsidRPr="00E15158" w:rsidRDefault="00663B44">
            <w:pPr>
              <w:shd w:val="clear" w:color="000000" w:fill="auto"/>
              <w:spacing w:before="60" w:line="200" w:lineRule="exact"/>
              <w:ind w:right="583"/>
              <w:jc w:val="right"/>
              <w:rPr>
                <w:color w:val="000000"/>
                <w:sz w:val="16"/>
              </w:rPr>
            </w:pPr>
            <w:r w:rsidRPr="00E15158">
              <w:rPr>
                <w:color w:val="000000"/>
                <w:sz w:val="16"/>
              </w:rPr>
              <w:t>5 975</w:t>
            </w:r>
          </w:p>
        </w:tc>
        <w:tc>
          <w:tcPr>
            <w:tcW w:w="1439" w:type="dxa"/>
            <w:tcBorders>
              <w:top w:val="nil"/>
              <w:left w:val="nil"/>
              <w:bottom w:val="nil"/>
              <w:right w:val="nil"/>
            </w:tcBorders>
            <w:vAlign w:val="bottom"/>
          </w:tcPr>
          <w:p w:rsidR="00663B44" w:rsidRPr="00E15158" w:rsidRDefault="00663B44">
            <w:pPr>
              <w:pStyle w:val="PunktlistaTankstreck"/>
              <w:numPr>
                <w:ilvl w:val="0"/>
                <w:numId w:val="0"/>
              </w:numPr>
              <w:shd w:val="clear" w:color="000000" w:fill="auto"/>
              <w:spacing w:before="60" w:line="200" w:lineRule="exact"/>
              <w:ind w:right="583"/>
              <w:jc w:val="right"/>
              <w:rPr>
                <w:sz w:val="16"/>
              </w:rPr>
            </w:pPr>
            <w:r w:rsidRPr="00E15158">
              <w:rPr>
                <w:sz w:val="16"/>
              </w:rPr>
              <w:t>–5</w:t>
            </w:r>
            <w:r w:rsidRPr="00E15158">
              <w:rPr>
                <w:sz w:val="16"/>
                <w:szCs w:val="24"/>
              </w:rPr>
              <w:t> </w:t>
            </w:r>
            <w:r w:rsidRPr="00E15158">
              <w:rPr>
                <w:sz w:val="16"/>
              </w:rPr>
              <w:t>975</w:t>
            </w:r>
          </w:p>
        </w:tc>
      </w:tr>
      <w:tr w:rsidR="00000000" w:rsidRPr="00E15158">
        <w:trPr>
          <w:trHeight w:val="319"/>
        </w:trPr>
        <w:tc>
          <w:tcPr>
            <w:tcW w:w="712" w:type="dxa"/>
            <w:tcBorders>
              <w:top w:val="nil"/>
              <w:left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2:1</w:t>
            </w:r>
          </w:p>
        </w:tc>
        <w:tc>
          <w:tcPr>
            <w:tcW w:w="2140" w:type="dxa"/>
            <w:tcBorders>
              <w:top w:val="nil"/>
              <w:left w:val="nil"/>
              <w:right w:val="nil"/>
            </w:tcBorders>
            <w:vAlign w:val="bottom"/>
          </w:tcPr>
          <w:p w:rsidR="00663B44" w:rsidRPr="00E15158" w:rsidRDefault="00663B44">
            <w:pPr>
              <w:shd w:val="clear" w:color="000000" w:fill="auto"/>
              <w:spacing w:before="60" w:line="200" w:lineRule="exact"/>
              <w:rPr>
                <w:color w:val="000000"/>
                <w:sz w:val="16"/>
              </w:rPr>
            </w:pPr>
            <w:r w:rsidRPr="00E15158">
              <w:rPr>
                <w:color w:val="000000"/>
                <w:sz w:val="16"/>
              </w:rPr>
              <w:t>Finansinspektionen</w:t>
            </w:r>
          </w:p>
        </w:tc>
        <w:tc>
          <w:tcPr>
            <w:tcW w:w="1776" w:type="dxa"/>
            <w:tcBorders>
              <w:top w:val="nil"/>
              <w:left w:val="nil"/>
              <w:right w:val="nil"/>
            </w:tcBorders>
            <w:vAlign w:val="bottom"/>
          </w:tcPr>
          <w:p w:rsidR="00663B44" w:rsidRPr="00E15158" w:rsidRDefault="00663B44">
            <w:pPr>
              <w:shd w:val="clear" w:color="000000" w:fill="auto"/>
              <w:spacing w:before="60" w:line="200" w:lineRule="exact"/>
              <w:ind w:right="583"/>
              <w:jc w:val="right"/>
              <w:rPr>
                <w:color w:val="000000"/>
                <w:sz w:val="16"/>
              </w:rPr>
            </w:pPr>
            <w:r w:rsidRPr="00E15158">
              <w:rPr>
                <w:color w:val="000000"/>
                <w:sz w:val="16"/>
              </w:rPr>
              <w:t>208 632</w:t>
            </w:r>
          </w:p>
        </w:tc>
        <w:tc>
          <w:tcPr>
            <w:tcW w:w="1439" w:type="dxa"/>
            <w:tcBorders>
              <w:top w:val="nil"/>
              <w:left w:val="nil"/>
              <w:right w:val="nil"/>
            </w:tcBorders>
            <w:vAlign w:val="bottom"/>
          </w:tcPr>
          <w:p w:rsidR="00663B44" w:rsidRPr="00E15158" w:rsidRDefault="00663B44">
            <w:pPr>
              <w:shd w:val="clear" w:color="000000" w:fill="auto"/>
              <w:spacing w:before="60" w:line="200" w:lineRule="exact"/>
              <w:ind w:right="583"/>
              <w:jc w:val="right"/>
              <w:rPr>
                <w:color w:val="000000"/>
                <w:sz w:val="16"/>
              </w:rPr>
            </w:pPr>
            <w:r w:rsidRPr="00E15158">
              <w:rPr>
                <w:color w:val="000000"/>
                <w:sz w:val="16"/>
              </w:rPr>
              <w:t>3 000</w:t>
            </w:r>
          </w:p>
        </w:tc>
      </w:tr>
      <w:tr w:rsidR="00000000" w:rsidRPr="00E15158">
        <w:trPr>
          <w:trHeight w:val="319"/>
        </w:trPr>
        <w:tc>
          <w:tcPr>
            <w:tcW w:w="712" w:type="dxa"/>
            <w:tcBorders>
              <w:top w:val="nil"/>
              <w:left w:val="nil"/>
              <w:bottom w:val="single" w:sz="4" w:space="0" w:color="auto"/>
              <w:right w:val="nil"/>
            </w:tcBorders>
            <w:vAlign w:val="bottom"/>
          </w:tcPr>
          <w:p w:rsidR="00663B44" w:rsidRPr="00E15158" w:rsidRDefault="00663B44">
            <w:pPr>
              <w:shd w:val="clear" w:color="000000" w:fill="auto"/>
              <w:spacing w:before="60" w:line="200" w:lineRule="exact"/>
              <w:rPr>
                <w:b/>
                <w:bCs/>
                <w:color w:val="000000"/>
                <w:sz w:val="16"/>
              </w:rPr>
            </w:pPr>
          </w:p>
        </w:tc>
        <w:tc>
          <w:tcPr>
            <w:tcW w:w="2140" w:type="dxa"/>
            <w:tcBorders>
              <w:top w:val="nil"/>
              <w:left w:val="nil"/>
              <w:bottom w:val="single" w:sz="4" w:space="0" w:color="auto"/>
              <w:right w:val="nil"/>
            </w:tcBorders>
            <w:vAlign w:val="bottom"/>
          </w:tcPr>
          <w:p w:rsidR="00663B44" w:rsidRPr="00E15158" w:rsidRDefault="00663B44">
            <w:pPr>
              <w:shd w:val="clear" w:color="000000" w:fill="auto"/>
              <w:spacing w:before="60" w:line="200" w:lineRule="exact"/>
              <w:rPr>
                <w:b/>
                <w:bCs/>
                <w:color w:val="000000"/>
                <w:sz w:val="16"/>
              </w:rPr>
            </w:pPr>
            <w:r w:rsidRPr="00E15158">
              <w:rPr>
                <w:b/>
                <w:bCs/>
                <w:color w:val="000000"/>
                <w:sz w:val="16"/>
              </w:rPr>
              <w:t>Summa:</w:t>
            </w:r>
          </w:p>
        </w:tc>
        <w:tc>
          <w:tcPr>
            <w:tcW w:w="1776" w:type="dxa"/>
            <w:tcBorders>
              <w:top w:val="nil"/>
              <w:left w:val="nil"/>
              <w:bottom w:val="single" w:sz="4" w:space="0" w:color="auto"/>
              <w:right w:val="nil"/>
            </w:tcBorders>
            <w:vAlign w:val="bottom"/>
          </w:tcPr>
          <w:p w:rsidR="00663B44" w:rsidRPr="00E15158" w:rsidRDefault="00663B44">
            <w:pPr>
              <w:shd w:val="clear" w:color="000000" w:fill="auto"/>
              <w:spacing w:before="60" w:line="200" w:lineRule="exact"/>
              <w:ind w:right="583"/>
              <w:jc w:val="right"/>
              <w:rPr>
                <w:b/>
                <w:bCs/>
                <w:color w:val="000000"/>
                <w:sz w:val="16"/>
              </w:rPr>
            </w:pPr>
          </w:p>
        </w:tc>
        <w:tc>
          <w:tcPr>
            <w:tcW w:w="1439" w:type="dxa"/>
            <w:tcBorders>
              <w:top w:val="nil"/>
              <w:left w:val="nil"/>
              <w:bottom w:val="single" w:sz="4" w:space="0" w:color="auto"/>
              <w:right w:val="nil"/>
            </w:tcBorders>
            <w:vAlign w:val="bottom"/>
          </w:tcPr>
          <w:p w:rsidR="00663B44" w:rsidRPr="00E15158" w:rsidRDefault="00663B44">
            <w:pPr>
              <w:pStyle w:val="PunktlistaTankstreck"/>
              <w:numPr>
                <w:ilvl w:val="0"/>
                <w:numId w:val="0"/>
              </w:numPr>
              <w:shd w:val="clear" w:color="000000" w:fill="auto"/>
              <w:spacing w:before="60" w:line="200" w:lineRule="exact"/>
              <w:ind w:right="583"/>
              <w:jc w:val="right"/>
              <w:rPr>
                <w:b/>
                <w:sz w:val="16"/>
              </w:rPr>
            </w:pPr>
            <w:r w:rsidRPr="00E15158">
              <w:rPr>
                <w:b/>
                <w:sz w:val="16"/>
              </w:rPr>
              <w:t>–975</w:t>
            </w:r>
          </w:p>
        </w:tc>
      </w:tr>
    </w:tbl>
    <w:p w:rsidR="00663B44" w:rsidRPr="00E15158" w:rsidRDefault="00663B44">
      <w:pPr>
        <w:shd w:val="clear" w:color="000000" w:fill="auto"/>
      </w:pPr>
    </w:p>
    <w:p w:rsidR="00663B44" w:rsidRPr="00E15158" w:rsidRDefault="00663B44">
      <w:pPr>
        <w:pStyle w:val="Rubrik1"/>
        <w:shd w:val="clear" w:color="000000" w:fill="auto"/>
      </w:pPr>
      <w:r w:rsidRPr="00E15158">
        <w:lastRenderedPageBreak/>
        <w:t>Konjunkturinstitutet</w:t>
      </w:r>
    </w:p>
    <w:p w:rsidR="00663B44" w:rsidRPr="00E15158" w:rsidRDefault="00663B44">
      <w:pPr>
        <w:shd w:val="clear" w:color="000000" w:fill="auto"/>
      </w:pPr>
      <w:r w:rsidRPr="00E15158">
        <w:t>Regeringen har genomdrivit nedläggningar av ett antal myndigheter och kra</w:t>
      </w:r>
      <w:r w:rsidRPr="00E15158">
        <w:t>f</w:t>
      </w:r>
      <w:r w:rsidRPr="00E15158">
        <w:t>tigt minskade anslag till andra. Detta motiveras på olika sätt, främst utifrån en ekonomisk effektivitetssynpunkt. Regeringens val av myndigheter uppvisar dock en tydlig ideologisk agenda. Det är till exempel myndigheter som arb</w:t>
      </w:r>
      <w:r w:rsidRPr="00E15158">
        <w:t>e</w:t>
      </w:r>
      <w:r w:rsidRPr="00E15158">
        <w:t>tar med kunskapsutveckling kring och politikuppföljning av för arbetstagare viktiga frågeställningar (Arbetslivsinstitutet) eller som kan ha ett arbetstaga</w:t>
      </w:r>
      <w:r w:rsidRPr="00E15158">
        <w:t>r</w:t>
      </w:r>
      <w:r w:rsidRPr="00E15158">
        <w:t>perspektiv på frågor om arbetsmiljö, säkerhet och välbefinnande på arbet</w:t>
      </w:r>
      <w:r w:rsidRPr="00E15158">
        <w:t>s</w:t>
      </w:r>
      <w:r w:rsidRPr="00E15158">
        <w:t xml:space="preserve">platsen (Arbetsmiljöverket) som drabbats. Regeringen </w:t>
      </w:r>
      <w:r w:rsidRPr="00E15158">
        <w:t>har dock inte visat några planer på en översyn av de myndigheter som bedriver sin verksamhet utifrån helt andra utgångspunkter. Särskilt anmärkningsvärda är de dubbla standarder som uppenbarligen gäller regeringens syn på myndigheters opin</w:t>
      </w:r>
      <w:r w:rsidRPr="00E15158">
        <w:t>i</w:t>
      </w:r>
      <w:r w:rsidRPr="00E15158">
        <w:t>onsbildande arbete. Den 21 december 2006 meddelade kommun- och finan</w:t>
      </w:r>
      <w:r w:rsidRPr="00E15158">
        <w:t>s</w:t>
      </w:r>
      <w:r w:rsidRPr="00E15158">
        <w:t xml:space="preserve">marknadsminister Mats Odell i samband med tillsättandet av en ny utredning, att myndigheter ”i för stor utsträckning tillåtits bedriva opinionsbildning” och att det skulle behövas ”tydligare gränser för </w:t>
      </w:r>
      <w:r w:rsidRPr="00E15158">
        <w:t>vad som bör vara myndighet</w:t>
      </w:r>
      <w:r w:rsidRPr="00E15158">
        <w:t>s</w:t>
      </w:r>
      <w:r w:rsidRPr="00E15158">
        <w:t>uppgifter och vad som bör vara förbehållet den politiska och allmänna opin</w:t>
      </w:r>
      <w:r w:rsidRPr="00E15158">
        <w:t>i</w:t>
      </w:r>
      <w:r w:rsidRPr="00E15158">
        <w:t>onsbildningen eller marknadsekonomin”. Samtidigt har regeringen gett u</w:t>
      </w:r>
      <w:r w:rsidRPr="00E15158">
        <w:t>t</w:t>
      </w:r>
      <w:r w:rsidRPr="00E15158">
        <w:t>tryckliga opinionsbildande uppdrag till myndigheter, och uppmuntrar för</w:t>
      </w:r>
      <w:r w:rsidRPr="00E15158">
        <w:t>e</w:t>
      </w:r>
      <w:r w:rsidRPr="00E15158">
        <w:t>kommande sådan verksamhet, där budskapet emottages med glädje. Exe</w:t>
      </w:r>
      <w:r w:rsidRPr="00E15158">
        <w:t>m</w:t>
      </w:r>
      <w:r w:rsidRPr="00E15158">
        <w:t>pelvis gäller detta Konjunkturinstitutet, för vilket det enligt finansminister Anders Borg är ”positivt att de har synpunkter på ekonomisk och finansiell politik” (SvD 070907).</w:t>
      </w:r>
    </w:p>
    <w:p w:rsidR="00663B44" w:rsidRPr="00E15158" w:rsidRDefault="00663B44">
      <w:pPr>
        <w:pStyle w:val="Normaltindrag"/>
        <w:shd w:val="clear" w:color="000000" w:fill="auto"/>
      </w:pPr>
      <w:r w:rsidRPr="00E15158">
        <w:t>Den roll som Konjunktur</w:t>
      </w:r>
      <w:r w:rsidRPr="00E15158">
        <w:t>institutet på senare tid har tagit sig, som opin</w:t>
      </w:r>
      <w:r w:rsidRPr="00E15158">
        <w:t>i</w:t>
      </w:r>
      <w:r w:rsidRPr="00E15158">
        <w:t>onsbildande kommentator av politiska förslag och beslut, genomförs utifrån ett strikt marknadsliberalt nationalekonomiskt perspektiv. Ett särskilt a</w:t>
      </w:r>
      <w:r w:rsidRPr="00E15158">
        <w:t>n</w:t>
      </w:r>
      <w:r w:rsidRPr="00E15158">
        <w:t>märkningsvärt område är myndighetens upptagenhet med begrepp som jä</w:t>
      </w:r>
      <w:r w:rsidRPr="00E15158">
        <w:t>m</w:t>
      </w:r>
      <w:r w:rsidRPr="00E15158">
        <w:t>viktsarbetslöshet, vilket står i bjärt kontrast till synen på arbetslöshetsb</w:t>
      </w:r>
      <w:r w:rsidRPr="00E15158">
        <w:t>e</w:t>
      </w:r>
      <w:r w:rsidRPr="00E15158">
        <w:t>kämpning som den ekonomiska politikens viktigaste mål. De prognoser som myndigheten gör om den framtida ekonomiska utvecklingen vilar tungt på modeller som är, och syfta</w:t>
      </w:r>
      <w:r w:rsidRPr="00E15158">
        <w:t>r till att vara, kraftigt politiskt laddade, utan att detta problematiseras.</w:t>
      </w:r>
    </w:p>
    <w:p w:rsidR="00663B44" w:rsidRPr="00E15158" w:rsidRDefault="00663B44">
      <w:pPr>
        <w:pStyle w:val="Normaltindrag"/>
        <w:shd w:val="clear" w:color="000000" w:fill="auto"/>
      </w:pPr>
      <w:r w:rsidRPr="00E15158">
        <w:t xml:space="preserve">Regeringen kopplar för övrigt nu själv ihop jämviktsarbetslöshet med full sysselsättning på ett sätt som följer dessa modeller – full sysselsättning </w:t>
      </w:r>
      <w:r w:rsidRPr="00E15158">
        <w:rPr>
          <w:i/>
        </w:rPr>
        <w:t>def</w:t>
      </w:r>
      <w:r w:rsidRPr="00E15158">
        <w:rPr>
          <w:i/>
        </w:rPr>
        <w:t>i</w:t>
      </w:r>
      <w:r w:rsidRPr="00E15158">
        <w:rPr>
          <w:i/>
        </w:rPr>
        <w:t>nieras</w:t>
      </w:r>
      <w:r w:rsidRPr="00E15158">
        <w:t xml:space="preserve"> i praktiken som den arbetslöshet som teoretiskt inte höjer inflationen. (Finansplanen, sid. 47–48). Konjunkturinstitutet framstår mot bakgrund av detta som ännu en vakthund för en nyliberalt inspirerad ekonomisk politik.</w:t>
      </w:r>
    </w:p>
    <w:p w:rsidR="00663B44" w:rsidRPr="00E15158" w:rsidRDefault="00663B44">
      <w:pPr>
        <w:pStyle w:val="Normaltindrag"/>
        <w:shd w:val="clear" w:color="000000" w:fill="auto"/>
      </w:pPr>
      <w:r w:rsidRPr="00E15158">
        <w:t>En viktig del av myndighetens arbete handlar om att följa upp läget i svensk ekonomi genom väletablerade enkätundersökningar till företag och hushåll. Detta och andra statistiska kärnuppgifter är viktiga och värdefulla. De bör fortsätta, och utvecklas, men kan med fördel överföra</w:t>
      </w:r>
      <w:r w:rsidRPr="00E15158">
        <w:t>s till Statistiska centralbyrån.</w:t>
      </w:r>
    </w:p>
    <w:p w:rsidR="00663B44" w:rsidRPr="00E15158" w:rsidRDefault="00663B44">
      <w:pPr>
        <w:pStyle w:val="Normaltindrag"/>
        <w:shd w:val="clear" w:color="000000" w:fill="auto"/>
      </w:pPr>
      <w:r w:rsidRPr="00E15158">
        <w:t>Vi menar därför att Konjunkturinstitutet bör avvecklas per den 1 juli 2008. Relevanta statistikinsamlingsuppgifter flyttas till Statistiska centralbyrån. Under 2008 uppkommer avvecklingskostnader, varför anslaget för 2008 e</w:t>
      </w:r>
      <w:r w:rsidRPr="00E15158">
        <w:t>n</w:t>
      </w:r>
      <w:r w:rsidRPr="00E15158">
        <w:t>dast dras ned med 20 miljoner kronor jämfört med regeringens förslag.</w:t>
      </w:r>
    </w:p>
    <w:p w:rsidR="00663B44" w:rsidRPr="00E15158" w:rsidRDefault="00663B44">
      <w:pPr>
        <w:pStyle w:val="Rubrik1"/>
        <w:shd w:val="clear" w:color="000000" w:fill="auto"/>
      </w:pPr>
      <w:r w:rsidRPr="00E15158">
        <w:t>Statistiska centralbyrån, SCB</w:t>
      </w:r>
    </w:p>
    <w:p w:rsidR="00663B44" w:rsidRPr="00E15158" w:rsidRDefault="00663B44">
      <w:pPr>
        <w:shd w:val="clear" w:color="000000" w:fill="auto"/>
      </w:pPr>
      <w:r w:rsidRPr="00E15158">
        <w:t>Bred, högkvalitativ, samlad och lättillgänglig statistik är av stor betydelse för samhällsförvaltningen och för en utvecklande, demokratisk samhällsdebatt. SCB:s verksamhet bör värnas. Vänsterpartiet avvisar de besparingar på SCB som regeringen vill göra för att finansiera det finanspolitiska rådet och för makroekonomiskt prognosarbete i Konjunkturinstitutet. Till följd av den ovan föreslagna avvecklingen av Konjunkturinstitutet flyttas vissa nya statisti</w:t>
      </w:r>
      <w:r w:rsidRPr="00E15158">
        <w:t>k</w:t>
      </w:r>
      <w:r w:rsidRPr="00E15158">
        <w:t>uppgifter till SCB. Anslaget för SCB bör med anledning av detta öka med 10 miljoner kronor 2008 och därefter med 20 miljoner kronor årligen. Den låga löneomräkningen riskerar att slå mot SCB:s statistikinsamling. Myndi</w:t>
      </w:r>
      <w:r w:rsidRPr="00E15158">
        <w:t>g</w:t>
      </w:r>
      <w:r w:rsidRPr="00E15158">
        <w:t>heten bör kompenseras med 10 miljoner kronor för att fortsatt kunna geno</w:t>
      </w:r>
      <w:r w:rsidRPr="00E15158">
        <w:t>m</w:t>
      </w:r>
      <w:r w:rsidRPr="00E15158">
        <w:t>föra sina uppgifter på ett tillfredsställande sätt.</w:t>
      </w:r>
    </w:p>
    <w:p w:rsidR="00663B44" w:rsidRPr="00E15158" w:rsidRDefault="00663B44">
      <w:pPr>
        <w:pStyle w:val="Rubrik1"/>
        <w:shd w:val="clear" w:color="000000" w:fill="auto"/>
      </w:pPr>
      <w:r w:rsidRPr="00E15158">
        <w:t>Finanspolitiska rådet</w:t>
      </w:r>
    </w:p>
    <w:p w:rsidR="00663B44" w:rsidRPr="00E15158" w:rsidRDefault="00663B44">
      <w:pPr>
        <w:shd w:val="clear" w:color="000000" w:fill="auto"/>
        <w:rPr>
          <w:color w:val="000000"/>
        </w:rPr>
      </w:pPr>
      <w:r w:rsidRPr="00E15158">
        <w:t>Det finanspolitiska rådet har tillsatts av regeringen för att ”årligen följa upp och granska måluppfyllelsen inom den ekonomiska politiken” och ”utvärdera kvaliteten i regeringens analysram för den ekonomiska politiken”. Rådet passar väl in i det förhållningssätt till den ekonomiska politiken som slog igenom i början 1990-talet och som den nuvarande högerregeringen står sä</w:t>
      </w:r>
      <w:r w:rsidRPr="00E15158">
        <w:t>r</w:t>
      </w:r>
      <w:r w:rsidRPr="00E15158">
        <w:t xml:space="preserve">skilt fast förankrad i. En rad institutionella inslag minskar </w:t>
      </w:r>
      <w:r w:rsidRPr="00E15158">
        <w:rPr>
          <w:color w:val="000000"/>
        </w:rPr>
        <w:t>de folkvaldas mö</w:t>
      </w:r>
      <w:r w:rsidRPr="00E15158">
        <w:rPr>
          <w:color w:val="000000"/>
        </w:rPr>
        <w:t>j</w:t>
      </w:r>
      <w:r w:rsidRPr="00E15158">
        <w:rPr>
          <w:color w:val="000000"/>
        </w:rPr>
        <w:t>ligheter att föra en ekonomisk politik för full sysselsättning och bidrar samt</w:t>
      </w:r>
      <w:r w:rsidRPr="00E15158">
        <w:rPr>
          <w:color w:val="000000"/>
        </w:rPr>
        <w:t>i</w:t>
      </w:r>
      <w:r w:rsidRPr="00E15158">
        <w:rPr>
          <w:color w:val="000000"/>
        </w:rPr>
        <w:t>digt till en allmän ekonomisk utveckling där löntagarnas positioner på a</w:t>
      </w:r>
      <w:r w:rsidRPr="00E15158">
        <w:rPr>
          <w:color w:val="000000"/>
        </w:rPr>
        <w:t>r</w:t>
      </w:r>
      <w:r w:rsidRPr="00E15158">
        <w:rPr>
          <w:color w:val="000000"/>
        </w:rPr>
        <w:t>betsmarknaden försvagas till förmån för arbetsgivarnas.</w:t>
      </w:r>
    </w:p>
    <w:p w:rsidR="00663B44" w:rsidRPr="00E15158" w:rsidRDefault="00663B44">
      <w:pPr>
        <w:pStyle w:val="Normaltindrag"/>
        <w:shd w:val="clear" w:color="000000" w:fill="auto"/>
      </w:pPr>
      <w:r w:rsidRPr="00E15158">
        <w:rPr>
          <w:color w:val="000000"/>
        </w:rPr>
        <w:t xml:space="preserve">Det finns goda skäl att anta att det finanspolitiska rådet blir ytterligare ett organ som skall </w:t>
      </w:r>
      <w:r w:rsidRPr="00E15158">
        <w:t>klä regeringens högerpolitik i ett falskt vetenskapligt ski</w:t>
      </w:r>
      <w:r w:rsidRPr="00E15158">
        <w:t>m</w:t>
      </w:r>
      <w:r w:rsidRPr="00E15158">
        <w:t>mer. Den snäva ekonomiska teoribildning som ligger till grund för mycket av dagens etablerade ekonomisk-politiska debatt har uppenbara ideologiska utgångspunkter som borde vara föremål för en problematiserande samhäll</w:t>
      </w:r>
      <w:r w:rsidRPr="00E15158">
        <w:t>s</w:t>
      </w:r>
      <w:r w:rsidRPr="00E15158">
        <w:t>debatt, snarare än att ytterligare befästas i myndighetsform.</w:t>
      </w:r>
    </w:p>
    <w:p w:rsidR="00663B44" w:rsidRPr="00E15158" w:rsidRDefault="00663B44">
      <w:pPr>
        <w:pStyle w:val="Normaltindrag"/>
        <w:shd w:val="clear" w:color="000000" w:fill="auto"/>
      </w:pPr>
      <w:r w:rsidRPr="00E15158">
        <w:t>Finanspolitiska rådet bör upplösas med omedelbar verkan.</w:t>
      </w:r>
    </w:p>
    <w:p w:rsidR="00663B44" w:rsidRPr="00E15158" w:rsidRDefault="00663B44">
      <w:pPr>
        <w:pStyle w:val="Rubrik1"/>
        <w:shd w:val="clear" w:color="000000" w:fill="auto"/>
      </w:pPr>
      <w:r w:rsidRPr="00E15158">
        <w:t>Finansinspektionen</w:t>
      </w:r>
    </w:p>
    <w:p w:rsidR="00663B44" w:rsidRPr="00E15158" w:rsidRDefault="00663B44">
      <w:pPr>
        <w:shd w:val="clear" w:color="000000" w:fill="auto"/>
      </w:pPr>
      <w:r w:rsidRPr="00E15158">
        <w:t>Finansinspektionens arbete för att övervaka företagen på finansmarknaden har även betydelse för konsumentskyddet. Myndigheten riskerar att vidkännas neddragningar av personalstyrkan på grund av den låga löneuppräkningen. Vi vill undvika detta och föreslår en kompensation på 3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158">
        <w:trPr>
          <w:cantSplit/>
        </w:trPr>
        <w:tc>
          <w:tcPr>
            <w:tcW w:w="3046" w:type="dxa"/>
          </w:tcPr>
          <w:p w:rsidR="00663B44" w:rsidRPr="00E15158" w:rsidRDefault="00663B44">
            <w:pPr>
              <w:pStyle w:val="UnderskriftDatum"/>
              <w:shd w:val="clear" w:color="000000" w:fill="auto"/>
              <w:spacing w:before="240"/>
            </w:pPr>
            <w:r w:rsidRPr="00E15158">
              <w:t>Stockholm den 28 september 2007</w:t>
            </w:r>
          </w:p>
        </w:tc>
        <w:tc>
          <w:tcPr>
            <w:tcW w:w="3047" w:type="dxa"/>
          </w:tcPr>
          <w:p w:rsidR="00663B44" w:rsidRPr="00E15158" w:rsidRDefault="00663B44">
            <w:pPr>
              <w:pStyle w:val="Underskrifter"/>
              <w:shd w:val="clear" w:color="000000" w:fill="auto"/>
              <w:spacing w:before="240"/>
            </w:pPr>
          </w:p>
        </w:tc>
      </w:tr>
      <w:tr w:rsidR="00000000" w:rsidRPr="00E15158">
        <w:trPr>
          <w:cantSplit/>
        </w:trPr>
        <w:tc>
          <w:tcPr>
            <w:tcW w:w="3046" w:type="dxa"/>
          </w:tcPr>
          <w:p w:rsidR="00663B44" w:rsidRPr="00E15158" w:rsidRDefault="00663B44">
            <w:pPr>
              <w:pStyle w:val="Underskrifter"/>
              <w:shd w:val="clear" w:color="000000" w:fill="auto"/>
            </w:pPr>
            <w:r w:rsidRPr="00E15158">
              <w:t>Lars Ohly (v)</w:t>
            </w:r>
          </w:p>
        </w:tc>
        <w:tc>
          <w:tcPr>
            <w:tcW w:w="3046" w:type="dxa"/>
          </w:tcPr>
          <w:p w:rsidR="00663B44" w:rsidRPr="00E15158" w:rsidRDefault="00663B44">
            <w:pPr>
              <w:pStyle w:val="Underskrifter"/>
              <w:shd w:val="clear" w:color="000000" w:fill="auto"/>
            </w:pPr>
          </w:p>
        </w:tc>
      </w:tr>
      <w:tr w:rsidR="00000000" w:rsidRPr="00E15158">
        <w:trPr>
          <w:cantSplit/>
        </w:trPr>
        <w:tc>
          <w:tcPr>
            <w:tcW w:w="3046" w:type="dxa"/>
          </w:tcPr>
          <w:p w:rsidR="00663B44" w:rsidRPr="00E15158" w:rsidRDefault="00663B44">
            <w:pPr>
              <w:pStyle w:val="Underskrifter"/>
              <w:shd w:val="clear" w:color="000000" w:fill="auto"/>
            </w:pPr>
            <w:r w:rsidRPr="00E15158">
              <w:t>Marianne Berg (v)</w:t>
            </w:r>
          </w:p>
        </w:tc>
        <w:tc>
          <w:tcPr>
            <w:tcW w:w="3046" w:type="dxa"/>
          </w:tcPr>
          <w:p w:rsidR="00663B44" w:rsidRPr="00E15158" w:rsidRDefault="00663B44">
            <w:pPr>
              <w:pStyle w:val="Underskrifter"/>
              <w:shd w:val="clear" w:color="000000" w:fill="auto"/>
            </w:pPr>
            <w:r w:rsidRPr="00E15158">
              <w:t>Wiwi-Anne Johansson (v)</w:t>
            </w:r>
          </w:p>
        </w:tc>
      </w:tr>
      <w:tr w:rsidR="00000000" w:rsidRPr="00E15158">
        <w:trPr>
          <w:cantSplit/>
        </w:trPr>
        <w:tc>
          <w:tcPr>
            <w:tcW w:w="3046" w:type="dxa"/>
          </w:tcPr>
          <w:p w:rsidR="00663B44" w:rsidRPr="00E15158" w:rsidRDefault="00663B44">
            <w:pPr>
              <w:pStyle w:val="Underskrifter"/>
              <w:shd w:val="clear" w:color="000000" w:fill="auto"/>
            </w:pPr>
            <w:r w:rsidRPr="00E15158">
              <w:t>Hans Linde (v)</w:t>
            </w:r>
          </w:p>
        </w:tc>
        <w:tc>
          <w:tcPr>
            <w:tcW w:w="3046" w:type="dxa"/>
          </w:tcPr>
          <w:p w:rsidR="00663B44" w:rsidRPr="00E15158" w:rsidRDefault="00663B44">
            <w:pPr>
              <w:pStyle w:val="Underskrifter"/>
              <w:shd w:val="clear" w:color="000000" w:fill="auto"/>
            </w:pPr>
            <w:r w:rsidRPr="00E15158">
              <w:t>Elina Linna (v)</w:t>
            </w:r>
          </w:p>
        </w:tc>
      </w:tr>
      <w:tr w:rsidR="00000000" w:rsidRPr="00E15158">
        <w:trPr>
          <w:cantSplit/>
        </w:trPr>
        <w:tc>
          <w:tcPr>
            <w:tcW w:w="3046" w:type="dxa"/>
          </w:tcPr>
          <w:p w:rsidR="00663B44" w:rsidRPr="00E15158" w:rsidRDefault="00663B44">
            <w:pPr>
              <w:pStyle w:val="Underskrifter"/>
              <w:shd w:val="clear" w:color="000000" w:fill="auto"/>
            </w:pPr>
            <w:r w:rsidRPr="00E15158">
              <w:t>Kent Persson (v)</w:t>
            </w:r>
          </w:p>
        </w:tc>
        <w:tc>
          <w:tcPr>
            <w:tcW w:w="3046" w:type="dxa"/>
          </w:tcPr>
          <w:p w:rsidR="00663B44" w:rsidRPr="00E15158" w:rsidRDefault="00663B44">
            <w:pPr>
              <w:pStyle w:val="Underskrifter"/>
              <w:shd w:val="clear" w:color="000000" w:fill="auto"/>
            </w:pPr>
            <w:r w:rsidRPr="00E15158">
              <w:t>Alice Åström (v)</w:t>
            </w:r>
          </w:p>
        </w:tc>
      </w:tr>
      <w:tr w:rsidR="00000000" w:rsidRPr="00E15158">
        <w:trPr>
          <w:cantSplit/>
        </w:trPr>
        <w:tc>
          <w:tcPr>
            <w:tcW w:w="3046" w:type="dxa"/>
          </w:tcPr>
          <w:p w:rsidR="00663B44" w:rsidRPr="00E15158" w:rsidRDefault="00663B44">
            <w:pPr>
              <w:pStyle w:val="Underskrifter"/>
              <w:shd w:val="clear" w:color="000000" w:fill="auto"/>
            </w:pPr>
            <w:r w:rsidRPr="00E15158">
              <w:t>Ulla Andersson (v)</w:t>
            </w:r>
          </w:p>
        </w:tc>
        <w:tc>
          <w:tcPr>
            <w:tcW w:w="3046" w:type="dxa"/>
          </w:tcPr>
          <w:p w:rsidR="00663B44" w:rsidRPr="00E15158" w:rsidRDefault="00663B44">
            <w:pPr>
              <w:pStyle w:val="Underskrifter"/>
              <w:shd w:val="clear" w:color="000000" w:fill="auto"/>
            </w:pPr>
          </w:p>
        </w:tc>
      </w:tr>
    </w:tbl>
    <w:p w:rsidR="00663B44" w:rsidRPr="00E15158" w:rsidRDefault="00663B44">
      <w:pPr>
        <w:pStyle w:val="Normaltindrag"/>
        <w:shd w:val="clear" w:color="000000" w:fill="auto"/>
      </w:pPr>
    </w:p>
    <w:sectPr w:rsidR="00663B44" w:rsidRPr="00E151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B44" w:rsidRPr="00E15158" w:rsidRDefault="00663B44">
      <w:r w:rsidRPr="00E15158">
        <w:separator/>
      </w:r>
    </w:p>
  </w:endnote>
  <w:endnote w:type="continuationSeparator" w:id="0">
    <w:p w:rsidR="00663B44" w:rsidRPr="00E15158" w:rsidRDefault="00663B44">
      <w:r w:rsidRPr="00E15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44" w:rsidRPr="00E15158" w:rsidRDefault="00E15158">
    <w:pPr>
      <w:pStyle w:val="Sidfot"/>
    </w:pPr>
    <w:r w:rsidRPr="00E151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942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44" w:rsidRDefault="00663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B44" w:rsidRDefault="00663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44" w:rsidRPr="00E15158" w:rsidRDefault="00E15158">
    <w:pPr>
      <w:pStyle w:val="Sidfot"/>
    </w:pPr>
    <w:r w:rsidRPr="00E151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601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44" w:rsidRDefault="00663B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B44" w:rsidRDefault="00663B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44" w:rsidRPr="00E15158" w:rsidRDefault="00E15158">
    <w:pPr>
      <w:pStyle w:val="Sidfot"/>
    </w:pPr>
    <w:r w:rsidRPr="00E151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47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44" w:rsidRDefault="00663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B44" w:rsidRDefault="00663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B44" w:rsidRPr="00E15158" w:rsidRDefault="00663B44">
      <w:r w:rsidRPr="00E15158">
        <w:separator/>
      </w:r>
    </w:p>
  </w:footnote>
  <w:footnote w:type="continuationSeparator" w:id="0">
    <w:p w:rsidR="00663B44" w:rsidRPr="00E15158" w:rsidRDefault="00663B44">
      <w:r w:rsidRPr="00E15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44" w:rsidRPr="00E15158" w:rsidRDefault="00E15158">
    <w:pPr>
      <w:pStyle w:val="Sidhuvud"/>
    </w:pPr>
    <w:r w:rsidRPr="00E151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413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44" w:rsidRDefault="00663B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B44" w:rsidRDefault="00663B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44" w:rsidRPr="00E15158" w:rsidRDefault="00E15158">
    <w:pPr>
      <w:pStyle w:val="Sidhuvud"/>
    </w:pPr>
    <w:r w:rsidRPr="00E151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312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44" w:rsidRDefault="00663B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B44" w:rsidRDefault="00663B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44" w:rsidRPr="00E15158" w:rsidRDefault="00663B44">
    <w:pPr>
      <w:pStyle w:val="FSHNormal"/>
      <w:tabs>
        <w:tab w:val="right" w:pos="5840"/>
      </w:tabs>
    </w:pPr>
    <w:r w:rsidRPr="00E15158">
      <w:br/>
    </w:r>
    <w:r w:rsidRPr="00E15158">
      <w:fldChar w:fldCharType="begin" w:fldLock="1"/>
    </w:r>
    <w:r w:rsidRPr="00E15158">
      <w:instrText xml:space="preserve"> DOCPROPERTY</w:instrText>
    </w:r>
    <w:r w:rsidRPr="00E15158">
      <w:rPr>
        <w:sz w:val="18"/>
      </w:rPr>
      <w:instrText xml:space="preserve"> "YearUser" *\charformat </w:instrText>
    </w:r>
    <w:r w:rsidRPr="00E15158">
      <w:fldChar w:fldCharType="separate"/>
    </w:r>
    <w:r w:rsidRPr="00E15158">
      <w:t>2007/08</w:t>
    </w:r>
    <w:r w:rsidRPr="00E15158">
      <w:fldChar w:fldCharType="end"/>
    </w:r>
    <w:r w:rsidRPr="00E15158">
      <w:t xml:space="preserve"> </w:t>
    </w:r>
    <w:r w:rsidRPr="00E15158">
      <w:tab/>
      <w:t xml:space="preserve">mnr: </w:t>
    </w:r>
    <w:r w:rsidRPr="00E15158">
      <w:fldChar w:fldCharType="begin" w:fldLock="1"/>
    </w:r>
    <w:r w:rsidRPr="00E15158">
      <w:instrText xml:space="preserve"> DOCPROPERTY</w:instrText>
    </w:r>
    <w:r w:rsidRPr="00E15158">
      <w:rPr>
        <w:sz w:val="18"/>
      </w:rPr>
      <w:instrText xml:space="preserve"> "Motionsnummer" *\charformat </w:instrText>
    </w:r>
    <w:r w:rsidRPr="00E15158">
      <w:fldChar w:fldCharType="separate"/>
    </w:r>
    <w:r w:rsidRPr="00E15158">
      <w:t>Fi235</w:t>
    </w:r>
    <w:r w:rsidRPr="00E15158">
      <w:fldChar w:fldCharType="end"/>
    </w:r>
    <w:r w:rsidRPr="00E15158">
      <w:br/>
    </w:r>
    <w:r w:rsidRPr="00E15158">
      <w:fldChar w:fldCharType="begin" w:fldLock="1"/>
    </w:r>
    <w:r w:rsidRPr="00E15158">
      <w:instrText xml:space="preserve"> DOCPROPERTY</w:instrText>
    </w:r>
    <w:r w:rsidRPr="00E15158">
      <w:rPr>
        <w:sz w:val="18"/>
      </w:rPr>
      <w:instrText xml:space="preserve"> "Samling" *\charformat </w:instrText>
    </w:r>
    <w:r w:rsidRPr="00E15158">
      <w:fldChar w:fldCharType="end"/>
    </w:r>
    <w:r w:rsidRPr="00E15158">
      <w:tab/>
      <w:t xml:space="preserve">pnr: </w:t>
    </w:r>
    <w:r w:rsidRPr="00E15158">
      <w:fldChar w:fldCharType="begin" w:fldLock="1"/>
    </w:r>
    <w:r w:rsidRPr="00E15158">
      <w:instrText xml:space="preserve"> DOCPROPERTY</w:instrText>
    </w:r>
    <w:r w:rsidRPr="00E15158">
      <w:rPr>
        <w:sz w:val="18"/>
      </w:rPr>
      <w:instrText xml:space="preserve"> "Partinummer" *\charformat </w:instrText>
    </w:r>
    <w:r w:rsidRPr="00E15158">
      <w:fldChar w:fldCharType="separate"/>
    </w:r>
    <w:r w:rsidRPr="00E15158">
      <w:t>v633</w:t>
    </w:r>
    <w:r w:rsidRPr="00E15158">
      <w:fldChar w:fldCharType="end"/>
    </w:r>
  </w:p>
  <w:p w:rsidR="00663B44" w:rsidRPr="00E15158" w:rsidRDefault="00663B44">
    <w:pPr>
      <w:pStyle w:val="FSHRub1"/>
    </w:pPr>
    <w:r w:rsidRPr="00E15158">
      <w:t>Motion till riksdagen</w:t>
    </w:r>
    <w:r w:rsidRPr="00E15158">
      <w:br/>
    </w:r>
    <w:r w:rsidRPr="00E15158">
      <w:fldChar w:fldCharType="begin" w:fldLock="1"/>
    </w:r>
    <w:r w:rsidRPr="00E15158">
      <w:instrText xml:space="preserve"> DOCPROPERTY "YearUser" *\charformat </w:instrText>
    </w:r>
    <w:r w:rsidRPr="00E15158">
      <w:fldChar w:fldCharType="separate"/>
    </w:r>
    <w:r w:rsidRPr="00E15158">
      <w:t>2007/08</w:t>
    </w:r>
    <w:r w:rsidRPr="00E15158">
      <w:fldChar w:fldCharType="end"/>
    </w:r>
    <w:r w:rsidRPr="00E15158">
      <w:t>:</w:t>
    </w:r>
    <w:r w:rsidRPr="00E15158">
      <w:fldChar w:fldCharType="begin" w:fldLock="1"/>
    </w:r>
    <w:r w:rsidRPr="00E15158">
      <w:instrText xml:space="preserve"> DOCPROPERTY "Motionsnummer" *\charformat </w:instrText>
    </w:r>
    <w:r w:rsidRPr="00E15158">
      <w:fldChar w:fldCharType="separate"/>
    </w:r>
    <w:r w:rsidRPr="00E15158">
      <w:t>Fi235</w:t>
    </w:r>
    <w:r w:rsidRPr="00E15158">
      <w:fldChar w:fldCharType="end"/>
    </w:r>
  </w:p>
  <w:p w:rsidR="00663B44" w:rsidRPr="00E15158" w:rsidRDefault="00663B44">
    <w:pPr>
      <w:pStyle w:val="FSHNormalS5"/>
    </w:pPr>
    <w:r w:rsidRPr="00E15158">
      <w:fldChar w:fldCharType="begin" w:fldLock="1"/>
    </w:r>
    <w:r w:rsidRPr="00E15158">
      <w:instrText xml:space="preserve"> DOCPROPERTY "MotionarText" *\charformat </w:instrText>
    </w:r>
    <w:r w:rsidRPr="00E15158">
      <w:fldChar w:fldCharType="separate"/>
    </w:r>
    <w:r w:rsidRPr="00E15158">
      <w:t>av Lars Ohly m.fl. (v)</w:t>
    </w:r>
    <w:r w:rsidRPr="00E15158">
      <w:fldChar w:fldCharType="end"/>
    </w:r>
    <w:r w:rsidRPr="00E15158">
      <w:br/>
    </w:r>
    <w:r w:rsidRPr="00E15158">
      <w:fldChar w:fldCharType="begin" w:fldLock="1"/>
    </w:r>
    <w:r w:rsidRPr="00E15158">
      <w:instrText xml:space="preserve"> DOCPROPERTY "SvarFrasKort" *\charformat </w:instrText>
    </w:r>
    <w:r w:rsidRPr="00E15158">
      <w:fldChar w:fldCharType="end"/>
    </w:r>
  </w:p>
  <w:p w:rsidR="00663B44" w:rsidRPr="00E15158" w:rsidRDefault="00663B44">
    <w:pPr>
      <w:pStyle w:val="FSHTitel"/>
    </w:pPr>
    <w:r w:rsidRPr="00E15158">
      <w:fldChar w:fldCharType="begin" w:fldLock="1"/>
    </w:r>
    <w:r w:rsidRPr="00E15158">
      <w:instrText xml:space="preserve"> DOCPROPERTY</w:instrText>
    </w:r>
    <w:r w:rsidRPr="00E15158">
      <w:rPr>
        <w:sz w:val="18"/>
      </w:rPr>
      <w:instrText xml:space="preserve"> "RubrikSvar" *\charformat </w:instrText>
    </w:r>
    <w:r w:rsidRPr="00E15158">
      <w:fldChar w:fldCharType="separate"/>
    </w:r>
    <w:r w:rsidRPr="00E15158">
      <w:t>Utgiftsområde 2 Samhällsekonomi och finansförvaltning</w:t>
    </w:r>
    <w:r w:rsidRPr="00E15158">
      <w:fldChar w:fldCharType="end"/>
    </w:r>
  </w:p>
  <w:p w:rsidR="00663B44" w:rsidRPr="00E15158" w:rsidRDefault="00663B44">
    <w:pPr>
      <w:pStyle w:val="Normal00"/>
    </w:pPr>
  </w:p>
  <w:p w:rsidR="00663B44" w:rsidRPr="00E15158" w:rsidRDefault="00663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1482FF16"/>
    <w:lvl w:ilvl="0" w:tplc="6B7AC0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B60A295C">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07071040">
    <w:abstractNumId w:val="14"/>
  </w:num>
  <w:num w:numId="2" w16cid:durableId="121387389">
    <w:abstractNumId w:val="10"/>
  </w:num>
  <w:num w:numId="3" w16cid:durableId="1037242633">
    <w:abstractNumId w:val="12"/>
  </w:num>
  <w:num w:numId="4" w16cid:durableId="733237205">
    <w:abstractNumId w:val="13"/>
  </w:num>
  <w:num w:numId="5" w16cid:durableId="1857958541">
    <w:abstractNumId w:val="8"/>
  </w:num>
  <w:num w:numId="6" w16cid:durableId="152527379">
    <w:abstractNumId w:val="3"/>
  </w:num>
  <w:num w:numId="7" w16cid:durableId="949438407">
    <w:abstractNumId w:val="2"/>
  </w:num>
  <w:num w:numId="8" w16cid:durableId="1453787944">
    <w:abstractNumId w:val="1"/>
  </w:num>
  <w:num w:numId="9" w16cid:durableId="515996725">
    <w:abstractNumId w:val="0"/>
  </w:num>
  <w:num w:numId="10" w16cid:durableId="1124270651">
    <w:abstractNumId w:val="9"/>
  </w:num>
  <w:num w:numId="11" w16cid:durableId="1388259103">
    <w:abstractNumId w:val="7"/>
  </w:num>
  <w:num w:numId="12" w16cid:durableId="330723173">
    <w:abstractNumId w:val="6"/>
  </w:num>
  <w:num w:numId="13" w16cid:durableId="991569075">
    <w:abstractNumId w:val="5"/>
  </w:num>
  <w:num w:numId="14" w16cid:durableId="534392407">
    <w:abstractNumId w:val="4"/>
  </w:num>
  <w:num w:numId="15" w16cid:durableId="2024553256">
    <w:abstractNumId w:val="11"/>
  </w:num>
  <w:num w:numId="16" w16cid:durableId="940333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23C4D0E2-C6F4-49DA-B9C4-BE7D1928143F}"/>
  </w:docVars>
  <w:rsids>
    <w:rsidRoot w:val="00E01FB4"/>
    <w:rsid w:val="00663B44"/>
    <w:rsid w:val="00E01FB4"/>
    <w:rsid w:val="00E151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1C724C-F20A-42AD-9231-AAD03F00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5726</Characters>
  <Application>Microsoft Office Word</Application>
  <DocSecurity>4</DocSecurity>
  <Lines>133</Lines>
  <Paragraphs>56</Paragraphs>
  <ScaleCrop>false</ScaleCrop>
  <HeadingPairs>
    <vt:vector size="2" baseType="variant">
      <vt:variant>
        <vt:lpstr>Rubrik</vt:lpstr>
      </vt:variant>
      <vt:variant>
        <vt:i4>1</vt:i4>
      </vt:variant>
    </vt:vector>
  </HeadingPairs>
  <TitlesOfParts>
    <vt:vector size="1" baseType="lpstr">
      <vt:lpstr>v633</vt:lpstr>
    </vt:vector>
  </TitlesOfParts>
  <Company>Riksdagen</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v633</dc:title>
  <dc:subject>v633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2007-11-15T10:33:00Z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20072008000000000118000006330080</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20072008000000000118000006330080</vt:lpwstr>
  </property>
  <property fmtid="{D5CDD505-2E9C-101B-9397-08002B2CF9AE}" pid="50" name="nummer">
    <vt:lpwstr>235</vt:lpwstr>
  </property>
  <property fmtid="{D5CDD505-2E9C-101B-9397-08002B2CF9AE}" pid="51" name="utskottsbeteckning">
    <vt:lpwstr>Fi</vt:lpwstr>
  </property>
  <property fmtid="{D5CDD505-2E9C-101B-9397-08002B2CF9AE}" pid="52" name="GlobalUID">
    <vt:lpwstr>{4BCBEFA0-9B3B-44F5-8927-9714422B61ED}</vt:lpwstr>
  </property>
  <property fmtid="{D5CDD505-2E9C-101B-9397-08002B2CF9AE}" pid="53" name="Överföringar">
    <vt:i4>0</vt:i4>
  </property>
  <property fmtid="{D5CDD505-2E9C-101B-9397-08002B2CF9AE}" pid="54" name="Checksum">
    <vt:lpwstr>*1005999312478*</vt:lpwstr>
  </property>
  <property fmtid="{D5CDD505-2E9C-101B-9397-08002B2CF9AE}" pid="55" name="skuggnummer">
    <vt:lpwstr>1397</vt:lpwstr>
  </property>
  <property fmtid="{D5CDD505-2E9C-101B-9397-08002B2CF9AE}" pid="56" name="urixVersion">
    <vt:lpwstr>3.2.0.8</vt:lpwstr>
  </property>
  <property fmtid="{D5CDD505-2E9C-101B-9397-08002B2CF9AE}" pid="57" name="urixOrigin">
    <vt:lpwstr>071115 11:33:37.313</vt:lpwstr>
  </property>
  <property fmtid="{D5CDD505-2E9C-101B-9397-08002B2CF9AE}" pid="58" name="urixGuid">
    <vt:lpwstr>{F4F27B93-3FB5-4F2E-B45A-74171D9EC85A}</vt:lpwstr>
  </property>
</Properties>
</file>