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C2AFF2A0E342EE83AA463E5DD4C4CD"/>
        </w:placeholder>
        <w:text/>
      </w:sdtPr>
      <w:sdtEndPr/>
      <w:sdtContent>
        <w:p w:rsidRPr="009B062B" w:rsidR="00AF30DD" w:rsidP="00DA28CE" w:rsidRDefault="00AF30DD" w14:paraId="3A3E0737" w14:textId="77777777">
          <w:pPr>
            <w:pStyle w:val="Rubrik1"/>
            <w:spacing w:after="300"/>
          </w:pPr>
          <w:r w:rsidRPr="009B062B">
            <w:t>Förslag till riksdagsbeslut</w:t>
          </w:r>
        </w:p>
      </w:sdtContent>
    </w:sdt>
    <w:sdt>
      <w:sdtPr>
        <w:alias w:val="Yrkande 1"/>
        <w:tag w:val="7dad434d-9839-4910-8fa7-8937ebaa01a3"/>
        <w:id w:val="1652020294"/>
        <w:lock w:val="sdtLocked"/>
      </w:sdtPr>
      <w:sdtEndPr/>
      <w:sdtContent>
        <w:p w:rsidR="00C606F0" w:rsidRDefault="006024CD" w14:paraId="78A78BD0" w14:textId="77777777">
          <w:pPr>
            <w:pStyle w:val="Frslagstext"/>
            <w:numPr>
              <w:ilvl w:val="0"/>
              <w:numId w:val="0"/>
            </w:numPr>
          </w:pPr>
          <w:r>
            <w:t>Riksdagen ställer sig bakom det som anförs i motionen om att tillåta brottsprovokation vid misstänkt sexualbrott mot i synnerhet unga och personer med intellektuell funktionsnedsättning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153618CC4F4E51AAAF8F82723D666F"/>
        </w:placeholder>
        <w:text/>
      </w:sdtPr>
      <w:sdtEndPr/>
      <w:sdtContent>
        <w:p w:rsidRPr="009B062B" w:rsidR="006D79C9" w:rsidP="00333E95" w:rsidRDefault="006D79C9" w14:paraId="4EABABAA" w14:textId="77777777">
          <w:pPr>
            <w:pStyle w:val="Rubrik1"/>
          </w:pPr>
          <w:r>
            <w:t>Motivering</w:t>
          </w:r>
        </w:p>
      </w:sdtContent>
    </w:sdt>
    <w:p w:rsidR="0077556C" w:rsidP="00E240BF" w:rsidRDefault="0077556C" w14:paraId="2AE57166" w14:textId="3D7C2A7B">
      <w:pPr>
        <w:pStyle w:val="Normalutanindragellerluft"/>
      </w:pPr>
      <w:r>
        <w:t>Internet har en självklar plats i de flesta människors vardag. Många ungdomar och äldre är aktiva och chattar på olika hemsidors forum. Tyvärr gör anonymiteten på internet det möjlig</w:t>
      </w:r>
      <w:r w:rsidR="0007081C">
        <w:t>t</w:t>
      </w:r>
      <w:r>
        <w:t xml:space="preserve">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in för att styrka brott kan den vuxne identifieras och lagföras.</w:t>
      </w:r>
    </w:p>
    <w:p w:rsidR="0077556C" w:rsidP="0077556C" w:rsidRDefault="0077556C" w14:paraId="3F3C2B53" w14:textId="77777777">
      <w:r>
        <w:t>Likaså kan brottsprovokation användas i syfte att få tillgång till forum på internet som kräver lösenord.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00E240BF" w:rsidP="006C4741" w:rsidRDefault="0077556C" w14:paraId="0FD72D57" w14:textId="55991264">
      <w:r>
        <w:t xml:space="preserve">Brottsprovokation bör i huvudsak tillåtas för brott som riktar sig mot särskilt försvarslösa grupper som minderåriga eller </w:t>
      </w:r>
      <w:r w:rsidRPr="005A0251" w:rsidR="005A0251">
        <w:t>personer med int</w:t>
      </w:r>
      <w:r w:rsidR="005A0251">
        <w:t>ellektuell funktionsnedsättning</w:t>
      </w:r>
      <w:r>
        <w:t xml:space="preserve">. Metoden kräver en strikt reglering för att inte missbrukas. Dock överstiger dess fördelar vida den börda som kontrollen innebär. Att få tag i förövare </w:t>
      </w:r>
      <w:r w:rsidR="00E240BF">
        <w:br w:type="page"/>
      </w:r>
    </w:p>
    <w:p w:rsidR="00BB6339" w:rsidP="00E240BF" w:rsidRDefault="0077556C" w14:paraId="0256DDC2" w14:textId="6B434C68">
      <w:pPr>
        <w:pStyle w:val="Normalutanindragellerluft"/>
      </w:pPr>
      <w:r>
        <w:t>innan de kan förgripa sig på våra barn eller ungdomar och förstöra deras liv måste anses vara tillräcklig grund för att se över möjligheten.</w:t>
      </w:r>
    </w:p>
    <w:sdt>
      <w:sdtPr>
        <w:rPr>
          <w:i/>
          <w:noProof/>
        </w:rPr>
        <w:alias w:val="CC_Underskrifter"/>
        <w:tag w:val="CC_Underskrifter"/>
        <w:id w:val="583496634"/>
        <w:lock w:val="sdtContentLocked"/>
        <w:placeholder>
          <w:docPart w:val="71958F36FD4A4BAABBE348A6B83D56C2"/>
        </w:placeholder>
      </w:sdtPr>
      <w:sdtEndPr>
        <w:rPr>
          <w:i w:val="0"/>
          <w:noProof w:val="0"/>
        </w:rPr>
      </w:sdtEndPr>
      <w:sdtContent>
        <w:p w:rsidR="005A0251" w:rsidP="005652B7" w:rsidRDefault="005A0251" w14:paraId="5985FD58" w14:textId="77777777"/>
        <w:p w:rsidRPr="008E0FE2" w:rsidR="004801AC" w:rsidP="005652B7" w:rsidRDefault="006C4741" w14:paraId="0454F6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8024A1" w:rsidRDefault="008024A1" w14:paraId="4DEFC021" w14:textId="77777777">
      <w:bookmarkStart w:name="_GoBack" w:id="1"/>
      <w:bookmarkEnd w:id="1"/>
    </w:p>
    <w:sectPr w:rsidR="008024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FE9A2" w14:textId="77777777" w:rsidR="0077556C" w:rsidRDefault="0077556C" w:rsidP="000C1CAD">
      <w:pPr>
        <w:spacing w:line="240" w:lineRule="auto"/>
      </w:pPr>
      <w:r>
        <w:separator/>
      </w:r>
    </w:p>
  </w:endnote>
  <w:endnote w:type="continuationSeparator" w:id="0">
    <w:p w14:paraId="1B6C3CE4" w14:textId="77777777" w:rsidR="0077556C" w:rsidRDefault="007755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BF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0E13" w14:textId="38775E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40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6CB4" w14:textId="77777777" w:rsidR="0077556C" w:rsidRDefault="0077556C" w:rsidP="000C1CAD">
      <w:pPr>
        <w:spacing w:line="240" w:lineRule="auto"/>
      </w:pPr>
      <w:r>
        <w:separator/>
      </w:r>
    </w:p>
  </w:footnote>
  <w:footnote w:type="continuationSeparator" w:id="0">
    <w:p w14:paraId="4DE93D28" w14:textId="77777777" w:rsidR="0077556C" w:rsidRDefault="007755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682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EFED7" wp14:anchorId="641F4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741" w14:paraId="1A52A808" w14:textId="77777777">
                          <w:pPr>
                            <w:jc w:val="right"/>
                          </w:pPr>
                          <w:sdt>
                            <w:sdtPr>
                              <w:alias w:val="CC_Noformat_Partikod"/>
                              <w:tag w:val="CC_Noformat_Partikod"/>
                              <w:id w:val="-53464382"/>
                              <w:placeholder>
                                <w:docPart w:val="B79A222A9893462F8C89B934B3455DBF"/>
                              </w:placeholder>
                              <w:text/>
                            </w:sdtPr>
                            <w:sdtEndPr/>
                            <w:sdtContent>
                              <w:r w:rsidR="0077556C">
                                <w:t>M</w:t>
                              </w:r>
                            </w:sdtContent>
                          </w:sdt>
                          <w:sdt>
                            <w:sdtPr>
                              <w:alias w:val="CC_Noformat_Partinummer"/>
                              <w:tag w:val="CC_Noformat_Partinummer"/>
                              <w:id w:val="-1709555926"/>
                              <w:placeholder>
                                <w:docPart w:val="6367E350FD8A4243979D02BC9CAEB67A"/>
                              </w:placeholder>
                              <w:text/>
                            </w:sdtPr>
                            <w:sdtEndPr/>
                            <w:sdtContent>
                              <w:r w:rsidR="0077556C">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F4C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741" w14:paraId="1A52A808" w14:textId="77777777">
                    <w:pPr>
                      <w:jc w:val="right"/>
                    </w:pPr>
                    <w:sdt>
                      <w:sdtPr>
                        <w:alias w:val="CC_Noformat_Partikod"/>
                        <w:tag w:val="CC_Noformat_Partikod"/>
                        <w:id w:val="-53464382"/>
                        <w:placeholder>
                          <w:docPart w:val="B79A222A9893462F8C89B934B3455DBF"/>
                        </w:placeholder>
                        <w:text/>
                      </w:sdtPr>
                      <w:sdtEndPr/>
                      <w:sdtContent>
                        <w:r w:rsidR="0077556C">
                          <w:t>M</w:t>
                        </w:r>
                      </w:sdtContent>
                    </w:sdt>
                    <w:sdt>
                      <w:sdtPr>
                        <w:alias w:val="CC_Noformat_Partinummer"/>
                        <w:tag w:val="CC_Noformat_Partinummer"/>
                        <w:id w:val="-1709555926"/>
                        <w:placeholder>
                          <w:docPart w:val="6367E350FD8A4243979D02BC9CAEB67A"/>
                        </w:placeholder>
                        <w:text/>
                      </w:sdtPr>
                      <w:sdtEndPr/>
                      <w:sdtContent>
                        <w:r w:rsidR="0077556C">
                          <w:t>1250</w:t>
                        </w:r>
                      </w:sdtContent>
                    </w:sdt>
                  </w:p>
                </w:txbxContent>
              </v:textbox>
              <w10:wrap anchorx="page"/>
            </v:shape>
          </w:pict>
        </mc:Fallback>
      </mc:AlternateContent>
    </w:r>
  </w:p>
  <w:p w:rsidRPr="00293C4F" w:rsidR="00262EA3" w:rsidP="00776B74" w:rsidRDefault="00262EA3" w14:paraId="60C05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F18EBF" w14:textId="77777777">
    <w:pPr>
      <w:jc w:val="right"/>
    </w:pPr>
  </w:p>
  <w:p w:rsidR="00262EA3" w:rsidP="00776B74" w:rsidRDefault="00262EA3" w14:paraId="10FDFD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4741" w14:paraId="5C4680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44969C" wp14:anchorId="7D434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741" w14:paraId="17C2C3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556C">
          <w:t>M</w:t>
        </w:r>
      </w:sdtContent>
    </w:sdt>
    <w:sdt>
      <w:sdtPr>
        <w:alias w:val="CC_Noformat_Partinummer"/>
        <w:tag w:val="CC_Noformat_Partinummer"/>
        <w:id w:val="-2014525982"/>
        <w:text/>
      </w:sdtPr>
      <w:sdtEndPr/>
      <w:sdtContent>
        <w:r w:rsidR="0077556C">
          <w:t>1250</w:t>
        </w:r>
      </w:sdtContent>
    </w:sdt>
  </w:p>
  <w:p w:rsidRPr="008227B3" w:rsidR="00262EA3" w:rsidP="008227B3" w:rsidRDefault="006C4741" w14:paraId="25E0C1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741" w14:paraId="3A68C7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:882</w:t>
        </w:r>
      </w:sdtContent>
    </w:sdt>
  </w:p>
  <w:p w:rsidR="00262EA3" w:rsidP="00E03A3D" w:rsidRDefault="006C4741" w14:paraId="60CC1B0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77556C" w14:paraId="1134F21F" w14:textId="77777777">
        <w:pPr>
          <w:pStyle w:val="FSHRub2"/>
        </w:pPr>
        <w:r>
          <w:t>Tillåtande av brottsprovokation vid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73953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55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6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1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3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07"/>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B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5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4C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4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6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4A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6F0"/>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0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0B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C37157"/>
  <w15:chartTrackingRefBased/>
  <w15:docId w15:val="{E07A18FD-2BB3-48A4-B3A9-7BD364A7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2AFF2A0E342EE83AA463E5DD4C4CD"/>
        <w:category>
          <w:name w:val="Allmänt"/>
          <w:gallery w:val="placeholder"/>
        </w:category>
        <w:types>
          <w:type w:val="bbPlcHdr"/>
        </w:types>
        <w:behaviors>
          <w:behavior w:val="content"/>
        </w:behaviors>
        <w:guid w:val="{66167ECD-2371-420F-8F84-2E0019835426}"/>
      </w:docPartPr>
      <w:docPartBody>
        <w:p w:rsidR="00267EE2" w:rsidRDefault="00267EE2">
          <w:pPr>
            <w:pStyle w:val="AFC2AFF2A0E342EE83AA463E5DD4C4CD"/>
          </w:pPr>
          <w:r w:rsidRPr="005A0A93">
            <w:rPr>
              <w:rStyle w:val="Platshllartext"/>
            </w:rPr>
            <w:t>Förslag till riksdagsbeslut</w:t>
          </w:r>
        </w:p>
      </w:docPartBody>
    </w:docPart>
    <w:docPart>
      <w:docPartPr>
        <w:name w:val="95153618CC4F4E51AAAF8F82723D666F"/>
        <w:category>
          <w:name w:val="Allmänt"/>
          <w:gallery w:val="placeholder"/>
        </w:category>
        <w:types>
          <w:type w:val="bbPlcHdr"/>
        </w:types>
        <w:behaviors>
          <w:behavior w:val="content"/>
        </w:behaviors>
        <w:guid w:val="{4D94D50A-C9CB-4595-8B0A-4E3A7B264A89}"/>
      </w:docPartPr>
      <w:docPartBody>
        <w:p w:rsidR="00267EE2" w:rsidRDefault="00267EE2">
          <w:pPr>
            <w:pStyle w:val="95153618CC4F4E51AAAF8F82723D666F"/>
          </w:pPr>
          <w:r w:rsidRPr="005A0A93">
            <w:rPr>
              <w:rStyle w:val="Platshllartext"/>
            </w:rPr>
            <w:t>Motivering</w:t>
          </w:r>
        </w:p>
      </w:docPartBody>
    </w:docPart>
    <w:docPart>
      <w:docPartPr>
        <w:name w:val="B79A222A9893462F8C89B934B3455DBF"/>
        <w:category>
          <w:name w:val="Allmänt"/>
          <w:gallery w:val="placeholder"/>
        </w:category>
        <w:types>
          <w:type w:val="bbPlcHdr"/>
        </w:types>
        <w:behaviors>
          <w:behavior w:val="content"/>
        </w:behaviors>
        <w:guid w:val="{D16D495C-2A7A-4449-8F13-57E95BBAAD84}"/>
      </w:docPartPr>
      <w:docPartBody>
        <w:p w:rsidR="00267EE2" w:rsidRDefault="00267EE2">
          <w:pPr>
            <w:pStyle w:val="B79A222A9893462F8C89B934B3455DBF"/>
          </w:pPr>
          <w:r>
            <w:rPr>
              <w:rStyle w:val="Platshllartext"/>
            </w:rPr>
            <w:t xml:space="preserve"> </w:t>
          </w:r>
        </w:p>
      </w:docPartBody>
    </w:docPart>
    <w:docPart>
      <w:docPartPr>
        <w:name w:val="6367E350FD8A4243979D02BC9CAEB67A"/>
        <w:category>
          <w:name w:val="Allmänt"/>
          <w:gallery w:val="placeholder"/>
        </w:category>
        <w:types>
          <w:type w:val="bbPlcHdr"/>
        </w:types>
        <w:behaviors>
          <w:behavior w:val="content"/>
        </w:behaviors>
        <w:guid w:val="{D9DF0185-4D74-4DEB-B80A-7C447494B405}"/>
      </w:docPartPr>
      <w:docPartBody>
        <w:p w:rsidR="00267EE2" w:rsidRDefault="00267EE2">
          <w:pPr>
            <w:pStyle w:val="6367E350FD8A4243979D02BC9CAEB67A"/>
          </w:pPr>
          <w:r>
            <w:t xml:space="preserve"> </w:t>
          </w:r>
        </w:p>
      </w:docPartBody>
    </w:docPart>
    <w:docPart>
      <w:docPartPr>
        <w:name w:val="71958F36FD4A4BAABBE348A6B83D56C2"/>
        <w:category>
          <w:name w:val="Allmänt"/>
          <w:gallery w:val="placeholder"/>
        </w:category>
        <w:types>
          <w:type w:val="bbPlcHdr"/>
        </w:types>
        <w:behaviors>
          <w:behavior w:val="content"/>
        </w:behaviors>
        <w:guid w:val="{91404765-F797-4D5C-836E-B5C11F5699F1}"/>
      </w:docPartPr>
      <w:docPartBody>
        <w:p w:rsidR="004675C8" w:rsidRDefault="004675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2"/>
    <w:rsid w:val="00267EE2"/>
    <w:rsid w:val="00467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2AFF2A0E342EE83AA463E5DD4C4CD">
    <w:name w:val="AFC2AFF2A0E342EE83AA463E5DD4C4CD"/>
  </w:style>
  <w:style w:type="paragraph" w:customStyle="1" w:styleId="C1B510619F8B4D0A8F67824DE09B945C">
    <w:name w:val="C1B510619F8B4D0A8F67824DE09B9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4DB02CFB03465ABB26FA3F74EA0487">
    <w:name w:val="AE4DB02CFB03465ABB26FA3F74EA0487"/>
  </w:style>
  <w:style w:type="paragraph" w:customStyle="1" w:styleId="95153618CC4F4E51AAAF8F82723D666F">
    <w:name w:val="95153618CC4F4E51AAAF8F82723D666F"/>
  </w:style>
  <w:style w:type="paragraph" w:customStyle="1" w:styleId="DA9E0DFFD1474E21939D455CED63CDAC">
    <w:name w:val="DA9E0DFFD1474E21939D455CED63CDAC"/>
  </w:style>
  <w:style w:type="paragraph" w:customStyle="1" w:styleId="267B5EAA971946BEB327B3E0363F3E7D">
    <w:name w:val="267B5EAA971946BEB327B3E0363F3E7D"/>
  </w:style>
  <w:style w:type="paragraph" w:customStyle="1" w:styleId="B79A222A9893462F8C89B934B3455DBF">
    <w:name w:val="B79A222A9893462F8C89B934B3455DBF"/>
  </w:style>
  <w:style w:type="paragraph" w:customStyle="1" w:styleId="6367E350FD8A4243979D02BC9CAEB67A">
    <w:name w:val="6367E350FD8A4243979D02BC9CAEB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40E0D-3D5C-4227-A261-6D65E02AF160}"/>
</file>

<file path=customXml/itemProps2.xml><?xml version="1.0" encoding="utf-8"?>
<ds:datastoreItem xmlns:ds="http://schemas.openxmlformats.org/officeDocument/2006/customXml" ds:itemID="{6EEDC16B-30FE-4314-87DB-42EB02965C4A}"/>
</file>

<file path=customXml/itemProps3.xml><?xml version="1.0" encoding="utf-8"?>
<ds:datastoreItem xmlns:ds="http://schemas.openxmlformats.org/officeDocument/2006/customXml" ds:itemID="{E5857327-A178-410A-96B4-DD914482C084}"/>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1619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M1250 Tillåtande av brottsprovokation vid sexualbrott</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