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C74039" w:rsidRPr="008C1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74039" w:rsidRPr="008C1478" w:rsidRDefault="00C740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C74039" w:rsidRPr="008C1478" w:rsidRDefault="00C740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C74039" w:rsidRPr="008C1478" w:rsidRDefault="00C740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C1478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C74039" w:rsidRPr="008C1478" w:rsidRDefault="00C740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C74039" w:rsidRPr="008C1478" w:rsidRDefault="00C74039">
            <w:pPr>
              <w:framePr w:w="4400" w:h="1644" w:wrap="notBeside" w:vAnchor="page" w:hAnchor="page" w:x="6573" w:y="721"/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74039" w:rsidRPr="008C1478" w:rsidRDefault="00465049">
            <w:pPr>
              <w:framePr w:w="4400" w:h="1644" w:wrap="notBeside" w:vAnchor="page" w:hAnchor="page" w:x="6573" w:y="721"/>
            </w:pPr>
            <w:r w:rsidRPr="008C1478">
              <w:t>2007</w:t>
            </w:r>
            <w:r w:rsidR="00C74039" w:rsidRPr="008C1478">
              <w:t>-</w:t>
            </w:r>
            <w:r w:rsidRPr="008C1478">
              <w:t>05-04</w:t>
            </w:r>
          </w:p>
        </w:tc>
        <w:tc>
          <w:tcPr>
            <w:tcW w:w="2347" w:type="dxa"/>
            <w:gridSpan w:val="2"/>
          </w:tcPr>
          <w:p w:rsidR="00C74039" w:rsidRPr="008C1478" w:rsidRDefault="00C74039">
            <w:pPr>
              <w:framePr w:w="4400" w:h="1644" w:wrap="notBeside" w:vAnchor="page" w:hAnchor="page" w:x="6573" w:y="721"/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74039" w:rsidRPr="008C1478" w:rsidRDefault="00C740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C74039" w:rsidRPr="008C1478" w:rsidRDefault="00C740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4650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C1478">
              <w:rPr>
                <w:b/>
                <w:i w:val="0"/>
                <w:sz w:val="22"/>
              </w:rPr>
              <w:t>Närings</w:t>
            </w:r>
            <w:r w:rsidR="00C74039" w:rsidRPr="008C1478">
              <w:rPr>
                <w:b/>
                <w:i w:val="0"/>
                <w:sz w:val="22"/>
              </w:rPr>
              <w:t>departementet</w:t>
            </w: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C1478">
              <w:rPr>
                <w:bCs/>
                <w:iCs/>
              </w:rPr>
              <w:t>Enheten</w:t>
            </w:r>
            <w:r w:rsidR="00465049" w:rsidRPr="008C1478">
              <w:rPr>
                <w:bCs/>
                <w:iCs/>
              </w:rPr>
              <w:t xml:space="preserve"> för forskning, innovation och näringsutveckling</w:t>
            </w:r>
          </w:p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4039" w:rsidRPr="008C14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74039" w:rsidRPr="008C1478" w:rsidRDefault="00C74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74039" w:rsidRPr="008C1478" w:rsidRDefault="00C74039">
      <w:pPr>
        <w:framePr w:w="4400" w:h="2523" w:wrap="notBeside" w:vAnchor="page" w:hAnchor="page" w:x="6453" w:y="2445"/>
        <w:ind w:left="142"/>
        <w:rPr>
          <w:b/>
        </w:rPr>
      </w:pPr>
    </w:p>
    <w:p w:rsidR="00C74039" w:rsidRPr="008C1478" w:rsidRDefault="00EE390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C1478">
        <w:t xml:space="preserve">Konkurrenskraftrådets möte den 21-22 maj 2007 </w:t>
      </w:r>
    </w:p>
    <w:p w:rsidR="00EE3900" w:rsidRPr="008C1478" w:rsidRDefault="00EE3900">
      <w:pPr>
        <w:pStyle w:val="RKrubrik"/>
      </w:pPr>
      <w:r w:rsidRPr="008C1478">
        <w:t>Dagordningspunkt 13</w:t>
      </w:r>
    </w:p>
    <w:p w:rsidR="00EE3900" w:rsidRPr="008C1478" w:rsidRDefault="00EE3900" w:rsidP="00EE3900">
      <w:pPr>
        <w:pStyle w:val="RKnormal"/>
      </w:pPr>
      <w:r w:rsidRPr="008C1478">
        <w:t xml:space="preserve">Kommissionens meddelande ”Kunskapsöverföring mellan akademi och industri” samt det tyska initiativet </w:t>
      </w:r>
      <w:r w:rsidR="00230866" w:rsidRPr="008C1478">
        <w:t>”</w:t>
      </w:r>
      <w:r w:rsidRPr="008C1478">
        <w:t>IPR Charter</w:t>
      </w:r>
      <w:r w:rsidR="00230866" w:rsidRPr="008C1478">
        <w:t>” för hantering av immaterialrättsliga frågor</w:t>
      </w:r>
      <w:r w:rsidRPr="008C1478">
        <w:t>.</w:t>
      </w:r>
    </w:p>
    <w:p w:rsidR="00C74039" w:rsidRPr="008C1478" w:rsidRDefault="00C74039">
      <w:pPr>
        <w:pStyle w:val="RKrubrik"/>
      </w:pPr>
      <w:r w:rsidRPr="008C1478">
        <w:t>Dokumentbeteckning</w:t>
      </w:r>
    </w:p>
    <w:p w:rsidR="00C74039" w:rsidRPr="008C1478" w:rsidRDefault="00AA4193">
      <w:pPr>
        <w:pStyle w:val="RKnormal"/>
      </w:pPr>
      <w:r w:rsidRPr="008C1478">
        <w:t xml:space="preserve">- </w:t>
      </w:r>
      <w:r w:rsidR="00465049" w:rsidRPr="008C1478">
        <w:t xml:space="preserve">COM(2007) 182 final; Improving knowledge transfer between research institutions and industry across </w:t>
      </w:r>
      <w:smartTag w:uri="urn:schemas-microsoft-com:office:smarttags" w:element="place">
        <w:r w:rsidR="00465049" w:rsidRPr="008C1478">
          <w:t>Europe</w:t>
        </w:r>
      </w:smartTag>
      <w:r w:rsidR="00465049" w:rsidRPr="008C1478">
        <w:t>: embracing open innovation.</w:t>
      </w:r>
    </w:p>
    <w:p w:rsidR="00465049" w:rsidRPr="008C1478" w:rsidRDefault="00AA4193">
      <w:pPr>
        <w:pStyle w:val="RKnormal"/>
      </w:pPr>
      <w:r w:rsidRPr="008C1478">
        <w:t xml:space="preserve">- </w:t>
      </w:r>
      <w:r w:rsidR="00465049" w:rsidRPr="008C1478">
        <w:t xml:space="preserve">SEC(2007) 449; Voluntary guidelines for universities and other research institutions to improve their links with industry across </w:t>
      </w:r>
      <w:smartTag w:uri="urn:schemas-microsoft-com:office:smarttags" w:element="place">
        <w:r w:rsidR="00465049" w:rsidRPr="008C1478">
          <w:t>Europe</w:t>
        </w:r>
      </w:smartTag>
      <w:r w:rsidR="00465049" w:rsidRPr="008C1478">
        <w:t>.</w:t>
      </w:r>
    </w:p>
    <w:p w:rsidR="001E0319" w:rsidRPr="008C1478" w:rsidRDefault="00AA4193" w:rsidP="00AA4193">
      <w:pPr>
        <w:pStyle w:val="EntEmet"/>
        <w:numPr>
          <w:ilvl w:val="0"/>
          <w:numId w:val="0"/>
        </w:numPr>
        <w:rPr>
          <w:lang w:val="sv-SE"/>
        </w:rPr>
      </w:pPr>
      <w:r w:rsidRPr="008C1478">
        <w:rPr>
          <w:lang w:val="sv-SE"/>
        </w:rPr>
        <w:t xml:space="preserve">- </w:t>
      </w:r>
      <w:r w:rsidR="001E0319" w:rsidRPr="008C1478">
        <w:rPr>
          <w:lang w:val="sv-SE"/>
        </w:rPr>
        <w:t>8434/07; Initiative for a charter for the management of intellectual property from public research institutions and universities</w:t>
      </w:r>
    </w:p>
    <w:p w:rsidR="00C74039" w:rsidRPr="008C1478" w:rsidRDefault="00C74039">
      <w:pPr>
        <w:pStyle w:val="RKrubrik"/>
      </w:pPr>
      <w:r w:rsidRPr="008C1478">
        <w:t>Sammanfattning</w:t>
      </w:r>
    </w:p>
    <w:p w:rsidR="00AA4193" w:rsidRPr="008C1478" w:rsidRDefault="00465049" w:rsidP="00AA4193">
      <w:pPr>
        <w:pStyle w:val="RKnormal"/>
      </w:pPr>
      <w:r w:rsidRPr="008C1478">
        <w:t>En stark kunskapsbas är en av Europas trad</w:t>
      </w:r>
      <w:r w:rsidR="008D3D74" w:rsidRPr="008C1478">
        <w:t xml:space="preserve">itionellt starkaste tillgångar och </w:t>
      </w:r>
      <w:r w:rsidRPr="008C1478">
        <w:t xml:space="preserve">har bidragit till att Europa har världsklass-forskning inom flera områden. Samtidigt utmanas nu Europa av det ändrade forskningslandskapet liksom betydelsen av globalisering av marknader och industrier. I kommissionen innovationsstrategi underströks betydelsen av kunskapsöverföring och teknikspridning mellan bland annat universitet och högskolor och industrin. </w:t>
      </w:r>
      <w:r w:rsidR="00B539B6" w:rsidRPr="008C1478">
        <w:t>Här</w:t>
      </w:r>
      <w:r w:rsidRPr="008C1478">
        <w:t xml:space="preserve"> presenteras ett antal idéer om hur detta kan förbättras.</w:t>
      </w:r>
      <w:r w:rsidR="00B539B6" w:rsidRPr="008C1478">
        <w:t xml:space="preserve"> S</w:t>
      </w:r>
      <w:r w:rsidR="00AA4193" w:rsidRPr="008C1478">
        <w:t>yfte</w:t>
      </w:r>
      <w:r w:rsidR="00B539B6" w:rsidRPr="008C1478">
        <w:t>t</w:t>
      </w:r>
      <w:r w:rsidR="00AA4193" w:rsidRPr="008C1478">
        <w:t xml:space="preserve"> är att få Europas investeringar inom forskning och utveckling att starkare bidra </w:t>
      </w:r>
      <w:r w:rsidR="008D3D74" w:rsidRPr="008C1478">
        <w:t xml:space="preserve">ökad europeisk konkurrenskraft och </w:t>
      </w:r>
      <w:r w:rsidR="00AA4193" w:rsidRPr="008C1478">
        <w:t>tillväxt i näringsliv.</w:t>
      </w: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rubrik"/>
        <w:rPr>
          <w:u w:val="single"/>
        </w:rPr>
      </w:pPr>
      <w:r w:rsidRPr="008C1478">
        <w:rPr>
          <w:u w:val="single"/>
        </w:rPr>
        <w:lastRenderedPageBreak/>
        <w:t>I Förslaget</w:t>
      </w:r>
    </w:p>
    <w:p w:rsidR="00C74039" w:rsidRPr="008C1478" w:rsidRDefault="00C74039">
      <w:pPr>
        <w:pStyle w:val="RKrubrik"/>
      </w:pPr>
      <w:r w:rsidRPr="008C1478">
        <w:t>1. Innehåll</w:t>
      </w:r>
    </w:p>
    <w:p w:rsidR="00FF3A6B" w:rsidRPr="008C1478" w:rsidRDefault="00FF3A6B" w:rsidP="00FF3A6B">
      <w:pPr>
        <w:pStyle w:val="Rubrik3"/>
      </w:pPr>
      <w:r w:rsidRPr="008C1478">
        <w:t>Kunskapsöverföring</w:t>
      </w:r>
    </w:p>
    <w:p w:rsidR="00FF3A6B" w:rsidRPr="008C1478" w:rsidRDefault="0072267A">
      <w:pPr>
        <w:pStyle w:val="RKnormal"/>
      </w:pPr>
      <w:r w:rsidRPr="008C1478">
        <w:t>I k</w:t>
      </w:r>
      <w:r w:rsidR="00121915" w:rsidRPr="008C1478">
        <w:t>ommissionens meddelande om kunskapsöverföring</w:t>
      </w:r>
      <w:r w:rsidR="002D5A54" w:rsidRPr="008C1478">
        <w:t xml:space="preserve"> (Knowledge Transfer – KT)</w:t>
      </w:r>
      <w:r w:rsidR="00121915" w:rsidRPr="008C1478">
        <w:t xml:space="preserve"> p</w:t>
      </w:r>
      <w:r w:rsidRPr="008C1478">
        <w:t>resenteras</w:t>
      </w:r>
      <w:r w:rsidR="00121915" w:rsidRPr="008C1478">
        <w:t xml:space="preserve"> ett antal idéer om hur offentlig forskning</w:t>
      </w:r>
      <w:r w:rsidR="002D5A54" w:rsidRPr="008C1478">
        <w:t xml:space="preserve"> vid universitet, högskolor och institut (UoHoI)</w:t>
      </w:r>
      <w:r w:rsidR="00121915" w:rsidRPr="008C1478">
        <w:t xml:space="preserve"> i större utsträckning </w:t>
      </w:r>
      <w:r w:rsidR="00FF3A6B" w:rsidRPr="008C1478">
        <w:t>kommer näringsliv och samhälle till del</w:t>
      </w:r>
      <w:r w:rsidR="006C7E3C" w:rsidRPr="008C1478">
        <w:t xml:space="preserve"> och bidrar till stärkt konkurrenskraft och ökad tillväxt i Europa</w:t>
      </w:r>
      <w:r w:rsidR="00FF3A6B" w:rsidRPr="008C1478">
        <w:t xml:space="preserve">. </w:t>
      </w:r>
    </w:p>
    <w:p w:rsidR="00284E30" w:rsidRPr="008C1478" w:rsidRDefault="00284E30">
      <w:pPr>
        <w:pStyle w:val="RKnormal"/>
      </w:pPr>
    </w:p>
    <w:p w:rsidR="00F56CA4" w:rsidRPr="008C1478" w:rsidRDefault="00FF3A6B">
      <w:pPr>
        <w:pStyle w:val="RKnormal"/>
      </w:pPr>
      <w:r w:rsidRPr="008C1478">
        <w:t xml:space="preserve">Förslag </w:t>
      </w:r>
      <w:r w:rsidR="0072267A" w:rsidRPr="008C1478">
        <w:t>ges</w:t>
      </w:r>
      <w:r w:rsidRPr="008C1478">
        <w:t xml:space="preserve"> till hur industri och akademi kan arbeta tillsammans mot en kunskapsekonomi, där </w:t>
      </w:r>
      <w:r w:rsidR="002D5A54" w:rsidRPr="008C1478">
        <w:t>KT</w:t>
      </w:r>
      <w:r w:rsidRPr="008C1478">
        <w:t xml:space="preserve"> är fundamental. Ett centralt begrepp i detta är ”öppen innovation” (</w:t>
      </w:r>
      <w:r w:rsidR="00B539B6" w:rsidRPr="008C1478">
        <w:t>O</w:t>
      </w:r>
      <w:r w:rsidRPr="008C1478">
        <w:t xml:space="preserve">pen </w:t>
      </w:r>
      <w:r w:rsidR="00B539B6" w:rsidRPr="008C1478">
        <w:t>I</w:t>
      </w:r>
      <w:r w:rsidRPr="008C1478">
        <w:t>nnovation), där industri kombinerar egen FoU med extern för att öka sin konkurrenskraft</w:t>
      </w:r>
      <w:r w:rsidR="00B539B6" w:rsidRPr="008C1478">
        <w:t>,</w:t>
      </w:r>
      <w:r w:rsidRPr="008C1478">
        <w:t xml:space="preserve"> och där offentlig forskning ses som en strategisk resurs.</w:t>
      </w:r>
      <w:r w:rsidR="0072267A" w:rsidRPr="008C1478">
        <w:t xml:space="preserve"> </w:t>
      </w:r>
    </w:p>
    <w:p w:rsidR="00284E30" w:rsidRPr="008C1478" w:rsidRDefault="00284E30">
      <w:pPr>
        <w:pStyle w:val="RKnormal"/>
      </w:pPr>
    </w:p>
    <w:p w:rsidR="00C74039" w:rsidRPr="008C1478" w:rsidRDefault="0072267A">
      <w:pPr>
        <w:pStyle w:val="RKnormal"/>
      </w:pPr>
      <w:r w:rsidRPr="008C1478">
        <w:t xml:space="preserve">Man vill skapa gynnsamma förutsättningar för framgångsrik </w:t>
      </w:r>
      <w:r w:rsidR="002D5A54" w:rsidRPr="008C1478">
        <w:t>KT</w:t>
      </w:r>
      <w:r w:rsidR="000D115D" w:rsidRPr="008C1478">
        <w:t>, d</w:t>
      </w:r>
      <w:r w:rsidRPr="008C1478">
        <w:t xml:space="preserve">els genom att fokusera på </w:t>
      </w:r>
      <w:r w:rsidR="002D5A54" w:rsidRPr="008C1478">
        <w:t>den breda kompetens personal vid KT-enheter vid UoHoI behöver besitta, där t.ex. UK:s arbete med ackreditering nämns, samt genom att ge UoHoI tillräcklig autonomi för rekryteringen av KT-personal. Det föreslås även att göra befintliga resurser med tillgängliga, bl</w:t>
      </w:r>
      <w:r w:rsidR="00B539B6" w:rsidRPr="008C1478">
        <w:t>.</w:t>
      </w:r>
      <w:r w:rsidR="002D5A54" w:rsidRPr="008C1478">
        <w:t xml:space="preserve"> a</w:t>
      </w:r>
      <w:r w:rsidR="00B539B6" w:rsidRPr="008C1478">
        <w:t>.</w:t>
      </w:r>
      <w:r w:rsidR="002D5A54" w:rsidRPr="008C1478">
        <w:t xml:space="preserve"> genom samverkan mellan KT-personal vid olika institutioner (pooler) samt genom </w:t>
      </w:r>
      <w:r w:rsidR="00F56CA4" w:rsidRPr="008C1478">
        <w:t xml:space="preserve">patentsamverkan (patentpooler), där institutioner genensamt </w:t>
      </w:r>
      <w:r w:rsidR="00B539B6" w:rsidRPr="008C1478">
        <w:t>får lättare att nå kritisk</w:t>
      </w:r>
      <w:r w:rsidR="00F56CA4" w:rsidRPr="008C1478">
        <w:t xml:space="preserve"> massa av patent, som bas för innovation till privat sektor.</w:t>
      </w:r>
    </w:p>
    <w:p w:rsidR="00284E30" w:rsidRPr="008C1478" w:rsidRDefault="00284E30">
      <w:pPr>
        <w:pStyle w:val="RKnormal"/>
      </w:pPr>
    </w:p>
    <w:p w:rsidR="00F56CA4" w:rsidRPr="008C1478" w:rsidRDefault="00F56CA4">
      <w:pPr>
        <w:pStyle w:val="RKnormal"/>
      </w:pPr>
      <w:r w:rsidRPr="008C1478">
        <w:t xml:space="preserve">Man vill även verka för att stärka </w:t>
      </w:r>
      <w:r w:rsidR="005F6A9F" w:rsidRPr="008C1478">
        <w:t>d</w:t>
      </w:r>
      <w:r w:rsidRPr="008C1478">
        <w:t>en entreprenörsmässig</w:t>
      </w:r>
      <w:r w:rsidR="005F6A9F" w:rsidRPr="008C1478">
        <w:t>a</w:t>
      </w:r>
      <w:r w:rsidRPr="008C1478">
        <w:t xml:space="preserve"> mentalitet</w:t>
      </w:r>
      <w:r w:rsidR="005F6A9F" w:rsidRPr="008C1478">
        <w:t>en</w:t>
      </w:r>
      <w:r w:rsidRPr="008C1478">
        <w:t xml:space="preserve">. Som viktiga faktorer till detta nämns </w:t>
      </w:r>
      <w:r w:rsidR="000018EE" w:rsidRPr="008C1478">
        <w:t xml:space="preserve">stöd för </w:t>
      </w:r>
      <w:r w:rsidRPr="008C1478">
        <w:t xml:space="preserve">hanterandet av </w:t>
      </w:r>
      <w:r w:rsidR="000018EE" w:rsidRPr="008C1478">
        <w:t>publicering kontra patentering av forskningsresultat, ägande och utnyttjande av patent</w:t>
      </w:r>
      <w:r w:rsidR="005F6A9F" w:rsidRPr="008C1478">
        <w:t>, mobilitet av personal mellan UoHoI och industri, samt vikten av att höja meritvärdet för aktiviteter kopplade till kunskapsöverföring i en akademisk karriär.</w:t>
      </w:r>
    </w:p>
    <w:p w:rsidR="00284E30" w:rsidRPr="008C1478" w:rsidRDefault="00284E30">
      <w:pPr>
        <w:pStyle w:val="RKnormal"/>
      </w:pPr>
    </w:p>
    <w:p w:rsidR="00F20D34" w:rsidRPr="008C1478" w:rsidRDefault="00F32F9E">
      <w:pPr>
        <w:pStyle w:val="RKnormal"/>
      </w:pPr>
      <w:r w:rsidRPr="008C1478">
        <w:t>För att förverkliga idéerna krävs samverkan på medlemsstatsnivå och EU-nivå.</w:t>
      </w:r>
      <w:r w:rsidR="00F20D34" w:rsidRPr="008C1478">
        <w:t xml:space="preserve"> Det föreslagna EIT, European Institute of Technology, nämns som exempel på instans där KT-aktiviteter kommer att vara centrala. </w:t>
      </w:r>
    </w:p>
    <w:p w:rsidR="00F32F9E" w:rsidRPr="008C1478" w:rsidRDefault="00F20D34">
      <w:pPr>
        <w:pStyle w:val="RKnormal"/>
      </w:pPr>
      <w:r w:rsidRPr="008C1478">
        <w:t>Man tar även upp vikten av satsningar för att stimulera interaktioner mellan UoHoI och små och medelstora företag, SMF, samt att ha jämförbara indikatorer på in</w:t>
      </w:r>
      <w:r w:rsidR="00B539B6" w:rsidRPr="008C1478">
        <w:t>novationsrelaterade aktiviteter</w:t>
      </w:r>
      <w:r w:rsidRPr="008C1478">
        <w:t xml:space="preserve"> för att </w:t>
      </w:r>
      <w:r w:rsidR="00B539B6" w:rsidRPr="008C1478">
        <w:t xml:space="preserve">kunna </w:t>
      </w:r>
      <w:r w:rsidRPr="008C1478">
        <w:t>spåra effekter av insatser.</w:t>
      </w:r>
    </w:p>
    <w:p w:rsidR="00284E30" w:rsidRPr="008C1478" w:rsidRDefault="00284E30">
      <w:pPr>
        <w:pStyle w:val="RKnormal"/>
      </w:pPr>
    </w:p>
    <w:p w:rsidR="00B03F56" w:rsidRPr="008C1478" w:rsidRDefault="00B03F56">
      <w:pPr>
        <w:pStyle w:val="RKnormal"/>
      </w:pPr>
      <w:r w:rsidRPr="008C1478">
        <w:t>Vad gäller finansiellt stöd, föreslås fullkostnadsredovisningssystem för UoHoI, där så redan inte görs, för att undvika ev. konflikter med statsstödsregler. Finansieringsmässigt tas EU:s strukturfonder, ramprogrammet för forskning, utveckling och demonstration (FP7) samt ramprogrammet för konkurrenskraft och innovation (CIP) upp</w:t>
      </w:r>
      <w:r w:rsidR="00196BDC" w:rsidRPr="008C1478">
        <w:t xml:space="preserve"> som medel </w:t>
      </w:r>
      <w:r w:rsidR="00B539B6" w:rsidRPr="008C1478">
        <w:t>som kan användas i</w:t>
      </w:r>
      <w:r w:rsidR="00196BDC" w:rsidRPr="008C1478">
        <w:t xml:space="preserve"> stärka</w:t>
      </w:r>
      <w:r w:rsidR="00B539B6" w:rsidRPr="008C1478">
        <w:t>ndet av</w:t>
      </w:r>
      <w:r w:rsidR="00196BDC" w:rsidRPr="008C1478">
        <w:t xml:space="preserve"> KT</w:t>
      </w:r>
      <w:r w:rsidRPr="008C1478">
        <w:t>.</w:t>
      </w:r>
    </w:p>
    <w:p w:rsidR="00284E30" w:rsidRPr="008C1478" w:rsidRDefault="00284E30">
      <w:pPr>
        <w:pStyle w:val="RKnormal"/>
      </w:pPr>
    </w:p>
    <w:p w:rsidR="003C7495" w:rsidRPr="008C1478" w:rsidRDefault="00AC1B96">
      <w:pPr>
        <w:pStyle w:val="RKnormal"/>
      </w:pPr>
      <w:r w:rsidRPr="008C1478">
        <w:t xml:space="preserve">I </w:t>
      </w:r>
      <w:r w:rsidR="003C7495" w:rsidRPr="008C1478">
        <w:t>bilaga</w:t>
      </w:r>
      <w:r w:rsidRPr="008C1478">
        <w:t xml:space="preserve"> </w:t>
      </w:r>
      <w:r w:rsidR="00A77286" w:rsidRPr="008C1478">
        <w:t>SEC(2007) 449</w:t>
      </w:r>
      <w:r w:rsidR="003C7495" w:rsidRPr="008C1478">
        <w:t xml:space="preserve"> </w:t>
      </w:r>
      <w:r w:rsidRPr="008C1478">
        <w:t xml:space="preserve">presenterar KOM </w:t>
      </w:r>
      <w:r w:rsidR="003C7495" w:rsidRPr="008C1478">
        <w:t xml:space="preserve"> riktlinjer till UoHoI som kan användas för stöd vid utvecklande av </w:t>
      </w:r>
      <w:r w:rsidR="003B2F36" w:rsidRPr="008C1478">
        <w:t xml:space="preserve">system för </w:t>
      </w:r>
      <w:r w:rsidR="003C7495" w:rsidRPr="008C1478">
        <w:t>kunskapsöverföring.</w:t>
      </w:r>
      <w:r w:rsidR="00B539B6" w:rsidRPr="008C1478">
        <w:t xml:space="preserve"> Dessa är frivilliga att följa.</w:t>
      </w:r>
    </w:p>
    <w:p w:rsidR="00F20D34" w:rsidRPr="008C1478" w:rsidRDefault="00F20D34">
      <w:pPr>
        <w:pStyle w:val="RKnormal"/>
      </w:pPr>
    </w:p>
    <w:p w:rsidR="00AC1B96" w:rsidRPr="008C1478" w:rsidRDefault="00AC1B96" w:rsidP="00AC1B96">
      <w:pPr>
        <w:pStyle w:val="Rubrik3"/>
      </w:pPr>
      <w:r w:rsidRPr="008C1478">
        <w:t>IPR Charter</w:t>
      </w:r>
    </w:p>
    <w:p w:rsidR="00284E30" w:rsidRPr="008C1478" w:rsidRDefault="00284E30" w:rsidP="00284E30">
      <w:pPr>
        <w:pStyle w:val="RKnormal"/>
      </w:pPr>
      <w:r w:rsidRPr="008C1478">
        <w:t xml:space="preserve">Det tyska ordförandeskapet lade till det informella ministerrådet i Würzburg fram ett Key Issues Paper med förslag att det upprättas en ”Charter” för hantering av immaterialrättsliga </w:t>
      </w:r>
      <w:r w:rsidR="00074599" w:rsidRPr="008C1478">
        <w:t>frågor v</w:t>
      </w:r>
      <w:r w:rsidRPr="008C1478">
        <w:t>i</w:t>
      </w:r>
      <w:r w:rsidR="00074599" w:rsidRPr="008C1478">
        <w:t>d</w:t>
      </w:r>
      <w:r w:rsidRPr="008C1478">
        <w:t xml:space="preserve"> forskningssamarbete. </w:t>
      </w:r>
      <w:r w:rsidR="00074599" w:rsidRPr="008C1478">
        <w:t xml:space="preserve">Denna charter skall vara en rekommendation, dvs. inte bindande till sin karaktär, och rikta sig till såväl medlemsstaterna som universitet och deras samarbetspartners. </w:t>
      </w:r>
      <w:r w:rsidRPr="008C1478">
        <w:t xml:space="preserve">Bakgrunden är den betydelse som Europeiska rådet har tillmätt de immaterialrättsliga frågorna samtidigt som </w:t>
      </w:r>
      <w:r w:rsidR="00074599" w:rsidRPr="008C1478">
        <w:t xml:space="preserve"> det saknas ett inom EU framtaget regelverk för hantering av immateriella rättigheter vid statliga forskningsinstitutioner och universitet</w:t>
      </w:r>
      <w:r w:rsidRPr="008C1478">
        <w:t xml:space="preserve">Ordförandeskapet menar att det </w:t>
      </w:r>
      <w:r w:rsidR="00074599" w:rsidRPr="008C1478">
        <w:t xml:space="preserve">finns flera </w:t>
      </w:r>
      <w:r w:rsidRPr="008C1478">
        <w:t xml:space="preserve"> aspekter som en Charter bör adressera:</w:t>
      </w:r>
    </w:p>
    <w:p w:rsidR="00284E30" w:rsidRPr="008C1478" w:rsidRDefault="00284E30" w:rsidP="00284E30">
      <w:pPr>
        <w:pStyle w:val="RKnormal"/>
        <w:numPr>
          <w:ilvl w:val="0"/>
          <w:numId w:val="2"/>
        </w:numPr>
      </w:pPr>
      <w:r w:rsidRPr="008C1478">
        <w:t>Bristande kunskap om möjligheter till kommersialisering</w:t>
      </w:r>
    </w:p>
    <w:p w:rsidR="00284E30" w:rsidRPr="008C1478" w:rsidRDefault="00284E30" w:rsidP="00284E30">
      <w:pPr>
        <w:pStyle w:val="RKnormal"/>
        <w:numPr>
          <w:ilvl w:val="0"/>
          <w:numId w:val="2"/>
        </w:numPr>
      </w:pPr>
      <w:r w:rsidRPr="008C1478">
        <w:t xml:space="preserve">Olika traditioner vad gäller </w:t>
      </w:r>
      <w:r w:rsidR="00074599" w:rsidRPr="008C1478">
        <w:t xml:space="preserve">immateriella rättigheter </w:t>
      </w:r>
      <w:r w:rsidRPr="008C1478">
        <w:t>inom akademi och näringsliv</w:t>
      </w:r>
    </w:p>
    <w:p w:rsidR="00284E30" w:rsidRPr="008C1478" w:rsidRDefault="00284E30" w:rsidP="00284E30">
      <w:pPr>
        <w:pStyle w:val="RKnormal"/>
        <w:numPr>
          <w:ilvl w:val="0"/>
          <w:numId w:val="2"/>
        </w:numPr>
      </w:pPr>
      <w:r w:rsidRPr="008C1478">
        <w:t>Låg investering från den privata sektorn i FoU</w:t>
      </w:r>
    </w:p>
    <w:p w:rsidR="00284E30" w:rsidRPr="008C1478" w:rsidRDefault="00284E30" w:rsidP="00284E30">
      <w:pPr>
        <w:pStyle w:val="RKnormal"/>
        <w:numPr>
          <w:ilvl w:val="0"/>
          <w:numId w:val="2"/>
        </w:numPr>
      </w:pPr>
      <w:r w:rsidRPr="008C1478">
        <w:t>Otillräckligt utnyttjande av FoU för att stärka industrins konkurrenskraft</w:t>
      </w:r>
    </w:p>
    <w:p w:rsidR="00284E30" w:rsidRPr="008C1478" w:rsidRDefault="00284E30" w:rsidP="00284E30">
      <w:pPr>
        <w:pStyle w:val="RKnormal"/>
      </w:pPr>
    </w:p>
    <w:p w:rsidR="00284E30" w:rsidRPr="008C1478" w:rsidRDefault="00284E30" w:rsidP="00284E30">
      <w:pPr>
        <w:pStyle w:val="RKnormal"/>
      </w:pPr>
      <w:r w:rsidRPr="008C1478">
        <w:t xml:space="preserve">Ordförandeskapet föreslår att ett antal principer för hantering av </w:t>
      </w:r>
      <w:r w:rsidR="00074599" w:rsidRPr="008C1478">
        <w:t xml:space="preserve">immateriella rättigheter </w:t>
      </w:r>
      <w:r w:rsidRPr="008C1478">
        <w:t xml:space="preserve">läggs fast. Dessa avser internationellt forskningssamarbete samt en uppförandekod som skall gälla </w:t>
      </w:r>
      <w:r w:rsidR="00074599" w:rsidRPr="008C1478">
        <w:t xml:space="preserve">vid </w:t>
      </w:r>
      <w:r w:rsidRPr="008C1478">
        <w:t xml:space="preserve">med industrin gemensamma forskningsprogram, uppdragsforskning samt </w:t>
      </w:r>
      <w:r w:rsidR="00074599" w:rsidRPr="008C1478">
        <w:t xml:space="preserve">statlig finansierad </w:t>
      </w:r>
      <w:r w:rsidRPr="008C1478">
        <w:t>forskning</w:t>
      </w:r>
      <w:r w:rsidR="00074599" w:rsidRPr="008C1478">
        <w:t>. (Anm. Se tredje strecksatsen s. 3)</w:t>
      </w:r>
      <w:r w:rsidRPr="008C1478">
        <w:t xml:space="preserve"> </w:t>
      </w:r>
    </w:p>
    <w:p w:rsidR="00AF4D03" w:rsidRPr="008C1478" w:rsidRDefault="00284E30" w:rsidP="00284E30">
      <w:pPr>
        <w:pStyle w:val="RKnormal"/>
      </w:pPr>
      <w:r w:rsidRPr="008C1478">
        <w:t xml:space="preserve">Avslutningsvis föreslår ordförandeskapet att kommissionen inrättar en rådgivande funktion för </w:t>
      </w:r>
      <w:r w:rsidR="00074599" w:rsidRPr="008C1478">
        <w:t xml:space="preserve">immaterialrättsliga </w:t>
      </w:r>
      <w:r w:rsidRPr="008C1478">
        <w:t>frågor och pekar ut Joint Research Centre som en möjlig hemvist för en sådan aktivitet.</w:t>
      </w:r>
    </w:p>
    <w:p w:rsidR="00AF4D03" w:rsidRPr="008C1478" w:rsidRDefault="00AF4D03" w:rsidP="00284E30">
      <w:pPr>
        <w:pStyle w:val="RKnormal"/>
      </w:pPr>
      <w:r w:rsidRPr="008C1478">
        <w:t>Chartern kommer att bli frivillig att följa.</w:t>
      </w:r>
    </w:p>
    <w:p w:rsidR="00C74039" w:rsidRPr="008C1478" w:rsidRDefault="00C74039">
      <w:pPr>
        <w:pStyle w:val="RKrubrik"/>
      </w:pPr>
      <w:r w:rsidRPr="008C1478">
        <w:t>2. Gällande svenska regler och förslagets effekt på dessa</w:t>
      </w:r>
    </w:p>
    <w:p w:rsidR="007313E2" w:rsidRPr="008C1478" w:rsidRDefault="007313E2">
      <w:pPr>
        <w:pStyle w:val="RKnormal"/>
      </w:pPr>
      <w:r w:rsidRPr="008C1478">
        <w:t xml:space="preserve">I meddelandet om kunskapsöverföring nämns att man i framtiden ev. avser att ta upp frågan om </w:t>
      </w:r>
      <w:r w:rsidR="00401450" w:rsidRPr="008C1478">
        <w:t xml:space="preserve">vem som skall anses vara rättighetshavare </w:t>
      </w:r>
      <w:r w:rsidR="00AF10C5" w:rsidRPr="008C1478">
        <w:t>vad gäller uppfinningar som gjorts i tjänsten</w:t>
      </w:r>
      <w:r w:rsidRPr="008C1478">
        <w:t xml:space="preserve">, </w:t>
      </w:r>
      <w:r w:rsidR="00401450" w:rsidRPr="008C1478">
        <w:t xml:space="preserve">det s.k. </w:t>
      </w:r>
      <w:r w:rsidRPr="008C1478">
        <w:t>lärarundantag</w:t>
      </w:r>
      <w:r w:rsidR="00401450" w:rsidRPr="008C1478">
        <w:t>et</w:t>
      </w:r>
      <w:r w:rsidRPr="008C1478">
        <w:t xml:space="preserve">. I dagsläget är denna fråga dock inte inkluderad i meddelandet. </w:t>
      </w:r>
    </w:p>
    <w:p w:rsidR="00C74039" w:rsidRPr="008C1478" w:rsidRDefault="007313E2">
      <w:pPr>
        <w:pStyle w:val="RKnormal"/>
      </w:pPr>
      <w:r w:rsidRPr="008C1478">
        <w:t>IPR Chartern är frivillig</w:t>
      </w:r>
      <w:r w:rsidR="00074599" w:rsidRPr="008C1478">
        <w:t xml:space="preserve">, vilket </w:t>
      </w:r>
      <w:r w:rsidR="00B64D5C" w:rsidRPr="008C1478">
        <w:t xml:space="preserve">medger skillnader i medlemsstaternas lagstiftning. </w:t>
      </w:r>
    </w:p>
    <w:p w:rsidR="00C74039" w:rsidRPr="008C1478" w:rsidRDefault="00C74039">
      <w:pPr>
        <w:pStyle w:val="RKrubrik"/>
      </w:pPr>
      <w:r w:rsidRPr="008C1478">
        <w:t xml:space="preserve">3. Budgetära konsekvenser </w:t>
      </w: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rubrik"/>
        <w:rPr>
          <w:u w:val="single"/>
        </w:rPr>
      </w:pPr>
      <w:r w:rsidRPr="008C1478">
        <w:rPr>
          <w:u w:val="single"/>
        </w:rPr>
        <w:t>II Ståndpunkter</w:t>
      </w:r>
    </w:p>
    <w:p w:rsidR="00C74039" w:rsidRPr="008C1478" w:rsidRDefault="00C74039">
      <w:pPr>
        <w:pStyle w:val="RKrubrik"/>
      </w:pPr>
      <w:r w:rsidRPr="008C1478">
        <w:t xml:space="preserve">1. Svensk ståndpunkt </w:t>
      </w:r>
    </w:p>
    <w:p w:rsidR="00230866" w:rsidRPr="008C1478" w:rsidRDefault="00465049" w:rsidP="00465049">
      <w:pPr>
        <w:pStyle w:val="RKnormal"/>
      </w:pPr>
      <w:r w:rsidRPr="008C1478">
        <w:t xml:space="preserve">Sverige ställer sig bakom huvuddragen i </w:t>
      </w:r>
      <w:r w:rsidR="00CD6E89" w:rsidRPr="008C1478">
        <w:t>förslagen inom kunskapsöverföring</w:t>
      </w:r>
      <w:r w:rsidRPr="008C1478">
        <w:t xml:space="preserve">. Att förbättra kunskapsöverföringen mellan </w:t>
      </w:r>
      <w:r w:rsidR="008139B7" w:rsidRPr="008C1478">
        <w:t xml:space="preserve">akademi </w:t>
      </w:r>
      <w:r w:rsidRPr="008C1478">
        <w:t xml:space="preserve">och industri ligger i linje med svensk inriktning och Sverige arbetar </w:t>
      </w:r>
      <w:r w:rsidR="00CD6E89" w:rsidRPr="008C1478">
        <w:t xml:space="preserve">nationellt </w:t>
      </w:r>
      <w:r w:rsidRPr="008C1478">
        <w:t xml:space="preserve">redan aktivt med olika satsningar inom detta område. </w:t>
      </w:r>
      <w:r w:rsidR="00230866" w:rsidRPr="008C1478">
        <w:t xml:space="preserve">Sverige har dessutom verkat aktivt för att kunskapsöverföring har blivit mer framträdande i det 7:e ramprogrammet för forskning och utveckling, och ser positivt på ett ytterligare större europeiskt fokus inom området. </w:t>
      </w:r>
    </w:p>
    <w:p w:rsidR="00230866" w:rsidRPr="008C1478" w:rsidRDefault="00230866" w:rsidP="00465049">
      <w:pPr>
        <w:pStyle w:val="RKnormal"/>
      </w:pPr>
    </w:p>
    <w:p w:rsidR="00465049" w:rsidRPr="008C1478" w:rsidRDefault="008139B7" w:rsidP="00465049">
      <w:pPr>
        <w:pStyle w:val="RKnormal"/>
      </w:pPr>
      <w:r w:rsidRPr="008C1478">
        <w:t xml:space="preserve">Riktlinjerna till UoHoI </w:t>
      </w:r>
      <w:r w:rsidR="00B539B6" w:rsidRPr="008C1478">
        <w:t xml:space="preserve">om kunskapsöverföring </w:t>
      </w:r>
      <w:r w:rsidRPr="008C1478">
        <w:t>kan vara värdefulla i upprättandet av fungerande system</w:t>
      </w:r>
      <w:r w:rsidR="00B539B6" w:rsidRPr="008C1478">
        <w:t>,</w:t>
      </w:r>
      <w:r w:rsidRPr="008C1478">
        <w:t xml:space="preserve"> samtidigt som frivilligheten ger viktigt spelrum.</w:t>
      </w:r>
    </w:p>
    <w:p w:rsidR="00230866" w:rsidRPr="008C1478" w:rsidRDefault="00230866" w:rsidP="00465049">
      <w:pPr>
        <w:pStyle w:val="RKnormal"/>
      </w:pPr>
    </w:p>
    <w:p w:rsidR="004D1F91" w:rsidRPr="008C1478" w:rsidRDefault="00CD6E89" w:rsidP="004D1F91">
      <w:pPr>
        <w:pStyle w:val="RKnormal"/>
      </w:pPr>
      <w:r w:rsidRPr="008C1478">
        <w:t xml:space="preserve">Vad gäller IPR Charter </w:t>
      </w:r>
      <w:r w:rsidR="008139B7" w:rsidRPr="008C1478">
        <w:t>instämmer Sverige i vikten av att hantera immaterialrättsliga frågor på ett professionellt sätt. Förslagen kan underlätta såväl internationellt samarbete som samverkan mellan industri och akademi.</w:t>
      </w:r>
      <w:r w:rsidR="00230866" w:rsidRPr="008C1478">
        <w:t xml:space="preserve"> </w:t>
      </w:r>
      <w:r w:rsidR="00F61DCE" w:rsidRPr="008C1478">
        <w:t xml:space="preserve">Det immaterialrättsliga området är inte helt harmoniserat inom EU, t.ex. finns olika syn på vem som skall anses vara rättighetshavare när en uppfinning gjorts i tjänsten. En förutsättning för vårt positiva ställningstagande är därför att </w:t>
      </w:r>
      <w:r w:rsidR="00230866" w:rsidRPr="008C1478">
        <w:t xml:space="preserve"> Chartern är </w:t>
      </w:r>
      <w:r w:rsidR="00F61DCE" w:rsidRPr="008C1478">
        <w:t xml:space="preserve">frivillig. </w:t>
      </w:r>
    </w:p>
    <w:p w:rsidR="00C74039" w:rsidRPr="008C1478" w:rsidRDefault="00C74039">
      <w:pPr>
        <w:pStyle w:val="RKrubrik"/>
      </w:pPr>
      <w:r w:rsidRPr="008C1478">
        <w:t>2. Remissinstansernas ståndpunkter</w:t>
      </w:r>
    </w:p>
    <w:p w:rsidR="00AF4D03" w:rsidRPr="008C1478" w:rsidRDefault="00AF4D03" w:rsidP="00AF4D03">
      <w:r w:rsidRPr="008C1478">
        <w:t>Materialet har ej remitterats.</w:t>
      </w: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rubrik"/>
      </w:pPr>
      <w:r w:rsidRPr="008C1478">
        <w:t>III Övrigt</w:t>
      </w:r>
    </w:p>
    <w:p w:rsidR="00C74039" w:rsidRPr="008C1478" w:rsidRDefault="00C74039">
      <w:pPr>
        <w:pStyle w:val="RKrubrik"/>
      </w:pPr>
      <w:r w:rsidRPr="008C1478">
        <w:t>1. Fortsatt behandling av ärendet</w:t>
      </w:r>
    </w:p>
    <w:p w:rsidR="00C74039" w:rsidRPr="008C1478" w:rsidRDefault="00CD6E89">
      <w:pPr>
        <w:pStyle w:val="RKnormal"/>
      </w:pPr>
      <w:r w:rsidRPr="008C1478">
        <w:t>En positiv respons från MS indikerar för KOM forstsätta att arbeta med förslagen.</w:t>
      </w:r>
    </w:p>
    <w:p w:rsidR="00C74039" w:rsidRPr="008C1478" w:rsidRDefault="00C74039">
      <w:pPr>
        <w:pStyle w:val="RKrubrik"/>
      </w:pPr>
      <w:r w:rsidRPr="008C1478">
        <w:t>2. Rättslig grund och beslutsförfarande</w:t>
      </w: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rubrik"/>
      </w:pPr>
      <w:r w:rsidRPr="008C1478">
        <w:t>3. Fackuttryck/termer</w:t>
      </w: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rubrik"/>
        <w:spacing w:before="0" w:after="0"/>
      </w:pPr>
    </w:p>
    <w:p w:rsidR="00C74039" w:rsidRPr="008C1478" w:rsidRDefault="00C74039">
      <w:pPr>
        <w:pStyle w:val="RKnormal"/>
      </w:pPr>
    </w:p>
    <w:p w:rsidR="00C74039" w:rsidRPr="008C1478" w:rsidRDefault="00C74039">
      <w:pPr>
        <w:pStyle w:val="RKnormal"/>
      </w:pPr>
    </w:p>
    <w:sectPr w:rsidR="00C74039" w:rsidRPr="008C147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193" w:rsidRPr="008C1478" w:rsidRDefault="00D37193">
      <w:r w:rsidRPr="008C1478">
        <w:separator/>
      </w:r>
    </w:p>
  </w:endnote>
  <w:endnote w:type="continuationSeparator" w:id="0">
    <w:p w:rsidR="00D37193" w:rsidRPr="008C1478" w:rsidRDefault="00D37193">
      <w:r w:rsidRPr="008C14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193" w:rsidRPr="008C1478" w:rsidRDefault="00D37193">
      <w:r w:rsidRPr="008C1478">
        <w:separator/>
      </w:r>
    </w:p>
  </w:footnote>
  <w:footnote w:type="continuationSeparator" w:id="0">
    <w:p w:rsidR="00D37193" w:rsidRPr="008C1478" w:rsidRDefault="00D37193">
      <w:r w:rsidRPr="008C14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450" w:rsidRPr="008C1478" w:rsidRDefault="00401450">
    <w:pPr>
      <w:pStyle w:val="Sidhuvud"/>
      <w:framePr w:wrap="around" w:vAnchor="text" w:hAnchor="margin" w:xAlign="right" w:y="1"/>
      <w:rPr>
        <w:rStyle w:val="Sidnummer"/>
        <w:rPrChange w:id="1" w:author="Lars Brink" w:date="2025-12-17T05:08:00Z" w16du:dateUtc="2025-12-17T04:08:00Z">
          <w:rPr>
            <w:rStyle w:val="Sidnummer"/>
          </w:rPr>
        </w:rPrChange>
      </w:rPr>
    </w:pPr>
    <w:r w:rsidRPr="008C1478">
      <w:rPr>
        <w:rStyle w:val="Sidnummer"/>
      </w:rPr>
      <w:fldChar w:fldCharType="begin" w:fldLock="1"/>
    </w:r>
    <w:r w:rsidRPr="008C1478">
      <w:rPr>
        <w:rStyle w:val="Sidnummer"/>
      </w:rPr>
      <w:instrText xml:space="preserve">PAGE  </w:instrText>
    </w:r>
    <w:r w:rsidRPr="008C1478">
      <w:rPr>
        <w:rStyle w:val="Sidnummer"/>
      </w:rPr>
      <w:fldChar w:fldCharType="separate"/>
    </w:r>
    <w:r w:rsidR="004D1F91" w:rsidRPr="008C1478">
      <w:rPr>
        <w:rStyle w:val="Sidnummer"/>
        <w:rPrChange w:id="2" w:author="Lars Brink" w:date="2025-12-17T05:08:00Z" w16du:dateUtc="2025-12-17T04:08:00Z">
          <w:rPr>
            <w:rStyle w:val="Sidnummer"/>
            <w:noProof/>
          </w:rPr>
        </w:rPrChange>
      </w:rPr>
      <w:t>4</w:t>
    </w:r>
    <w:r w:rsidRPr="008C1478">
      <w:rPr>
        <w:rStyle w:val="Sidnummer"/>
        <w:rPrChange w:id="3" w:author="Lars Brink" w:date="2025-12-17T05:08:00Z" w16du:dateUtc="2025-12-17T04:08:00Z">
          <w:rPr>
            <w:rStyle w:val="Sidnummer"/>
          </w:rPr>
        </w:rPrChange>
      </w:rPr>
      <w:fldChar w:fldCharType="end"/>
    </w:r>
  </w:p>
  <w:p w:rsidR="00401450" w:rsidRPr="008C1478" w:rsidRDefault="00401450">
    <w:pPr>
      <w:pStyle w:val="Sidhuvud"/>
      <w:ind w:right="360"/>
      <w:rPr>
        <w:rPrChange w:id="4" w:author="Lars Brink" w:date="2025-12-17T05:08:00Z" w16du:dateUtc="2025-12-17T04:08:00Z">
          <w:rPr/>
        </w:rPrChange>
      </w:rPr>
    </w:pPr>
  </w:p>
  <w:p w:rsidR="00401450" w:rsidRPr="008C1478" w:rsidRDefault="00401450">
    <w:pPr>
      <w:pStyle w:val="Sidhuvud"/>
      <w:ind w:right="357" w:firstLine="357"/>
      <w:rPr>
        <w:rPrChange w:id="5" w:author="Lars Brink" w:date="2025-12-17T05:08:00Z" w16du:dateUtc="2025-12-17T04:08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450" w:rsidRPr="008C1478" w:rsidRDefault="00401450">
    <w:pPr>
      <w:pStyle w:val="Sidhuvud"/>
      <w:framePr w:wrap="around" w:vAnchor="text" w:hAnchor="margin" w:xAlign="right" w:y="1"/>
      <w:rPr>
        <w:rStyle w:val="Sidnummer"/>
        <w:rPrChange w:id="6" w:author="Lars Brink" w:date="2025-12-17T05:08:00Z" w16du:dateUtc="2025-12-17T04:08:00Z">
          <w:rPr>
            <w:rStyle w:val="Sidnummer"/>
          </w:rPr>
        </w:rPrChange>
      </w:rPr>
    </w:pPr>
    <w:r w:rsidRPr="008C1478">
      <w:rPr>
        <w:rStyle w:val="Sidnummer"/>
      </w:rPr>
      <w:fldChar w:fldCharType="begin" w:fldLock="1"/>
    </w:r>
    <w:r w:rsidRPr="008C1478">
      <w:rPr>
        <w:rStyle w:val="Sidnummer"/>
      </w:rPr>
      <w:instrText xml:space="preserve">PAGE  </w:instrText>
    </w:r>
    <w:r w:rsidRPr="008C1478">
      <w:rPr>
        <w:rStyle w:val="Sidnummer"/>
      </w:rPr>
      <w:fldChar w:fldCharType="separate"/>
    </w:r>
    <w:r w:rsidR="004D1F91" w:rsidRPr="008C1478">
      <w:rPr>
        <w:rStyle w:val="Sidnummer"/>
        <w:rPrChange w:id="7" w:author="Lars Brink" w:date="2025-12-17T05:08:00Z" w16du:dateUtc="2025-12-17T04:08:00Z">
          <w:rPr>
            <w:rStyle w:val="Sidnummer"/>
            <w:noProof/>
          </w:rPr>
        </w:rPrChange>
      </w:rPr>
      <w:t>3</w:t>
    </w:r>
    <w:r w:rsidRPr="008C1478">
      <w:rPr>
        <w:rStyle w:val="Sidnummer"/>
        <w:rPrChange w:id="8" w:author="Lars Brink" w:date="2025-12-17T05:08:00Z" w16du:dateUtc="2025-12-17T04:08:00Z">
          <w:rPr>
            <w:rStyle w:val="Sidnummer"/>
          </w:rPr>
        </w:rPrChange>
      </w:rPr>
      <w:fldChar w:fldCharType="end"/>
    </w:r>
  </w:p>
  <w:p w:rsidR="00401450" w:rsidRPr="008C1478" w:rsidRDefault="00401450">
    <w:pPr>
      <w:pStyle w:val="Sidhuvud"/>
      <w:ind w:right="360"/>
      <w:rPr>
        <w:rPrChange w:id="9" w:author="Lars Brink" w:date="2025-12-17T05:08:00Z" w16du:dateUtc="2025-12-17T04:08:00Z">
          <w:rPr/>
        </w:rPrChange>
      </w:rPr>
    </w:pPr>
  </w:p>
  <w:p w:rsidR="00401450" w:rsidRPr="008C1478" w:rsidRDefault="00401450">
    <w:pPr>
      <w:pStyle w:val="Sidhuvud"/>
      <w:ind w:right="357" w:firstLine="357"/>
      <w:rPr>
        <w:rPrChange w:id="10" w:author="Lars Brink" w:date="2025-12-17T05:08:00Z" w16du:dateUtc="2025-12-17T04:08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450" w:rsidRPr="008C1478" w:rsidRDefault="008C1478">
    <w:pPr>
      <w:framePr w:w="2948" w:h="1321" w:hRule="exact" w:wrap="notBeside" w:vAnchor="page" w:hAnchor="page" w:x="1362" w:y="653"/>
    </w:pPr>
    <w:r w:rsidRPr="008C147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450" w:rsidRPr="008C1478" w:rsidRDefault="004014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01450" w:rsidRPr="008C1478" w:rsidRDefault="00401450">
    <w:pPr>
      <w:rPr>
        <w:rFonts w:ascii="TradeGothic" w:hAnsi="TradeGothic"/>
        <w:b/>
        <w:bCs/>
        <w:spacing w:val="12"/>
        <w:sz w:val="22"/>
      </w:rPr>
    </w:pPr>
  </w:p>
  <w:p w:rsidR="00401450" w:rsidRPr="008C1478" w:rsidRDefault="004014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01450" w:rsidRPr="008C1478" w:rsidRDefault="0040145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F7C"/>
    <w:multiLevelType w:val="hybridMultilevel"/>
    <w:tmpl w:val="62443BC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num w:numId="1" w16cid:durableId="1089275026">
    <w:abstractNumId w:val="1"/>
  </w:num>
  <w:num w:numId="2" w16cid:durableId="983784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8632C0"/>
    <w:rsid w:val="000018EE"/>
    <w:rsid w:val="00074599"/>
    <w:rsid w:val="000D115D"/>
    <w:rsid w:val="00121915"/>
    <w:rsid w:val="00190AED"/>
    <w:rsid w:val="00196BDC"/>
    <w:rsid w:val="001D7035"/>
    <w:rsid w:val="001E0319"/>
    <w:rsid w:val="00230866"/>
    <w:rsid w:val="00284E30"/>
    <w:rsid w:val="002D5A54"/>
    <w:rsid w:val="003B2F36"/>
    <w:rsid w:val="003C7495"/>
    <w:rsid w:val="00401450"/>
    <w:rsid w:val="00465049"/>
    <w:rsid w:val="004D1F91"/>
    <w:rsid w:val="00563187"/>
    <w:rsid w:val="005B72FA"/>
    <w:rsid w:val="005F6A9F"/>
    <w:rsid w:val="006C7E3C"/>
    <w:rsid w:val="0072267A"/>
    <w:rsid w:val="0072705B"/>
    <w:rsid w:val="007313E2"/>
    <w:rsid w:val="008139B7"/>
    <w:rsid w:val="008632C0"/>
    <w:rsid w:val="008C1478"/>
    <w:rsid w:val="008D3D74"/>
    <w:rsid w:val="00A77286"/>
    <w:rsid w:val="00A916FF"/>
    <w:rsid w:val="00AA4193"/>
    <w:rsid w:val="00AC1B96"/>
    <w:rsid w:val="00AF10C5"/>
    <w:rsid w:val="00AF4D03"/>
    <w:rsid w:val="00B03F56"/>
    <w:rsid w:val="00B539B6"/>
    <w:rsid w:val="00B64D5C"/>
    <w:rsid w:val="00C74039"/>
    <w:rsid w:val="00C857DB"/>
    <w:rsid w:val="00CD6E89"/>
    <w:rsid w:val="00CF7448"/>
    <w:rsid w:val="00D37193"/>
    <w:rsid w:val="00EE3900"/>
    <w:rsid w:val="00F20D34"/>
    <w:rsid w:val="00F32F9E"/>
    <w:rsid w:val="00F56CA4"/>
    <w:rsid w:val="00F61DCE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0BCD-2F99-43F6-A4A5-34E7233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number1">
    <w:name w:val="Par-number 1)"/>
    <w:basedOn w:val="Normal"/>
    <w:next w:val="Normal"/>
    <w:rsid w:val="001E0319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paragraph" w:customStyle="1" w:styleId="EntEmet">
    <w:name w:val="EntEmet"/>
    <w:basedOn w:val="Normal"/>
    <w:rsid w:val="001E0319"/>
    <w:pPr>
      <w:widowControl w:val="0"/>
      <w:numPr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ind w:left="0" w:firstLine="0"/>
      <w:textAlignment w:val="auto"/>
    </w:pPr>
    <w:rPr>
      <w:rFonts w:ascii="Times New Roman" w:hAnsi="Times New Roman"/>
      <w:lang w:val="en-GB" w:eastAsia="fr-BE"/>
    </w:rPr>
  </w:style>
  <w:style w:type="paragraph" w:styleId="Ballongtext">
    <w:name w:val="Balloon Text"/>
    <w:basedOn w:val="Normal"/>
    <w:semiHidden/>
    <w:rsid w:val="00C857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1478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1003</Words>
  <Characters>6496</Characters>
  <Application>Microsoft Office Word</Application>
  <DocSecurity>4</DocSecurity>
  <Lines>166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2007-05-07T12:39:00Z</cp:lastPrinted>
  <dcterms:created xsi:type="dcterms:W3CDTF">2025-12-17T04:08:00Z</dcterms:created>
  <dcterms:modified xsi:type="dcterms:W3CDTF">2025-12-17T04:08:00Z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