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27ED4" w:rsidRDefault="00E27ED4">
            <w:pPr>
              <w:pStyle w:val="HuvudRubrik"/>
            </w:pPr>
            <w:bookmarkStart w:id="0" w:name="BetänkandeRubrik"/>
            <w:bookmarkEnd w:id="0"/>
            <w:r>
              <w:t>Trafikutskottets betänkande</w:t>
            </w:r>
            <w:r w:rsidR="000D6DC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137915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E27ED4" w:rsidRDefault="00E27E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17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E27ED4" w:rsidRDefault="00E27ED4">
                            <w:pPr>
                              <w:pStyle w:val="Logo"/>
                            </w:pPr>
                            <w:r>
                              <w:object w:dxaOrig="840" w:dyaOrig="1545">
                                <v:shape id="_x0000_i1025" type="#_x0000_t75" style="width:41.55pt;height:77.15pt" fillcolor="window">
                                  <v:imagedata r:id="rId7" o:title=""/>
                                </v:shape>
                                <o:OLEObject Type="Embed" ProgID="Word.Picture.8" ShapeID="_x0000_i1025" DrawAspect="Content" ObjectID="_1827340171" r:id="rId9"/>
                              </w:object>
                            </w:r>
                          </w:p>
                        </w:txbxContent>
                      </v:textbox>
                      <w10:wrap anchorx="page" anchory="page"/>
                    </v:shape>
                  </w:pict>
                </mc:Fallback>
              </mc:AlternateContent>
            </w:r>
          </w:p>
          <w:p w:rsidR="00E27ED4" w:rsidRDefault="00E27ED4">
            <w:pPr>
              <w:pStyle w:val="HuvudRubrikRad2"/>
            </w:pPr>
            <w:bookmarkStart w:id="15" w:name="BetänkandeNr"/>
            <w:bookmarkEnd w:id="15"/>
            <w:r>
              <w:t>1998/99:TU9</w:t>
            </w:r>
          </w:p>
          <w:p w:rsidR="00E27ED4" w:rsidRDefault="00E27ED4">
            <w:pPr>
              <w:pStyle w:val="BetnkandeRubrik"/>
            </w:pPr>
            <w:bookmarkStart w:id="16" w:name="Huvudrubrik"/>
            <w:bookmarkEnd w:id="16"/>
            <w:r>
              <w:t>Trafiksäkerhet m.m.</w:t>
            </w:r>
          </w:p>
        </w:tc>
        <w:tc>
          <w:tcPr>
            <w:tcW w:w="1559" w:type="dxa"/>
            <w:tcBorders>
              <w:bottom w:val="nil"/>
            </w:tcBorders>
          </w:tcPr>
          <w:p w:rsidR="00E27ED4" w:rsidRDefault="00E27ED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27ED4" w:rsidRDefault="00E27ED4">
            <w:pPr>
              <w:spacing w:before="40" w:after="900" w:line="280" w:lineRule="exact"/>
              <w:jc w:val="left"/>
              <w:rPr>
                <w:sz w:val="28"/>
              </w:rPr>
            </w:pPr>
          </w:p>
        </w:tc>
        <w:tc>
          <w:tcPr>
            <w:tcW w:w="1559" w:type="dxa"/>
          </w:tcPr>
          <w:p w:rsidR="00E27ED4" w:rsidRDefault="00E27ED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27ED4" w:rsidRDefault="00E27ED4">
            <w:pPr>
              <w:spacing w:before="40" w:after="900" w:line="280" w:lineRule="exact"/>
              <w:jc w:val="left"/>
              <w:rPr>
                <w:sz w:val="28"/>
              </w:rPr>
            </w:pPr>
          </w:p>
        </w:tc>
        <w:tc>
          <w:tcPr>
            <w:tcW w:w="1559" w:type="dxa"/>
            <w:tcBorders>
              <w:bottom w:val="single" w:sz="6" w:space="0" w:color="auto"/>
            </w:tcBorders>
          </w:tcPr>
          <w:p w:rsidR="00E27ED4" w:rsidRDefault="00E27ED4">
            <w:pPr>
              <w:pStyle w:val="rtal"/>
            </w:pPr>
            <w:r>
              <w:t>TU9</w:t>
            </w:r>
          </w:p>
        </w:tc>
      </w:tr>
      <w:tr w:rsidR="00000000">
        <w:tblPrEx>
          <w:tblCellMar>
            <w:top w:w="0" w:type="dxa"/>
            <w:bottom w:w="0" w:type="dxa"/>
          </w:tblCellMar>
        </w:tblPrEx>
        <w:trPr>
          <w:cantSplit/>
          <w:trHeight w:hRule="exact" w:val="660"/>
        </w:trPr>
        <w:tc>
          <w:tcPr>
            <w:tcW w:w="3012" w:type="dxa"/>
          </w:tcPr>
          <w:p w:rsidR="00E27ED4" w:rsidRDefault="00E27ED4">
            <w:pPr>
              <w:pStyle w:val="StatusSida1"/>
            </w:pPr>
          </w:p>
        </w:tc>
        <w:tc>
          <w:tcPr>
            <w:tcW w:w="3012" w:type="dxa"/>
          </w:tcPr>
          <w:p w:rsidR="00E27ED4" w:rsidRDefault="00E27ED4">
            <w:pPr>
              <w:pStyle w:val="UtskriftsdatumSida1"/>
              <w:rPr>
                <w:b/>
                <w:sz w:val="28"/>
              </w:rPr>
            </w:pPr>
          </w:p>
        </w:tc>
        <w:tc>
          <w:tcPr>
            <w:tcW w:w="1559" w:type="dxa"/>
          </w:tcPr>
          <w:p w:rsidR="00E27ED4" w:rsidRDefault="00E27ED4"/>
        </w:tc>
      </w:tr>
    </w:tbl>
    <w:p w:rsidR="00E27ED4" w:rsidRDefault="00E27ED4">
      <w:pPr>
        <w:pStyle w:val="Rubrik1"/>
        <w:spacing w:before="123"/>
      </w:pPr>
      <w:bookmarkStart w:id="17" w:name="_Toc447092533"/>
      <w:r>
        <w:t>Sammanfattning</w:t>
      </w:r>
      <w:bookmarkEnd w:id="17"/>
    </w:p>
    <w:p w:rsidR="00E27ED4" w:rsidRDefault="00E27ED4">
      <w:bookmarkStart w:id="18" w:name="Textstart"/>
      <w:bookmarkEnd w:id="18"/>
      <w:r>
        <w:t>Utskottet ser med oro på att den positiva utvecklingen med ett kontinuerligt sjunkande antal dödade och svårt skadade i vägtrafiken under åren 1993–1996 har brutits. Ett enigt utskott framhåller att den s.k. nollvisionen ligger fast. Det betyder att det långsiktiga målet för trafiksäkerhetsarbetet skall vara att ingen dödas eller skadas allvarligt till följd av trafikolyckor i vägtranspor</w:t>
      </w:r>
      <w:r>
        <w:t>t</w:t>
      </w:r>
      <w:r>
        <w:t>systemet samt att vägtransportsystemets funktion anpassas till de krav som följer av detta. En fortlöpande minskning av antalet dödade och skadade i trafiken är därför ett krav som inte får efterges. Det är enligt utskottet ang</w:t>
      </w:r>
      <w:r>
        <w:t>e</w:t>
      </w:r>
      <w:r>
        <w:t>läget att regeringen nu särskilt uppmärksammar hur detta krav skall kunna uppfyllas. Utskottet säger sig också förutsätta att regeringen snarast möjligt för riksdagen redovisar sina ställningstaganden i fråga om trafiksäkerhetsa</w:t>
      </w:r>
      <w:r>
        <w:t>r</w:t>
      </w:r>
      <w:r>
        <w:t>betets fortsatta inriktning.</w:t>
      </w:r>
    </w:p>
    <w:p w:rsidR="00E27ED4" w:rsidRDefault="00E27ED4">
      <w:pPr>
        <w:pStyle w:val="Normaltindrag"/>
      </w:pPr>
      <w:r>
        <w:t>Utskottet framhåller vida</w:t>
      </w:r>
      <w:r>
        <w:t>re att vi behöver öka våra kunskaper om varför trafikolyckor inträffar. I sammanhanget erinras om att vägtrafiken saknar motsvarighet till de inspektionsmyndigheter som finns för järnvägstrafiken, sjöfarten och luftfarten. Regeringen bör enligt utskottets mening låta utreda inrättandet av en för vägtrafiken fristående vägtrafikinspektion – med uppgift att nå, och dela med sig av, en ökad kunskap om trafikolyckornas orsaker – samt återkomma till riksdagen med förslag därom. Detta bör, betonar utsk</w:t>
      </w:r>
      <w:r>
        <w:t>o</w:t>
      </w:r>
      <w:r>
        <w:t>tet, riksd</w:t>
      </w:r>
      <w:r>
        <w:t>agen som sin mening ge regeringen till känna.</w:t>
      </w:r>
    </w:p>
    <w:p w:rsidR="00E27ED4" w:rsidRDefault="00E27ED4">
      <w:pPr>
        <w:pStyle w:val="Normaltindrag"/>
      </w:pPr>
      <w:r>
        <w:t>I betänkandet behandlas också ett trettiotal motionsyrkanden om trafiks</w:t>
      </w:r>
      <w:r>
        <w:t>ä</w:t>
      </w:r>
      <w:r>
        <w:t>kerhet m.m. från den allmänna motionstiden hösten 1998. Yrkandena  avser bl.a. utbildnings- och behörighetsfrågor, fordons- och utrustningsfrågor, trafikföreskrifter, vägmärken och trafiksignaler. Vidare behandlas motions- yrkanden om bl.a. flyttning av övergivna fordon, uppgift om födelseland på de nya EU-körkorten och åtgärder för att motverka missbruk av principen om strikt betalningsansvar för en bils ägare i fråga om felparkeringsavgift.  Samtliga motionsyrkanden avstyrks. Så sker i många fall med hän</w:t>
      </w:r>
      <w:r>
        <w:t>visning till pågående beredningsarb</w:t>
      </w:r>
      <w:r>
        <w:t>e</w:t>
      </w:r>
      <w:r>
        <w:t>te.</w:t>
      </w:r>
    </w:p>
    <w:p w:rsidR="00E27ED4" w:rsidRDefault="00E27ED4">
      <w:pPr>
        <w:pStyle w:val="Normaltindrag"/>
      </w:pPr>
    </w:p>
    <w:p w:rsidR="00E27ED4" w:rsidRDefault="00E27ED4">
      <w:pPr>
        <w:pStyle w:val="Normaltindrag"/>
      </w:pPr>
    </w:p>
    <w:p w:rsidR="00E27ED4" w:rsidRDefault="00E27ED4">
      <w:pPr>
        <w:pStyle w:val="Normaltindrag"/>
      </w:pPr>
    </w:p>
    <w:p w:rsidR="00E27ED4" w:rsidRDefault="00E27ED4">
      <w:pPr>
        <w:pStyle w:val="Normaltindrag"/>
      </w:pPr>
      <w:r>
        <w:t xml:space="preserve">     </w:t>
      </w:r>
    </w:p>
    <w:p w:rsidR="00E27ED4" w:rsidRDefault="00E27ED4">
      <w:r>
        <w:t xml:space="preserve">    </w:t>
      </w:r>
    </w:p>
    <w:p w:rsidR="00E27ED4" w:rsidRDefault="00E27ED4">
      <w:pPr>
        <w:pStyle w:val="Rubrik1"/>
      </w:pPr>
      <w:bookmarkStart w:id="19" w:name="_Toc442077552"/>
      <w:bookmarkStart w:id="20" w:name="_Toc447092534"/>
      <w:r>
        <w:lastRenderedPageBreak/>
        <w:t>Motioner väckta under den allmänna motionstiden hösten 1998</w:t>
      </w:r>
      <w:bookmarkEnd w:id="19"/>
      <w:bookmarkEnd w:id="20"/>
    </w:p>
    <w:p w:rsidR="00E27ED4" w:rsidRDefault="00E27ED4">
      <w:r>
        <w:rPr>
          <w:i/>
        </w:rPr>
        <w:t>1998/99:T202</w:t>
      </w:r>
      <w:r>
        <w:t xml:space="preserve"> av Leif Carlson (m) och Nils Fredrik Aurelius (m) vari yrkas</w:t>
      </w:r>
    </w:p>
    <w:p w:rsidR="00E27ED4" w:rsidRDefault="00E27ED4">
      <w:pPr>
        <w:pStyle w:val="Normaltindrag"/>
      </w:pPr>
      <w:r>
        <w:t>2. att riksdagen som sin mening ger regeringen till känna vad i motionen anförts om att försök med internationella hastighetsbegränsningar bör g</w:t>
      </w:r>
      <w:r>
        <w:t>e</w:t>
      </w:r>
      <w:r>
        <w:t xml:space="preserve">nomföras i Kalmar län. </w:t>
      </w:r>
    </w:p>
    <w:p w:rsidR="00E27ED4" w:rsidRDefault="00E27ED4">
      <w:r>
        <w:rPr>
          <w:i/>
        </w:rPr>
        <w:t xml:space="preserve">1998/99:T217 </w:t>
      </w:r>
      <w:r>
        <w:t>av Marianne Samuelsson m.fl. (mp) vari yrkas</w:t>
      </w:r>
    </w:p>
    <w:p w:rsidR="00E27ED4" w:rsidRDefault="00E27ED4">
      <w:pPr>
        <w:pStyle w:val="Normaltindrag"/>
      </w:pPr>
      <w:r>
        <w:t xml:space="preserve">5. att riksdagen som sin mening ger regeringen till känna vad i motionen anförts om fysiska åtgärder i vägmiljön i trafiksäkerhetssyfte. </w:t>
      </w:r>
    </w:p>
    <w:p w:rsidR="00E27ED4" w:rsidRDefault="00E27ED4">
      <w:r>
        <w:rPr>
          <w:i/>
        </w:rPr>
        <w:t xml:space="preserve">1998/99:T220 </w:t>
      </w:r>
      <w:r>
        <w:t>av Per-Richard Molén m.fl. (m) vari yrkas</w:t>
      </w:r>
    </w:p>
    <w:p w:rsidR="00E27ED4" w:rsidRDefault="00E27ED4">
      <w:pPr>
        <w:pStyle w:val="Normaltindrag"/>
      </w:pPr>
      <w:r>
        <w:t xml:space="preserve">23. att riksdagen som sin mening ger regeringen till känna vad i motionen anförts om förbättrad trafiksäkerhet. </w:t>
      </w:r>
    </w:p>
    <w:p w:rsidR="00E27ED4" w:rsidRDefault="00E27ED4">
      <w:r>
        <w:rPr>
          <w:i/>
        </w:rPr>
        <w:t xml:space="preserve">1998/99:T223 </w:t>
      </w:r>
      <w:r>
        <w:t>av Johnny Gylling m.fl. (kd) vari yrkas</w:t>
      </w:r>
    </w:p>
    <w:p w:rsidR="00E27ED4" w:rsidRDefault="00E27ED4">
      <w:pPr>
        <w:pStyle w:val="Normaltindrag"/>
      </w:pPr>
      <w:r>
        <w:t xml:space="preserve">22. att riksdagen som sin mening ger regeringen till känna vad i motionen anförts om utvärdering och omprövning av pedagogiken och metodiken för trafiksäkerhetsarbetet, </w:t>
      </w:r>
    </w:p>
    <w:p w:rsidR="00E27ED4" w:rsidRDefault="00E27ED4">
      <w:pPr>
        <w:pStyle w:val="Normaltindrag"/>
      </w:pPr>
      <w:r>
        <w:t>23. att riksdagen som sin mening ger regeringen till känna vad i motionen anförts om trafiksäkerhet, en mer differentierad skala för hastighetsbegrän</w:t>
      </w:r>
      <w:r>
        <w:t>s</w:t>
      </w:r>
      <w:r>
        <w:t xml:space="preserve">ningarna, högersväng vid rött ljus samt olika typer av varningsskyltar vid skolor, </w:t>
      </w:r>
    </w:p>
    <w:p w:rsidR="00E27ED4" w:rsidRDefault="00E27ED4">
      <w:pPr>
        <w:pStyle w:val="Normaltindrag"/>
      </w:pPr>
      <w:r>
        <w:t>24. att riksdagen som sin mening ger regeringen till känna vad i motionen anförts om det kommunala trafiksäkerhetsarbetet.</w:t>
      </w:r>
    </w:p>
    <w:p w:rsidR="00E27ED4" w:rsidRDefault="00E27ED4">
      <w:r>
        <w:rPr>
          <w:i/>
        </w:rPr>
        <w:t>1998/99:T403</w:t>
      </w:r>
      <w:r>
        <w:t xml:space="preserve"> av Leif Carlson (m) vari yrkas att riksdagen som sin mening ger regeringen till känna vad i motionen anförts om ändring av trafikb</w:t>
      </w:r>
      <w:r>
        <w:t>e</w:t>
      </w:r>
      <w:r>
        <w:t xml:space="preserve">stämmelser vid ljussignaler. </w:t>
      </w:r>
    </w:p>
    <w:p w:rsidR="00E27ED4" w:rsidRDefault="00E27ED4">
      <w:r>
        <w:rPr>
          <w:i/>
        </w:rPr>
        <w:t xml:space="preserve">1998/99:T404 </w:t>
      </w:r>
      <w:r>
        <w:t xml:space="preserve">av Ingvar Eriksson (m) och Jan Backman (m) vari yrkas att riksdagen som sin mening ger regeringen till känna vad i motionen anförts om att hastighetsbegränsningen på motorväg och motortrafikled bör höjas till 130 km/tim. </w:t>
      </w:r>
    </w:p>
    <w:p w:rsidR="00E27ED4" w:rsidRDefault="00E27ED4">
      <w:r>
        <w:rPr>
          <w:i/>
        </w:rPr>
        <w:t>1998/99:T405</w:t>
      </w:r>
      <w:r>
        <w:t xml:space="preserve"> av Chatrine Pålsson (kd) vari yrkas att riksdagen som sin mening ger regeringen till känna vad i motionen anförts om ändringar av den tillåtna hastigheten på våra vägar. </w:t>
      </w:r>
    </w:p>
    <w:p w:rsidR="00E27ED4" w:rsidRDefault="00E27ED4">
      <w:r>
        <w:rPr>
          <w:i/>
        </w:rPr>
        <w:t>1998/99:T406</w:t>
      </w:r>
      <w:r>
        <w:t xml:space="preserve"> av Elver Jonsson (fp) vari yrkas att riksdagen som sin mening ger regeringen till känna vad i motionen anförts om god kvalitet på refle</w:t>
      </w:r>
      <w:r>
        <w:t>x</w:t>
      </w:r>
      <w:r>
        <w:t xml:space="preserve">material för vägmärken i Sverige. </w:t>
      </w:r>
    </w:p>
    <w:p w:rsidR="00E27ED4" w:rsidRDefault="00E27ED4">
      <w:r>
        <w:rPr>
          <w:i/>
        </w:rPr>
        <w:t>1998/99:T409</w:t>
      </w:r>
      <w:r>
        <w:t xml:space="preserve"> av Carina Hägg (s) vari yrkas att riksdagen som sin mening ger regeringen till känna vad i motionen anförts om att nuvarande ålderskrav för hjälm vid färd på moped sänks till att också omfatta barn i lägre åldrar än vad som i dag är fallet. </w:t>
      </w:r>
    </w:p>
    <w:p w:rsidR="00E27ED4" w:rsidRDefault="00E27ED4">
      <w:r>
        <w:rPr>
          <w:i/>
        </w:rPr>
        <w:t>1998/99:T410</w:t>
      </w:r>
      <w:r>
        <w:t xml:space="preserve"> av Christel Anderberg (m) vari yrkas att riksdagen hos reg</w:t>
      </w:r>
      <w:r>
        <w:t>e</w:t>
      </w:r>
      <w:r>
        <w:t xml:space="preserve">ringen begär en skyndsam utredning av äldres körkortsinnehav i enlighet med vad som anförts i motionen. </w:t>
      </w:r>
    </w:p>
    <w:p w:rsidR="00E27ED4" w:rsidRDefault="00E27ED4">
      <w:r>
        <w:rPr>
          <w:i/>
        </w:rPr>
        <w:t>1998/99:T411</w:t>
      </w:r>
      <w:r>
        <w:t xml:space="preserve"> av Yvonne Ruwaida (mp) vari yrkas att riksdagen beslutar om sådan ändring i 128 § trafikkungörelsen (1972:603) samt 3 § trafikkungöre</w:t>
      </w:r>
      <w:r>
        <w:t>l</w:t>
      </w:r>
      <w:r>
        <w:t>sen (1998:1276) att lagen tillförs texten: ”att cyklist får medföra pakethålla</w:t>
      </w:r>
      <w:r>
        <w:t>r</w:t>
      </w:r>
      <w:r>
        <w:t>pass</w:t>
      </w:r>
      <w:r>
        <w:t>a</w:t>
      </w:r>
      <w:r>
        <w:t xml:space="preserve">gerare förutsatt att denne passagerare bär cykelhjälm”. </w:t>
      </w:r>
    </w:p>
    <w:p w:rsidR="00E27ED4" w:rsidRDefault="00E27ED4">
      <w:r>
        <w:rPr>
          <w:i/>
        </w:rPr>
        <w:t>1998/99:T413</w:t>
      </w:r>
      <w:r>
        <w:t xml:space="preserve"> av Tom Heyman (m) och Elizabeth Nyström (m) vari yrkas att riksdagen som sin mening ger regeringen till känna vad i motionen anförts om att uppdra åt Vägverket att göra rimliga förenklingar av reglerna för s.k. snömoped. </w:t>
      </w:r>
    </w:p>
    <w:p w:rsidR="00E27ED4" w:rsidRDefault="00E27ED4">
      <w:r>
        <w:rPr>
          <w:i/>
        </w:rPr>
        <w:t xml:space="preserve">1998/99:T415 </w:t>
      </w:r>
      <w:r>
        <w:t xml:space="preserve">av Majléne Westerlund Panke (s) vari yrkas att riksdagen som sin mening ger regeringen till känna vad i motionen anförts om obligatorisk användning av cykelhjälm för barn. </w:t>
      </w:r>
    </w:p>
    <w:p w:rsidR="00E27ED4" w:rsidRDefault="00E27ED4">
      <w:r>
        <w:rPr>
          <w:i/>
        </w:rPr>
        <w:t>1998/99:T416</w:t>
      </w:r>
      <w:r>
        <w:t xml:space="preserve"> av Göran Magnusson (s) vari yrkas att riksdagen som sin mening ger regeringen till känna vad i motionen anförts om översyn av re</w:t>
      </w:r>
      <w:r>
        <w:t>g</w:t>
      </w:r>
      <w:r>
        <w:t xml:space="preserve">lerna för bortforsling av övergivna fordon. </w:t>
      </w:r>
    </w:p>
    <w:p w:rsidR="00E27ED4" w:rsidRDefault="00E27ED4">
      <w:r>
        <w:rPr>
          <w:i/>
        </w:rPr>
        <w:t>1998/99:T417</w:t>
      </w:r>
      <w:r>
        <w:t xml:space="preserve"> av Yilmaz Kerimo m.fl. (s) vari yrkas att riksdagen som sin mening ger regeringen till känna vad i motionen anförts om kravet på föde</w:t>
      </w:r>
      <w:r>
        <w:t>l</w:t>
      </w:r>
      <w:r>
        <w:t xml:space="preserve">seland i körkortet. </w:t>
      </w:r>
    </w:p>
    <w:p w:rsidR="00E27ED4" w:rsidRDefault="00E27ED4">
      <w:r>
        <w:rPr>
          <w:i/>
        </w:rPr>
        <w:t>1998/99:T418</w:t>
      </w:r>
      <w:r>
        <w:t xml:space="preserve"> av Marie Granlund (s) och Lars-Erik Lövdén (s) vari yrkas att riksdagen som sin mening ger regeringen till känna vad i motionen anförts om åtgärder mot obetalda felparkeringsavgifter. </w:t>
      </w:r>
    </w:p>
    <w:p w:rsidR="00E27ED4" w:rsidRDefault="00E27ED4">
      <w:r>
        <w:rPr>
          <w:i/>
        </w:rPr>
        <w:t xml:space="preserve">1998/99:T420 </w:t>
      </w:r>
      <w:r>
        <w:t xml:space="preserve">av Sonia Karlsson (s) vari yrkas att riksdagen som sin mening ger regeringen till känna vad i motionen anförts om förbättrad kontroll av importbilar. </w:t>
      </w:r>
    </w:p>
    <w:p w:rsidR="00E27ED4" w:rsidRDefault="00E27ED4">
      <w:r>
        <w:rPr>
          <w:i/>
        </w:rPr>
        <w:t>1998/99:T421</w:t>
      </w:r>
      <w:r>
        <w:t xml:space="preserve"> av Kjell Eldensjö (kd) vari yrkas att riksdagen som sin mening ger regeringen till känna vad i motionen anförts om revidering och förtydl</w:t>
      </w:r>
      <w:r>
        <w:t>i</w:t>
      </w:r>
      <w:r>
        <w:t xml:space="preserve">gande av lagen om flyttning av fordon i vissa fall. </w:t>
      </w:r>
    </w:p>
    <w:p w:rsidR="00E27ED4" w:rsidRDefault="00E27ED4">
      <w:r>
        <w:rPr>
          <w:i/>
        </w:rPr>
        <w:t xml:space="preserve">1998/99:T422 </w:t>
      </w:r>
      <w:r>
        <w:t>av Kenneth Lantz (kd) vari yrkas</w:t>
      </w:r>
    </w:p>
    <w:p w:rsidR="00E27ED4" w:rsidRDefault="00E27ED4">
      <w:pPr>
        <w:pStyle w:val="Normaltindrag"/>
      </w:pPr>
      <w:r>
        <w:t xml:space="preserve">1. att riksdagen som sin mening ger regeringen till känna vad i motionen anförts om utbildning i samband med körkortsförnyelse, </w:t>
      </w:r>
    </w:p>
    <w:p w:rsidR="00E27ED4" w:rsidRDefault="00E27ED4">
      <w:pPr>
        <w:pStyle w:val="Normaltindrag"/>
      </w:pPr>
      <w:r>
        <w:t xml:space="preserve">2. att riksdagen som sin mening ger regeringen till känna vad i motionen anförts om ”körkortsfortbildningen”. </w:t>
      </w:r>
    </w:p>
    <w:p w:rsidR="00E27ED4" w:rsidRDefault="00E27ED4">
      <w:r>
        <w:rPr>
          <w:i/>
        </w:rPr>
        <w:t xml:space="preserve">1998/99:T423 </w:t>
      </w:r>
      <w:r>
        <w:t>av Ann-Kristine Johansson (s) och Alf Eriksson (s) vari yrkas att riksdagen som sin mening ger regeringen till känna vad i motionen a</w:t>
      </w:r>
      <w:r>
        <w:t>n</w:t>
      </w:r>
      <w:r>
        <w:t xml:space="preserve">förts om högre krav på körkortsutbildning för traktorförare. </w:t>
      </w:r>
    </w:p>
    <w:p w:rsidR="00E27ED4" w:rsidRDefault="00E27ED4">
      <w:r>
        <w:rPr>
          <w:i/>
        </w:rPr>
        <w:t>1998/99:T424</w:t>
      </w:r>
      <w:r>
        <w:t xml:space="preserve"> av Torgny Danielsson (s) vari yrkas att riksdagen som sin mening ger regeringen till känna vad i motionen anförts om undantag från 21-årsgränsen i körkortslagen. </w:t>
      </w:r>
    </w:p>
    <w:p w:rsidR="00E27ED4" w:rsidRDefault="00E27ED4">
      <w:r>
        <w:rPr>
          <w:i/>
        </w:rPr>
        <w:t xml:space="preserve">1998/99:T425 </w:t>
      </w:r>
      <w:r>
        <w:t xml:space="preserve">av Martin Nilsson (s) vari yrkas att riksdagen som sin mening ger regeringen till känna vad i motionen anförts om behovet av lagstiftning för att säkerställa bruket av vinterdäck vid halt väglag vintertid. </w:t>
      </w:r>
    </w:p>
    <w:p w:rsidR="00E27ED4" w:rsidRDefault="00E27ED4">
      <w:r>
        <w:rPr>
          <w:i/>
        </w:rPr>
        <w:t>1998/99:T426</w:t>
      </w:r>
      <w:r>
        <w:t xml:space="preserve"> av Lars Björkman m.fl. (m) vari yrkas att riksdagen som sin mening ger regeringen till känna vad i motionen anförts om behovet av å</w:t>
      </w:r>
      <w:r>
        <w:t>t</w:t>
      </w:r>
      <w:r>
        <w:t xml:space="preserve">gärder för att öka användningen av vinterdäck. </w:t>
      </w:r>
    </w:p>
    <w:p w:rsidR="00E27ED4" w:rsidRDefault="00E27ED4">
      <w:r>
        <w:rPr>
          <w:i/>
        </w:rPr>
        <w:t>1998/99:T427</w:t>
      </w:r>
      <w:r>
        <w:t xml:space="preserve"> av Anders Ygeman (s) vari yrkas att riksdagen som sin m</w:t>
      </w:r>
      <w:r>
        <w:t>e</w:t>
      </w:r>
      <w:r>
        <w:t>ning ger regeringen till känna vad i motionen anförts om ändring av hasti</w:t>
      </w:r>
      <w:r>
        <w:t>g</w:t>
      </w:r>
      <w:r>
        <w:t xml:space="preserve">hetsbestämmelserna. </w:t>
      </w:r>
    </w:p>
    <w:p w:rsidR="00E27ED4" w:rsidRDefault="00E27ED4">
      <w:r>
        <w:rPr>
          <w:i/>
        </w:rPr>
        <w:t xml:space="preserve">1998/99:T428 </w:t>
      </w:r>
      <w:r>
        <w:t xml:space="preserve">av Mikael Oscarsson (kd) vari yrkas att riksdagen som sin mening ger regeringen till känna vad i motionen anförts om att kalenderår i stället för födelsedag skall vara avgörande vid åldersbestämmelser när det gäller rätt att köra moped, motorcykel och personbil. </w:t>
      </w:r>
    </w:p>
    <w:p w:rsidR="00E27ED4" w:rsidRDefault="00E27ED4">
      <w:r>
        <w:rPr>
          <w:i/>
        </w:rPr>
        <w:t xml:space="preserve">1998/99:T430 </w:t>
      </w:r>
      <w:r>
        <w:t xml:space="preserve">av Bengt Silfverstrand m.fl. (s) vari yrkas att riksdagen som sin mening ger regeringen till känna vad i motionen anförts om regler om mobiltelefonering under bilkörning. </w:t>
      </w:r>
    </w:p>
    <w:p w:rsidR="00E27ED4" w:rsidRDefault="00E27ED4">
      <w:r>
        <w:rPr>
          <w:i/>
        </w:rPr>
        <w:t>1998/99:T431</w:t>
      </w:r>
      <w:r>
        <w:t xml:space="preserve"> av Anna Åkerhielm (m) vari yrkas att riksdagen som sin m</w:t>
      </w:r>
      <w:r>
        <w:t>e</w:t>
      </w:r>
      <w:r>
        <w:t>ning ger regeringen till känna vad i motionen anförts om särskild utbildning för förare av utryckningsfordon.</w:t>
      </w:r>
    </w:p>
    <w:p w:rsidR="00E27ED4" w:rsidRDefault="00E27ED4">
      <w:r>
        <w:rPr>
          <w:i/>
        </w:rPr>
        <w:t xml:space="preserve"> 1998/99:K215</w:t>
      </w:r>
      <w:r>
        <w:t xml:space="preserve"> av Bertil Persson (m) vari yrkas</w:t>
      </w:r>
    </w:p>
    <w:p w:rsidR="00E27ED4" w:rsidRDefault="00E27ED4">
      <w:pPr>
        <w:pStyle w:val="Normaltindrag"/>
      </w:pPr>
      <w:r>
        <w:t xml:space="preserve">2. att riksdagen hos regeringen begär förslag om nya nationalitetssymboler på bilarnas registreringsskyltar i enlighet med vad som anförts i motionen. </w:t>
      </w:r>
    </w:p>
    <w:p w:rsidR="00E27ED4" w:rsidRDefault="00E27ED4">
      <w:r>
        <w:rPr>
          <w:i/>
        </w:rPr>
        <w:t>1998/99:Sf608</w:t>
      </w:r>
      <w:r>
        <w:t xml:space="preserve"> av Lennart Daléus m.fl. (c) vari yrkas</w:t>
      </w:r>
    </w:p>
    <w:p w:rsidR="00E27ED4" w:rsidRDefault="00E27ED4">
      <w:pPr>
        <w:pStyle w:val="Normaltindrag"/>
      </w:pPr>
      <w:r>
        <w:t>8. att riksdagen som sin mening ger regeringen till känna vad i motionen anförts om de nya körkorten.</w:t>
      </w:r>
    </w:p>
    <w:p w:rsidR="00E27ED4" w:rsidRDefault="00E27ED4">
      <w:r>
        <w:rPr>
          <w:i/>
        </w:rPr>
        <w:t xml:space="preserve">1998/99:Sk708 </w:t>
      </w:r>
      <w:r>
        <w:t>av Jarl Lander (s) och Anita Jönsson (s) vari yrkas</w:t>
      </w:r>
    </w:p>
    <w:p w:rsidR="00E27ED4" w:rsidRDefault="00E27ED4">
      <w:pPr>
        <w:pStyle w:val="Normaltindrag"/>
      </w:pPr>
      <w:r>
        <w:t xml:space="preserve">1. att riksdagen som sin mening ger regeringen till känna vad i motionen anförts om regler för busstrafik inom miljözonsområden. </w:t>
      </w:r>
    </w:p>
    <w:p w:rsidR="00E27ED4" w:rsidRDefault="00E27ED4"/>
    <w:p w:rsidR="00E27ED4" w:rsidRDefault="00E27ED4">
      <w:pPr>
        <w:pStyle w:val="Rubrik1"/>
        <w:spacing w:before="123"/>
      </w:pPr>
      <w:bookmarkStart w:id="21" w:name="_Toc447092535"/>
      <w:r>
        <w:t>Utskottet</w:t>
      </w:r>
      <w:bookmarkEnd w:id="21"/>
    </w:p>
    <w:p w:rsidR="00E27ED4" w:rsidRDefault="00E27ED4">
      <w:pPr>
        <w:pStyle w:val="Rubrik2"/>
        <w:spacing w:before="123"/>
      </w:pPr>
      <w:bookmarkStart w:id="22" w:name="_Toc447092536"/>
      <w:r>
        <w:t>1 Ärendet</w:t>
      </w:r>
      <w:bookmarkEnd w:id="22"/>
    </w:p>
    <w:p w:rsidR="00E27ED4" w:rsidRDefault="00E27ED4">
      <w:pPr>
        <w:rPr>
          <w:i/>
        </w:rPr>
      </w:pPr>
      <w:r>
        <w:t>I detta betänkande behandlar utskottet 33 motionsyrkanden som väcktes under den allmänna motionstiden hösten 1998 och som främst gäller  säke</w:t>
      </w:r>
      <w:r>
        <w:t>r</w:t>
      </w:r>
      <w:r>
        <w:t xml:space="preserve">het i vägtrafiken. </w:t>
      </w:r>
    </w:p>
    <w:p w:rsidR="00E27ED4" w:rsidRDefault="00E27ED4">
      <w:pPr>
        <w:pStyle w:val="Normaltindrag"/>
      </w:pPr>
      <w:r>
        <w:t>Den positiva utvecklingen med ett kontinuerligt sjunkande antal dödade och svårt skadade i vägtrafiken under åren 1993–1996 har brutits. Mot den bakgrunden anordnade utskottet den 18 mars i år en utfrågning med företr</w:t>
      </w:r>
      <w:r>
        <w:t>ä</w:t>
      </w:r>
      <w:r>
        <w:t>dare för Näringsdepartementet, Vägverket, Statens väg- och transportfors</w:t>
      </w:r>
      <w:r>
        <w:t>k</w:t>
      </w:r>
      <w:r>
        <w:t>ningsinstitut och Rikspolisst</w:t>
      </w:r>
      <w:r>
        <w:t>y</w:t>
      </w:r>
      <w:r>
        <w:t xml:space="preserve">relsen.    </w:t>
      </w:r>
    </w:p>
    <w:p w:rsidR="00E27ED4" w:rsidRDefault="00E27ED4">
      <w:pPr>
        <w:pStyle w:val="Normaltindrag"/>
      </w:pPr>
      <w:r>
        <w:t>Betänkandet inleds med ett avsnitt med rubriken Övergripande trafiks</w:t>
      </w:r>
      <w:r>
        <w:t>ä</w:t>
      </w:r>
      <w:r>
        <w:t>kerhetsfrågor. Där lämnas till en början en relativt utförlig redogörelse för riksdagens beslut åren 1997 och 1998 om den s.k. nollvisionen samt för vissa tidigare riksdagsbeslut av betydelse för trafiksäkerhetsarbetet.  En  redog</w:t>
      </w:r>
      <w:r>
        <w:t>ö</w:t>
      </w:r>
      <w:r>
        <w:t>relse  för trafiksäkerhetsarbetets hittillsvarande inriktning följs av statistiska uppgifter om trafiksäkerhetsutvecklingen åren 1987–1997. Därefter redogörs för Vägverkets och regeringens syn på trafiksäkerhetsarbetets resultat,  för regeringens uppdrag åt Vägverket att ompriori</w:t>
      </w:r>
      <w:r>
        <w:t>tera sitt trafiksäkerhetsarbete och för verkets nyligen lämnade  redovisning av sitt uppdrag. Efter ett referat av fyra motionsyrkanden om vissa övergripande trafiksäkerhetsfrågor avsl</w:t>
      </w:r>
      <w:r>
        <w:t>u</w:t>
      </w:r>
      <w:r>
        <w:t>tas det första   avsnittet av betänkandet  med  att utskottet redovisar sitt stäl</w:t>
      </w:r>
      <w:r>
        <w:t>l</w:t>
      </w:r>
      <w:r>
        <w:t>ningst</w:t>
      </w:r>
      <w:r>
        <w:t>a</w:t>
      </w:r>
      <w:r>
        <w:t xml:space="preserve">gande till de övergripande frågorna om trafiksäkerhet. </w:t>
      </w:r>
    </w:p>
    <w:p w:rsidR="00E27ED4" w:rsidRDefault="00E27ED4">
      <w:pPr>
        <w:pStyle w:val="Normaltindrag"/>
      </w:pPr>
      <w:r>
        <w:t>Härefter behandlas de återstående  motionsyrkandena i två  huvudavsnitt: Trafiksäkerhet och Övriga frågor. Till den förstnämnda kategorin hör  U</w:t>
      </w:r>
      <w:r>
        <w:t>t</w:t>
      </w:r>
      <w:r>
        <w:t>bildnings- och behörighetsfrågor, Fordons- och utrustningsfrågor samt Tr</w:t>
      </w:r>
      <w:r>
        <w:t>a</w:t>
      </w:r>
      <w:r>
        <w:t>fikföreskrifter, vägmärken och trafiksignaler. Till de övriga frågorna hör bl.a. flyttning av övergivna fordon, uppgift om födelseland på de nya EU-körkorten,  åtgärder för att motverka missbruk av principen om strikt beta</w:t>
      </w:r>
      <w:r>
        <w:t>l</w:t>
      </w:r>
      <w:r>
        <w:t>ningsansvar för en bils ägare i fråga om felparkeringsavgift samt påskynda</w:t>
      </w:r>
      <w:r>
        <w:t>n</w:t>
      </w:r>
      <w:r>
        <w:t>de av första kontrollbesiktning för direktimport</w:t>
      </w:r>
      <w:r>
        <w:t>e</w:t>
      </w:r>
      <w:r>
        <w:t>rade bilar.</w:t>
      </w:r>
    </w:p>
    <w:p w:rsidR="00E27ED4" w:rsidRDefault="00E27ED4">
      <w:pPr>
        <w:pStyle w:val="Rubrik2"/>
      </w:pPr>
      <w:bookmarkStart w:id="23" w:name="_Toc447092537"/>
      <w:r>
        <w:t>2 Övergripande trafiksäkerhetsfrågor</w:t>
      </w:r>
      <w:bookmarkEnd w:id="23"/>
    </w:p>
    <w:p w:rsidR="00E27ED4" w:rsidRDefault="00E27ED4">
      <w:pPr>
        <w:pStyle w:val="Rubrik3"/>
        <w:spacing w:before="123"/>
      </w:pPr>
      <w:bookmarkStart w:id="24" w:name="_Toc447092538"/>
      <w:r>
        <w:t>2.1 Riksdagsbeslut  under åren 1982–1998 om mål för trafiksäkerhetsarbetet m.m.</w:t>
      </w:r>
      <w:bookmarkEnd w:id="24"/>
    </w:p>
    <w:p w:rsidR="00E27ED4" w:rsidRDefault="00E27ED4">
      <w:r>
        <w:t>I ett beslut år 1982 (prop. 1981/82:81, bet. TU 1981/82:26</w:t>
      </w:r>
      <w:r>
        <w:rPr>
          <w:sz w:val="17"/>
        </w:rPr>
        <w:t xml:space="preserve">, </w:t>
      </w:r>
      <w:r>
        <w:t>rskr. 1981/82: 231) fastställde riksdagen följande mål för trafiksäkerhetsa</w:t>
      </w:r>
      <w:r>
        <w:t>r</w:t>
      </w:r>
      <w:r>
        <w:t>betet:</w:t>
      </w:r>
    </w:p>
    <w:p w:rsidR="00E27ED4" w:rsidRDefault="00E27ED4">
      <w:pPr>
        <w:spacing w:before="0"/>
      </w:pPr>
      <w:r>
        <w:t>– Det totala antalet dödade och skadade i trafiken skall fortlöpande minskas.</w:t>
      </w:r>
    </w:p>
    <w:p w:rsidR="00E27ED4" w:rsidRDefault="00E27ED4">
      <w:pPr>
        <w:spacing w:before="0"/>
      </w:pPr>
      <w:r>
        <w:t>– Risken att dödas  och skadas i  trafiken  skall  fortlöpande minskas  för  alla</w:t>
      </w:r>
    </w:p>
    <w:p w:rsidR="00E27ED4" w:rsidRDefault="00E27ED4">
      <w:pPr>
        <w:spacing w:before="0"/>
      </w:pPr>
      <w:r>
        <w:t xml:space="preserve">   trafikantkategorier.</w:t>
      </w:r>
    </w:p>
    <w:p w:rsidR="00E27ED4" w:rsidRDefault="00E27ED4">
      <w:pPr>
        <w:spacing w:before="0"/>
      </w:pPr>
      <w:r>
        <w:t xml:space="preserve">– Risken att dödas  och  skadas i  trafiken  skall  minskas  i högre  grad för de </w:t>
      </w:r>
    </w:p>
    <w:p w:rsidR="00E27ED4" w:rsidRDefault="00E27ED4">
      <w:pPr>
        <w:spacing w:before="0"/>
      </w:pPr>
      <w:r>
        <w:t xml:space="preserve">   oskyddade trafikanterna än för de skyddade. Barnens problem skall särskilt </w:t>
      </w:r>
    </w:p>
    <w:p w:rsidR="00E27ED4" w:rsidRDefault="00E27ED4">
      <w:pPr>
        <w:spacing w:before="0"/>
      </w:pPr>
      <w:r>
        <w:t xml:space="preserve">   beaktas. </w:t>
      </w:r>
    </w:p>
    <w:p w:rsidR="00E27ED4" w:rsidRDefault="00E27ED4">
      <w:r>
        <w:t xml:space="preserve">År 1988 bekräftades de sålunda fastställda målen för trafiksäkerhetsarbetet  (prop. 1987/88:50 bil. 1, bet. 1987/88:TU16, rskr. 1987/88:201). </w:t>
      </w:r>
    </w:p>
    <w:p w:rsidR="00E27ED4" w:rsidRDefault="00E27ED4">
      <w:pPr>
        <w:pStyle w:val="Normaltindrag"/>
      </w:pPr>
      <w:r>
        <w:t>År 1990 fastställde riksdagen ett kvantitativt mål för trafiksäkerhetsarbetet (prop. 1989/90:100 bil. 8, bet. 1989/90:TU21, rskr. 1989/90:166). Målet var att antalet personer som dog eller skadades i trafiken år 1995 skulle vara minst   ca 150–160 respektive 3 500 lägre än år 1988 (då  813 personer d</w:t>
      </w:r>
      <w:r>
        <w:t>ö</w:t>
      </w:r>
      <w:r>
        <w:t>dades,</w:t>
      </w:r>
      <w:r>
        <w:softHyphen/>
      </w:r>
      <w:r>
        <w:softHyphen/>
        <w:t xml:space="preserve"> 5 869 skadades svårt  och 16 969 skadades lindrigt vid 17 207 poli</w:t>
      </w:r>
      <w:r>
        <w:t>s</w:t>
      </w:r>
      <w:r>
        <w:t>rapporterade vägtrafikolyckor). För år 2000 sattes målet till ca 200 färre dödade och ca 5 000 färre skadade än år 1988.</w:t>
      </w:r>
    </w:p>
    <w:p w:rsidR="00E27ED4" w:rsidRDefault="00E27ED4">
      <w:pPr>
        <w:pStyle w:val="Normaltindrag"/>
      </w:pPr>
      <w:r>
        <w:t>År 1992 beslutade riksdagen att Trafiksäkerhetsverket skulle läggas ned vid utgången av det året och att Vägverket, vars huvuduppgift är att svara för statens väghållning, skulle fullgöra Trafiksäkerhetsverkets uppgifter fr.o.m. den 1 januari 1993 (prop. 1992/93:2, bet. 1992/93:TU4, rskr. 1992/93:58).</w:t>
      </w:r>
    </w:p>
    <w:p w:rsidR="00E27ED4" w:rsidRDefault="00E27ED4">
      <w:pPr>
        <w:pStyle w:val="Normaltindrag"/>
      </w:pPr>
      <w:r>
        <w:t>År 1993 bekräftade riksdagen ånyo sitt beslut från år 1982 om målen för trafiksäkerhetsarbetet (prop. 1992/93:161, bet. 1992/93:TU29, rskr. 1992/93: 426). I det  beslutet ställde sig  riksdagen också bakom en vision enligt pr</w:t>
      </w:r>
      <w:r>
        <w:t>o</w:t>
      </w:r>
      <w:r>
        <w:t>positionen  om att ett samhälle med säker trafik skall förverkligas inför 2000-talet. I visionen står trafikanten i centrum. Myndigheterna har i första hand ansvaret för trafiksäkerhetsåtgärderna, medan den enskilde trafikanten har ansvaret för sitt beteende i trafiken. Myndigheter och trafikanter skapar i ömsesidig och förtroendefull samverkan en bättre trafiksäkerhet. Arbetet leder till att hos beslutsfattare och trafikanter skapas värderingar som innebär att bl.a. kraven på trafiksäkerhetshöjande åtgärd</w:t>
      </w:r>
      <w:r>
        <w:t>er ökar. Insatserna på olika håll resulterar i att de av riksdagen åren 1982 och 1988 fastställda trafiks</w:t>
      </w:r>
      <w:r>
        <w:t>ä</w:t>
      </w:r>
      <w:r>
        <w:t>kerhetsmålen – om en fortlöpande minskning av det totala antalet dödade och skadade i trafiken etc. – uppnås och att trafiksäkerhetsarbetets status ökar. Av 1993 års riksdagsbeslut framgår också att Vägverket, polisen och ko</w:t>
      </w:r>
      <w:r>
        <w:t>m</w:t>
      </w:r>
      <w:r>
        <w:t>munerna är huvudaktörer inom trafiksäkerhetsområdet och att Vägverket skulle få i uppdrag av regeringen att redovisa ett nationellt verksamhets- och åtgärdspr</w:t>
      </w:r>
      <w:r>
        <w:t>o</w:t>
      </w:r>
      <w:r>
        <w:t>gram på grundval av be</w:t>
      </w:r>
      <w:r>
        <w:t xml:space="preserve">slutet. </w:t>
      </w:r>
    </w:p>
    <w:p w:rsidR="00E27ED4" w:rsidRDefault="00E27ED4">
      <w:pPr>
        <w:pStyle w:val="Normaltindrag"/>
      </w:pPr>
      <w:r>
        <w:t>År 1996 beslutade riksdagen (prop. 1995/96:131, bet. 1995/96:TU18, rskr. 1995/96:231) att Vägverket såsom statens företrädare på central nivå skall ha ett samlat ansvar, s.k. sektorsansvar, för  hela vägtransportsystemets mi</w:t>
      </w:r>
      <w:r>
        <w:t>l</w:t>
      </w:r>
      <w:r>
        <w:t>jöpåverkan, trafiksäkerhet, tillgänglighet, framkomlighet och effektivitet samt för frågor som rör  väginformatik, fordon, kollektivtrafik, handikappa</w:t>
      </w:r>
      <w:r>
        <w:t>n</w:t>
      </w:r>
      <w:r>
        <w:t>passning, yrkestrafik och tillämpad forsknings-, utvecklings- och demonstr</w:t>
      </w:r>
      <w:r>
        <w:t>a</w:t>
      </w:r>
      <w:r>
        <w:t>tionsverksamhet inom vägtransportsystemet.</w:t>
      </w:r>
    </w:p>
    <w:p w:rsidR="00E27ED4" w:rsidRDefault="00E27ED4">
      <w:pPr>
        <w:pStyle w:val="Normaltindrag"/>
      </w:pPr>
      <w:r>
        <w:t>Våren 1997 fattade riksdagen beslut med anledning av regeringens prop</w:t>
      </w:r>
      <w:r>
        <w:t>o</w:t>
      </w:r>
      <w:r>
        <w:t>sition 1996/97:53 Infrastrukturinriktning för framtida transporter (bet. 1996/97:TU7, rskr. 1996/97:174). Riksdagen godkände en inriktning som bl.a.  innebär att åtgärder i infrastrukturen skall utformas med utgångspunkt i högsta ambition för trafiksäkerheten. Av riksdagsbeslutet framgår att u</w:t>
      </w:r>
      <w:r>
        <w:t>t</w:t>
      </w:r>
      <w:r>
        <w:t>gångspunkten för transportinfrastrukturens utveckling bör vara att inga mä</w:t>
      </w:r>
      <w:r>
        <w:t>n</w:t>
      </w:r>
      <w:r>
        <w:t>niskor skall dödas eller skadas allvarligt i olyckor inom vägtransportsyste</w:t>
      </w:r>
      <w:r>
        <w:t>m</w:t>
      </w:r>
      <w:r>
        <w:t>et.</w:t>
      </w:r>
    </w:p>
    <w:p w:rsidR="00E27ED4" w:rsidRDefault="00E27ED4">
      <w:pPr>
        <w:pStyle w:val="Normaltindrag"/>
      </w:pPr>
      <w:r>
        <w:t>I oktober 1997 godkände riksdagen förslaget i proposition 199</w:t>
      </w:r>
      <w:r>
        <w:t>6/97:137 Nollvisionen och det trafiksäkra samhället ”att det långsiktiga målet för trafiksäkerheten skall vara att ingen skall dödas eller skadas allvarligt till följd av trafikolyckor i vägtransportsystemet (nollvisionen) samt att vä</w:t>
      </w:r>
      <w:r>
        <w:t>g</w:t>
      </w:r>
      <w:r>
        <w:t>transportsystemets utformning och funktion anpassas till de krav som följer av detta” (bet. 1997/98:TU4, rskr. 1997/98:11). I beslutet betonas att nollv</w:t>
      </w:r>
      <w:r>
        <w:t>i</w:t>
      </w:r>
      <w:r>
        <w:t>sionen förutsätter en ny ansvarsfördelning för vägtransportsystemets trafi</w:t>
      </w:r>
      <w:r>
        <w:t>k</w:t>
      </w:r>
      <w:r>
        <w:t>säkerhet.  Hittills har – sades det – så gott som</w:t>
      </w:r>
      <w:r>
        <w:t xml:space="preserve"> hela ansvaret åvilat den e</w:t>
      </w:r>
      <w:r>
        <w:t>n</w:t>
      </w:r>
      <w:r>
        <w:t>skilde trafikanten. I nollvisionens samhälle är ansvaret för trafiksäkerheten delat mellan trafikanterna och de s.k. systemutformarna. Med systemutfo</w:t>
      </w:r>
      <w:r>
        <w:t>r</w:t>
      </w:r>
      <w:r>
        <w:t>mare avses offentliga och privata organ som ansvarar för utformning och drift av olika delar av vägtransportsystemet såsom väg, fordon och tran</w:t>
      </w:r>
      <w:r>
        <w:t>s</w:t>
      </w:r>
      <w:r>
        <w:t xml:space="preserve">porttjänster, samt de som ansvarar för olika stödsystem för en säker vägtrafik såsom regelverk, utbildning, information, övervakning, räddning, vård och rehabilitering. Systemutformarna har </w:t>
      </w:r>
      <w:r>
        <w:t>alltid – underströks det i riksdagsb</w:t>
      </w:r>
      <w:r>
        <w:t>e</w:t>
      </w:r>
      <w:r>
        <w:t>slutet –  det yttersta ansvaret för vägtransportsystemets hela säkerhetsnivå. Trafikanterna är liksom tidigare skyldiga att visa hänsyn, omdöme och a</w:t>
      </w:r>
      <w:r>
        <w:t>n</w:t>
      </w:r>
      <w:r>
        <w:t xml:space="preserve">svar i trafiken samt att följa trafikreglerna. Om trafikanterna inte tar sin del av ansvaret – på grund av t.ex. bristande kunskap, acceptans eller förmåga – eller om personskador uppstår eller riskerar att uppstå av andra orsaker, måste systemutformarna vidta ytterligare åtgärder i den mån detta krävs för att motverka att </w:t>
      </w:r>
      <w:r>
        <w:t xml:space="preserve">människor dödas eller skadas allvarligt.   </w:t>
      </w:r>
    </w:p>
    <w:p w:rsidR="00E27ED4" w:rsidRDefault="00E27ED4">
      <w:pPr>
        <w:pStyle w:val="Normaltindrag"/>
      </w:pPr>
      <w:r>
        <w:t>I juni 1998 ställde sig riksdagen bakom regeringens förslag i proposition 1997/98:56 Transportpolitik för en hållbar utveckling att nollvisionen skall gälla som ett långsiktigt mål inte bara för vägtrafiken utan  för alla trafikslag (bet. 1997/98:TU10, rskr. 1997/98:266). I samband därmed godkände rik</w:t>
      </w:r>
      <w:r>
        <w:t>s</w:t>
      </w:r>
      <w:r>
        <w:t>dagen också ett etappmål med innebörden att antalet dödade och skadade inom transportsystemet skall minska från år till år samt kvantifieringar av etappmålet för de olika trafikslagen. För vägtrafikens del innebar kvantifi</w:t>
      </w:r>
      <w:r>
        <w:t>e</w:t>
      </w:r>
      <w:r>
        <w:t xml:space="preserve">ringen att antalet personer som dödas till följd av vägtrafikolyckor skulle minska med minst 50 % till år 2007 räknat från 1996 års nivå. </w:t>
      </w:r>
    </w:p>
    <w:p w:rsidR="00E27ED4" w:rsidRDefault="00E27ED4">
      <w:pPr>
        <w:pStyle w:val="Rubrik3"/>
      </w:pPr>
      <w:bookmarkStart w:id="25" w:name="_Toc447092539"/>
      <w:r>
        <w:t>2.2 Trafiksäkerhetsarbetets  inriktning enligt  det nationella trafiksäkerhetsprogrammet för åren 1995–2000</w:t>
      </w:r>
      <w:bookmarkEnd w:id="25"/>
    </w:p>
    <w:p w:rsidR="00E27ED4" w:rsidRDefault="00E27ED4">
      <w:r>
        <w:t>I 1993 års riksdagsbeslut om trafiksäkerheten  betecknas som nämnts Vä</w:t>
      </w:r>
      <w:r>
        <w:t>g</w:t>
      </w:r>
      <w:r>
        <w:t>verket, polisen och kommunerna såsom huvudaktörer inom trafiksäkerhet</w:t>
      </w:r>
      <w:r>
        <w:t>s</w:t>
      </w:r>
      <w:r>
        <w:t>området.  Med anledning av beslutet uppdrog regeringen åt Vägverket att utarbeta ett nationellt trafiksäkerhetsprogram. Vägverket, Rikspolisstyrelsen och Svenska kommunförbundet utarbetade programmet och redovisade resultatet  i september 1994. I programmet, som gäller för åren 1995–2000, läggs särskild vikt vid tio s.k. reformer inom vilka insatser vidtas för att lösa olika trafiksäkerhetsproblem. Dessa reformer är värdering av trafiksä</w:t>
      </w:r>
      <w:r>
        <w:t>kerhet, trafiknykterhet, färre hastighetsöverträdelser, färre andra regelöverträdelser, säkrare trafikmiljö, användning av skyddsutrustning i bil, säkrare bilar, sy</w:t>
      </w:r>
      <w:r>
        <w:t>n</w:t>
      </w:r>
      <w:r>
        <w:t>barhet i trafiken, användning av cykelhjälm samt räddning, vård och reh</w:t>
      </w:r>
      <w:r>
        <w:t>a</w:t>
      </w:r>
      <w:r>
        <w:t>biltering. För varje reformområde har konkreta verksamhetsmål ställts upp, såsom bl.a. minskad andel onyktra i polisens kontroller, minskad andel ha</w:t>
      </w:r>
      <w:r>
        <w:t>s</w:t>
      </w:r>
      <w:r>
        <w:t>tighetsöverträdelser och ökad andel cyklister som använder cyke</w:t>
      </w:r>
      <w:r>
        <w:t>l</w:t>
      </w:r>
      <w:r>
        <w:t xml:space="preserve">hjälm. </w:t>
      </w:r>
    </w:p>
    <w:p w:rsidR="00E27ED4" w:rsidRDefault="00E27ED4">
      <w:pPr>
        <w:pStyle w:val="Normaltindrag"/>
      </w:pPr>
      <w:r>
        <w:t>I programmet föreslås också  kvantitativa trafiksäkerh</w:t>
      </w:r>
      <w:r>
        <w:t>etsmål. De innebär högst 400 dödade och högst 3 700 svårt skadade i trafiken år 2000. Det inn</w:t>
      </w:r>
      <w:r>
        <w:t>e</w:t>
      </w:r>
      <w:r>
        <w:t>bär vidare totalt högst 17 000 skadade i polisrapporterade olyckor år 2000. De sålunda angivna kvantitativa trafiksäkerhetsmålen har sedermera fas</w:t>
      </w:r>
      <w:r>
        <w:t>t</w:t>
      </w:r>
      <w:r>
        <w:t>ställts av regeringen, såsom en del av Vägverkets verksamhetsmål, i regl</w:t>
      </w:r>
      <w:r>
        <w:t>e</w:t>
      </w:r>
      <w:r>
        <w:t>ringsbrev för vart och ett av  åren 1997, 1998 och 1999.</w:t>
      </w:r>
    </w:p>
    <w:p w:rsidR="00E27ED4" w:rsidRDefault="00E27ED4">
      <w:pPr>
        <w:pStyle w:val="Rubrik3"/>
      </w:pPr>
      <w:bookmarkStart w:id="26" w:name="_Toc447092540"/>
      <w:r>
        <w:t>2.3 Några uppgifter om trafiksäkerhetsutvecklingen</w:t>
      </w:r>
      <w:bookmarkEnd w:id="26"/>
    </w:p>
    <w:p w:rsidR="00E27ED4" w:rsidRDefault="00E27ED4">
      <w:pPr>
        <w:rPr>
          <w:sz w:val="20"/>
        </w:rPr>
      </w:pPr>
      <w:r>
        <w:rPr>
          <w:sz w:val="20"/>
        </w:rPr>
        <w:t>Utvecklingen i fråga om antalet dödade och skadade personer vid poli</w:t>
      </w:r>
      <w:r>
        <w:rPr>
          <w:sz w:val="20"/>
        </w:rPr>
        <w:t>s</w:t>
      </w:r>
      <w:r>
        <w:rPr>
          <w:sz w:val="20"/>
        </w:rPr>
        <w:t>ra</w:t>
      </w:r>
      <w:r>
        <w:rPr>
          <w:sz w:val="20"/>
        </w:rPr>
        <w:t>p</w:t>
      </w:r>
      <w:r>
        <w:rPr>
          <w:sz w:val="20"/>
        </w:rPr>
        <w:t>porterade vägtrafikolyckor från år 1988 har varit följande.</w:t>
      </w:r>
    </w:p>
    <w:p w:rsidR="00E27ED4" w:rsidRDefault="00E27ED4">
      <w:pPr>
        <w:spacing w:before="0"/>
        <w:rPr>
          <w:sz w:val="20"/>
        </w:rPr>
      </w:pPr>
      <w:r>
        <w:rPr>
          <w:sz w:val="20"/>
        </w:rPr>
        <w:br w:type="page"/>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6024"/>
      </w:tblGrid>
      <w:tr w:rsidR="00000000">
        <w:tblPrEx>
          <w:tblCellMar>
            <w:top w:w="0" w:type="dxa"/>
            <w:bottom w:w="0" w:type="dxa"/>
          </w:tblCellMar>
        </w:tblPrEx>
        <w:tc>
          <w:tcPr>
            <w:tcW w:w="6024" w:type="dxa"/>
            <w:tcBorders>
              <w:top w:val="single" w:sz="2" w:space="0" w:color="000000"/>
              <w:bottom w:val="single" w:sz="2" w:space="0" w:color="000000"/>
            </w:tcBorders>
          </w:tcPr>
          <w:p w:rsidR="00E27ED4" w:rsidRDefault="00E27ED4">
            <w:pPr>
              <w:spacing w:before="0"/>
              <w:rPr>
                <w:sz w:val="20"/>
              </w:rPr>
            </w:pPr>
            <w:r>
              <w:br w:type="page"/>
            </w:r>
          </w:p>
          <w:p w:rsidR="00E27ED4" w:rsidRDefault="00E27ED4">
            <w:pPr>
              <w:spacing w:before="0"/>
              <w:rPr>
                <w:b/>
                <w:sz w:val="20"/>
              </w:rPr>
            </w:pPr>
            <w:r>
              <w:rPr>
                <w:b/>
                <w:sz w:val="20"/>
              </w:rPr>
              <w:t xml:space="preserve">År   </w:t>
            </w:r>
            <w:r>
              <w:rPr>
                <w:sz w:val="20"/>
              </w:rPr>
              <w:t xml:space="preserve">             </w:t>
            </w:r>
            <w:r>
              <w:rPr>
                <w:b/>
                <w:sz w:val="20"/>
              </w:rPr>
              <w:t>Antal                     Antal svårt             Antal  lindrigt</w:t>
            </w:r>
          </w:p>
          <w:p w:rsidR="00E27ED4" w:rsidRDefault="00E27ED4">
            <w:pPr>
              <w:spacing w:before="0"/>
              <w:rPr>
                <w:b/>
                <w:sz w:val="20"/>
              </w:rPr>
            </w:pPr>
            <w:r>
              <w:rPr>
                <w:b/>
                <w:sz w:val="20"/>
              </w:rPr>
              <w:t xml:space="preserve">                     dödade                  skadade                  skadade</w:t>
            </w:r>
          </w:p>
          <w:p w:rsidR="00E27ED4" w:rsidRDefault="00E27ED4">
            <w:pPr>
              <w:pStyle w:val="Normaltindrag"/>
            </w:pPr>
          </w:p>
        </w:tc>
      </w:tr>
      <w:tr w:rsidR="00000000">
        <w:tblPrEx>
          <w:tblCellMar>
            <w:top w:w="0" w:type="dxa"/>
            <w:bottom w:w="0" w:type="dxa"/>
          </w:tblCellMar>
        </w:tblPrEx>
        <w:tc>
          <w:tcPr>
            <w:tcW w:w="6024" w:type="dxa"/>
            <w:tcBorders>
              <w:top w:val="nil"/>
            </w:tcBorders>
          </w:tcPr>
          <w:p w:rsidR="00E27ED4" w:rsidRDefault="00E27ED4">
            <w:pPr>
              <w:spacing w:before="0"/>
              <w:rPr>
                <w:sz w:val="20"/>
              </w:rPr>
            </w:pPr>
          </w:p>
          <w:p w:rsidR="00E27ED4" w:rsidRDefault="00E27ED4">
            <w:pPr>
              <w:spacing w:before="0"/>
              <w:rPr>
                <w:sz w:val="20"/>
              </w:rPr>
            </w:pPr>
            <w:r>
              <w:rPr>
                <w:i/>
                <w:sz w:val="20"/>
              </w:rPr>
              <w:t>1988</w:t>
            </w:r>
            <w:r>
              <w:rPr>
                <w:sz w:val="20"/>
              </w:rPr>
              <w:t xml:space="preserve">             813</w:t>
            </w:r>
            <w:r>
              <w:rPr>
                <w:sz w:val="20"/>
              </w:rPr>
              <w:tab/>
              <w:t>5 869</w:t>
            </w:r>
            <w:r>
              <w:rPr>
                <w:sz w:val="20"/>
              </w:rPr>
              <w:tab/>
              <w:t xml:space="preserve">     16 969</w:t>
            </w:r>
          </w:p>
        </w:tc>
      </w:tr>
      <w:tr w:rsidR="00000000">
        <w:tblPrEx>
          <w:tblCellMar>
            <w:top w:w="0" w:type="dxa"/>
            <w:bottom w:w="0" w:type="dxa"/>
          </w:tblCellMar>
        </w:tblPrEx>
        <w:tc>
          <w:tcPr>
            <w:tcW w:w="6024" w:type="dxa"/>
          </w:tcPr>
          <w:p w:rsidR="00E27ED4" w:rsidRDefault="00E27ED4">
            <w:pPr>
              <w:rPr>
                <w:sz w:val="20"/>
              </w:rPr>
            </w:pPr>
            <w:r>
              <w:rPr>
                <w:i/>
                <w:sz w:val="20"/>
              </w:rPr>
              <w:t xml:space="preserve">1989  </w:t>
            </w:r>
            <w:r>
              <w:rPr>
                <w:sz w:val="20"/>
              </w:rPr>
              <w:t xml:space="preserve">           904</w:t>
            </w:r>
            <w:r>
              <w:rPr>
                <w:sz w:val="20"/>
              </w:rPr>
              <w:tab/>
              <w:t>5 790</w:t>
            </w:r>
            <w:r>
              <w:rPr>
                <w:sz w:val="20"/>
              </w:rPr>
              <w:tab/>
              <w:t xml:space="preserve">     17741</w:t>
            </w:r>
          </w:p>
        </w:tc>
      </w:tr>
      <w:tr w:rsidR="00000000">
        <w:tblPrEx>
          <w:tblCellMar>
            <w:top w:w="0" w:type="dxa"/>
            <w:bottom w:w="0" w:type="dxa"/>
          </w:tblCellMar>
        </w:tblPrEx>
        <w:tc>
          <w:tcPr>
            <w:tcW w:w="6024" w:type="dxa"/>
          </w:tcPr>
          <w:p w:rsidR="00E27ED4" w:rsidRDefault="00E27ED4">
            <w:pPr>
              <w:rPr>
                <w:sz w:val="20"/>
              </w:rPr>
            </w:pPr>
            <w:r>
              <w:rPr>
                <w:i/>
                <w:sz w:val="20"/>
              </w:rPr>
              <w:t xml:space="preserve">1990 </w:t>
            </w:r>
            <w:r>
              <w:rPr>
                <w:sz w:val="20"/>
              </w:rPr>
              <w:t xml:space="preserve">            772</w:t>
            </w:r>
            <w:r>
              <w:rPr>
                <w:sz w:val="20"/>
              </w:rPr>
              <w:tab/>
              <w:t>5 501</w:t>
            </w:r>
            <w:r>
              <w:rPr>
                <w:sz w:val="20"/>
              </w:rPr>
              <w:tab/>
              <w:t xml:space="preserve">     16 996</w:t>
            </w:r>
          </w:p>
        </w:tc>
      </w:tr>
      <w:tr w:rsidR="00000000">
        <w:tblPrEx>
          <w:tblCellMar>
            <w:top w:w="0" w:type="dxa"/>
            <w:bottom w:w="0" w:type="dxa"/>
          </w:tblCellMar>
        </w:tblPrEx>
        <w:tc>
          <w:tcPr>
            <w:tcW w:w="6024" w:type="dxa"/>
          </w:tcPr>
          <w:p w:rsidR="00E27ED4" w:rsidRDefault="00E27ED4">
            <w:pPr>
              <w:rPr>
                <w:sz w:val="20"/>
              </w:rPr>
            </w:pPr>
            <w:r>
              <w:rPr>
                <w:i/>
                <w:sz w:val="20"/>
              </w:rPr>
              <w:t xml:space="preserve">1991 </w:t>
            </w:r>
            <w:r>
              <w:rPr>
                <w:sz w:val="20"/>
              </w:rPr>
              <w:t xml:space="preserve">            745</w:t>
            </w:r>
            <w:r>
              <w:rPr>
                <w:sz w:val="20"/>
              </w:rPr>
              <w:tab/>
              <w:t>4 832</w:t>
            </w:r>
            <w:r>
              <w:rPr>
                <w:sz w:val="20"/>
              </w:rPr>
              <w:tab/>
              <w:t xml:space="preserve">     16 225</w:t>
            </w:r>
            <w:r>
              <w:rPr>
                <w:sz w:val="20"/>
              </w:rPr>
              <w:tab/>
            </w:r>
          </w:p>
        </w:tc>
      </w:tr>
      <w:tr w:rsidR="00000000">
        <w:tblPrEx>
          <w:tblCellMar>
            <w:top w:w="0" w:type="dxa"/>
            <w:bottom w:w="0" w:type="dxa"/>
          </w:tblCellMar>
        </w:tblPrEx>
        <w:tc>
          <w:tcPr>
            <w:tcW w:w="6024" w:type="dxa"/>
          </w:tcPr>
          <w:p w:rsidR="00E27ED4" w:rsidRDefault="00E27ED4">
            <w:pPr>
              <w:rPr>
                <w:sz w:val="20"/>
              </w:rPr>
            </w:pPr>
            <w:r>
              <w:rPr>
                <w:i/>
                <w:sz w:val="20"/>
              </w:rPr>
              <w:t>1992</w:t>
            </w:r>
            <w:r>
              <w:rPr>
                <w:sz w:val="20"/>
              </w:rPr>
              <w:t xml:space="preserve">             759</w:t>
            </w:r>
            <w:r>
              <w:rPr>
                <w:sz w:val="20"/>
              </w:rPr>
              <w:tab/>
              <w:t>4 705</w:t>
            </w:r>
            <w:r>
              <w:rPr>
                <w:sz w:val="20"/>
              </w:rPr>
              <w:tab/>
              <w:t xml:space="preserve">     16 022</w:t>
            </w:r>
          </w:p>
        </w:tc>
      </w:tr>
      <w:tr w:rsidR="00000000">
        <w:tblPrEx>
          <w:tblCellMar>
            <w:top w:w="0" w:type="dxa"/>
            <w:bottom w:w="0" w:type="dxa"/>
          </w:tblCellMar>
        </w:tblPrEx>
        <w:tc>
          <w:tcPr>
            <w:tcW w:w="6024" w:type="dxa"/>
          </w:tcPr>
          <w:p w:rsidR="00E27ED4" w:rsidRDefault="00E27ED4">
            <w:pPr>
              <w:rPr>
                <w:sz w:val="20"/>
              </w:rPr>
            </w:pPr>
            <w:r>
              <w:rPr>
                <w:i/>
                <w:sz w:val="20"/>
              </w:rPr>
              <w:t xml:space="preserve">1993     </w:t>
            </w:r>
            <w:r>
              <w:rPr>
                <w:sz w:val="20"/>
              </w:rPr>
              <w:t xml:space="preserve">        632</w:t>
            </w:r>
            <w:r>
              <w:rPr>
                <w:sz w:val="20"/>
              </w:rPr>
              <w:tab/>
              <w:t>4 334</w:t>
            </w:r>
            <w:r>
              <w:rPr>
                <w:sz w:val="20"/>
              </w:rPr>
              <w:tab/>
              <w:t xml:space="preserve">     15 407</w:t>
            </w:r>
          </w:p>
        </w:tc>
      </w:tr>
      <w:tr w:rsidR="00000000">
        <w:tblPrEx>
          <w:tblCellMar>
            <w:top w:w="0" w:type="dxa"/>
            <w:bottom w:w="0" w:type="dxa"/>
          </w:tblCellMar>
        </w:tblPrEx>
        <w:tc>
          <w:tcPr>
            <w:tcW w:w="6024" w:type="dxa"/>
          </w:tcPr>
          <w:p w:rsidR="00E27ED4" w:rsidRDefault="00E27ED4">
            <w:pPr>
              <w:rPr>
                <w:sz w:val="20"/>
              </w:rPr>
            </w:pPr>
            <w:r>
              <w:rPr>
                <w:i/>
                <w:sz w:val="20"/>
              </w:rPr>
              <w:t>1994</w:t>
            </w:r>
            <w:r>
              <w:rPr>
                <w:sz w:val="20"/>
              </w:rPr>
              <w:t xml:space="preserve">            589</w:t>
            </w:r>
            <w:r>
              <w:rPr>
                <w:sz w:val="20"/>
              </w:rPr>
              <w:tab/>
            </w:r>
            <w:r>
              <w:rPr>
                <w:sz w:val="20"/>
              </w:rPr>
              <w:tab/>
              <w:t>4 221</w:t>
            </w:r>
            <w:r>
              <w:rPr>
                <w:sz w:val="20"/>
              </w:rPr>
              <w:tab/>
              <w:t xml:space="preserve">     16 862 </w:t>
            </w:r>
          </w:p>
        </w:tc>
      </w:tr>
      <w:tr w:rsidR="00000000">
        <w:tblPrEx>
          <w:tblCellMar>
            <w:top w:w="0" w:type="dxa"/>
            <w:bottom w:w="0" w:type="dxa"/>
          </w:tblCellMar>
        </w:tblPrEx>
        <w:tc>
          <w:tcPr>
            <w:tcW w:w="6024" w:type="dxa"/>
          </w:tcPr>
          <w:p w:rsidR="00E27ED4" w:rsidRDefault="00E27ED4">
            <w:pPr>
              <w:rPr>
                <w:sz w:val="20"/>
              </w:rPr>
            </w:pPr>
            <w:r>
              <w:rPr>
                <w:i/>
                <w:sz w:val="20"/>
              </w:rPr>
              <w:t xml:space="preserve">1995  </w:t>
            </w:r>
            <w:r>
              <w:rPr>
                <w:sz w:val="20"/>
              </w:rPr>
              <w:t xml:space="preserve">          572</w:t>
            </w:r>
            <w:r>
              <w:rPr>
                <w:sz w:val="20"/>
              </w:rPr>
              <w:tab/>
            </w:r>
            <w:r>
              <w:rPr>
                <w:sz w:val="20"/>
              </w:rPr>
              <w:tab/>
              <w:t>3 965</w:t>
            </w:r>
            <w:r>
              <w:rPr>
                <w:sz w:val="20"/>
              </w:rPr>
              <w:tab/>
              <w:t xml:space="preserve">     17 208</w:t>
            </w:r>
          </w:p>
        </w:tc>
      </w:tr>
      <w:tr w:rsidR="00000000">
        <w:tblPrEx>
          <w:tblCellMar>
            <w:top w:w="0" w:type="dxa"/>
            <w:bottom w:w="0" w:type="dxa"/>
          </w:tblCellMar>
        </w:tblPrEx>
        <w:tc>
          <w:tcPr>
            <w:tcW w:w="6024" w:type="dxa"/>
          </w:tcPr>
          <w:p w:rsidR="00E27ED4" w:rsidRDefault="00E27ED4">
            <w:pPr>
              <w:rPr>
                <w:sz w:val="20"/>
              </w:rPr>
            </w:pPr>
            <w:r>
              <w:rPr>
                <w:i/>
                <w:sz w:val="20"/>
              </w:rPr>
              <w:t>1996</w:t>
            </w:r>
            <w:r>
              <w:rPr>
                <w:sz w:val="20"/>
              </w:rPr>
              <w:t xml:space="preserve">            537</w:t>
            </w:r>
            <w:r>
              <w:rPr>
                <w:sz w:val="20"/>
              </w:rPr>
              <w:tab/>
            </w:r>
            <w:r>
              <w:rPr>
                <w:sz w:val="20"/>
              </w:rPr>
              <w:tab/>
              <w:t>3 837</w:t>
            </w:r>
            <w:r>
              <w:rPr>
                <w:sz w:val="20"/>
              </w:rPr>
              <w:tab/>
              <w:t xml:space="preserve">     16 973</w:t>
            </w:r>
          </w:p>
        </w:tc>
      </w:tr>
      <w:tr w:rsidR="00000000">
        <w:tblPrEx>
          <w:tblCellMar>
            <w:top w:w="0" w:type="dxa"/>
            <w:bottom w:w="0" w:type="dxa"/>
          </w:tblCellMar>
        </w:tblPrEx>
        <w:tc>
          <w:tcPr>
            <w:tcW w:w="6024" w:type="dxa"/>
          </w:tcPr>
          <w:p w:rsidR="00E27ED4" w:rsidRDefault="00E27ED4">
            <w:pPr>
              <w:rPr>
                <w:sz w:val="20"/>
              </w:rPr>
            </w:pPr>
            <w:r>
              <w:rPr>
                <w:i/>
                <w:sz w:val="20"/>
              </w:rPr>
              <w:t xml:space="preserve">1997     </w:t>
            </w:r>
            <w:r>
              <w:rPr>
                <w:sz w:val="20"/>
              </w:rPr>
              <w:t xml:space="preserve">       541</w:t>
            </w:r>
            <w:r>
              <w:rPr>
                <w:sz w:val="20"/>
              </w:rPr>
              <w:tab/>
            </w:r>
            <w:r>
              <w:rPr>
                <w:sz w:val="20"/>
              </w:rPr>
              <w:tab/>
              <w:t>3 917</w:t>
            </w:r>
            <w:r>
              <w:rPr>
                <w:sz w:val="20"/>
              </w:rPr>
              <w:tab/>
              <w:t xml:space="preserve">     17 363</w:t>
            </w:r>
          </w:p>
        </w:tc>
      </w:tr>
      <w:tr w:rsidR="00000000">
        <w:tblPrEx>
          <w:tblCellMar>
            <w:top w:w="0" w:type="dxa"/>
            <w:bottom w:w="0" w:type="dxa"/>
          </w:tblCellMar>
        </w:tblPrEx>
        <w:tc>
          <w:tcPr>
            <w:tcW w:w="6024" w:type="dxa"/>
            <w:tcBorders>
              <w:bottom w:val="single" w:sz="2" w:space="0" w:color="000000"/>
            </w:tcBorders>
          </w:tcPr>
          <w:p w:rsidR="00E27ED4" w:rsidRDefault="00E27ED4">
            <w:pPr>
              <w:pStyle w:val="Citat"/>
            </w:pPr>
            <w:r>
              <w:tab/>
              <w:t xml:space="preserve">                          </w:t>
            </w:r>
            <w:r>
              <w:tab/>
            </w:r>
            <w:r>
              <w:tab/>
            </w:r>
          </w:p>
        </w:tc>
      </w:tr>
    </w:tbl>
    <w:p w:rsidR="00E27ED4" w:rsidRDefault="00E27ED4"/>
    <w:p w:rsidR="00E27ED4" w:rsidRDefault="00E27ED4">
      <w:pPr>
        <w:spacing w:before="0"/>
      </w:pPr>
      <w:r>
        <w:t>Av tabellen framgår att den positiva utvecklingen med ett kontinuerligt sju</w:t>
      </w:r>
      <w:r>
        <w:t>n</w:t>
      </w:r>
      <w:r>
        <w:t xml:space="preserve">kande antal döda och svårt skadade i vägtrafiken under åren 1993–1996 har brutits. </w:t>
      </w:r>
    </w:p>
    <w:p w:rsidR="00E27ED4" w:rsidRDefault="00E27ED4">
      <w:r>
        <w:t>Det bör påpekas att antalet skadade i vägtrafikolyckor är betydligt större än vad polisrapporterna visar, eftersom åtskilliga olyckor – särskilt sådana med lindriga personskador – inte kommer till polisens känn</w:t>
      </w:r>
      <w:r>
        <w:t>e</w:t>
      </w:r>
      <w:r>
        <w:t>dom.</w:t>
      </w:r>
    </w:p>
    <w:p w:rsidR="00E27ED4" w:rsidRDefault="00E27ED4">
      <w:r>
        <w:t>Som framgår av nedanstående tabell varierar trafiksäkerheten betydligt me</w:t>
      </w:r>
      <w:r>
        <w:t>l</w:t>
      </w:r>
      <w:r>
        <w:t>lan olika trafikantkategorier. Andelen bilförare av det totala antalet dödade i vägtrafiken har ökat från 43 % år 1987 till 50 % tio år senare. Andelen död</w:t>
      </w:r>
      <w:r>
        <w:t>a</w:t>
      </w:r>
      <w:r>
        <w:t>de bilpassagerare har däremot minskat något under tioårsperioden, från 21 till 18 %. Även de gående utgör en stor andel av det totala antalet omkomna i vägtrafiken. Andelen har dock minskat från 18 % till 13 % under den redov</w:t>
      </w:r>
      <w:r>
        <w:t>i</w:t>
      </w:r>
      <w:r>
        <w:t>sade tioårsperioden.</w:t>
      </w:r>
    </w:p>
    <w:p w:rsidR="00E27ED4" w:rsidRDefault="00E27ED4">
      <w:pPr>
        <w:spacing w:before="0" w:line="20" w:lineRule="exact"/>
      </w:pPr>
      <w:r>
        <w:br w:type="page"/>
        <w:t xml:space="preserve"> </w:t>
      </w:r>
    </w:p>
    <w:tbl>
      <w:tblPr>
        <w:tblW w:w="0" w:type="auto"/>
        <w:tblInd w:w="-30" w:type="dxa"/>
        <w:tblBorders>
          <w:top w:val="single" w:sz="12" w:space="0" w:color="008000"/>
          <w:left w:val="nil"/>
          <w:bottom w:val="single" w:sz="12" w:space="0" w:color="008000"/>
          <w:right w:val="nil"/>
          <w:insideH w:val="nil"/>
          <w:insideV w:val="nil"/>
        </w:tblBorders>
        <w:tblLayout w:type="fixed"/>
        <w:tblCellMar>
          <w:left w:w="30" w:type="dxa"/>
          <w:right w:w="30" w:type="dxa"/>
        </w:tblCellMar>
        <w:tblLook w:val="00BF" w:firstRow="1" w:lastRow="0" w:firstColumn="1" w:lastColumn="0" w:noHBand="0" w:noVBand="0"/>
      </w:tblPr>
      <w:tblGrid>
        <w:gridCol w:w="456"/>
        <w:gridCol w:w="609"/>
        <w:gridCol w:w="662"/>
        <w:gridCol w:w="689"/>
        <w:gridCol w:w="729"/>
        <w:gridCol w:w="636"/>
        <w:gridCol w:w="513"/>
        <w:gridCol w:w="582"/>
        <w:gridCol w:w="506"/>
        <w:gridCol w:w="573"/>
      </w:tblGrid>
      <w:tr w:rsidR="00000000">
        <w:tblPrEx>
          <w:tblCellMar>
            <w:top w:w="0" w:type="dxa"/>
            <w:bottom w:w="0" w:type="dxa"/>
          </w:tblCellMar>
        </w:tblPrEx>
        <w:trPr>
          <w:trHeight w:val="276"/>
        </w:trPr>
        <w:tc>
          <w:tcPr>
            <w:tcW w:w="456" w:type="dxa"/>
            <w:tcBorders>
              <w:top w:val="single" w:sz="2" w:space="0" w:color="000000"/>
              <w:bottom w:val="single" w:sz="2" w:space="0" w:color="000000"/>
            </w:tcBorders>
          </w:tcPr>
          <w:p w:rsidR="00E27ED4" w:rsidRDefault="00E27ED4">
            <w:pPr>
              <w:pStyle w:val="Citat"/>
              <w:spacing w:before="0"/>
              <w:rPr>
                <w:b/>
              </w:rPr>
            </w:pPr>
            <w:r>
              <w:br w:type="page"/>
            </w:r>
          </w:p>
          <w:p w:rsidR="00E27ED4" w:rsidRDefault="00E27ED4">
            <w:pPr>
              <w:pStyle w:val="Citat"/>
              <w:spacing w:before="0"/>
              <w:rPr>
                <w:b/>
              </w:rPr>
            </w:pPr>
            <w:r>
              <w:rPr>
                <w:b/>
              </w:rPr>
              <w:t>År</w:t>
            </w:r>
          </w:p>
        </w:tc>
        <w:tc>
          <w:tcPr>
            <w:tcW w:w="609"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Bil-</w:t>
            </w:r>
          </w:p>
          <w:p w:rsidR="00E27ED4" w:rsidRDefault="00E27ED4">
            <w:pPr>
              <w:pStyle w:val="Citat"/>
              <w:spacing w:before="0"/>
              <w:rPr>
                <w:b/>
              </w:rPr>
            </w:pPr>
            <w:r>
              <w:rPr>
                <w:b/>
              </w:rPr>
              <w:t>f</w:t>
            </w:r>
            <w:r>
              <w:rPr>
                <w:b/>
              </w:rPr>
              <w:t>ö</w:t>
            </w:r>
            <w:r>
              <w:rPr>
                <w:b/>
              </w:rPr>
              <w:t>rare</w:t>
            </w:r>
          </w:p>
        </w:tc>
        <w:tc>
          <w:tcPr>
            <w:tcW w:w="662"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Bil-</w:t>
            </w:r>
          </w:p>
          <w:p w:rsidR="00E27ED4" w:rsidRDefault="00E27ED4">
            <w:pPr>
              <w:pStyle w:val="Citat"/>
              <w:spacing w:before="0"/>
              <w:rPr>
                <w:b/>
              </w:rPr>
            </w:pPr>
            <w:r>
              <w:rPr>
                <w:b/>
              </w:rPr>
              <w:t>passa- gerare</w:t>
            </w:r>
          </w:p>
        </w:tc>
        <w:tc>
          <w:tcPr>
            <w:tcW w:w="689"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MC- förare</w:t>
            </w:r>
          </w:p>
        </w:tc>
        <w:tc>
          <w:tcPr>
            <w:tcW w:w="729"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MC-pass</w:t>
            </w:r>
            <w:r>
              <w:rPr>
                <w:b/>
              </w:rPr>
              <w:t>a</w:t>
            </w:r>
            <w:r>
              <w:rPr>
                <w:b/>
              </w:rPr>
              <w:t>gerare</w:t>
            </w:r>
          </w:p>
          <w:p w:rsidR="00E27ED4" w:rsidRDefault="00E27ED4">
            <w:pPr>
              <w:spacing w:before="0"/>
              <w:rPr>
                <w:b/>
              </w:rPr>
            </w:pPr>
          </w:p>
        </w:tc>
        <w:tc>
          <w:tcPr>
            <w:tcW w:w="636"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Mop</w:t>
            </w:r>
            <w:r>
              <w:rPr>
                <w:b/>
              </w:rPr>
              <w:t>e</w:t>
            </w:r>
            <w:r>
              <w:rPr>
                <w:b/>
              </w:rPr>
              <w:t>dist</w:t>
            </w:r>
          </w:p>
        </w:tc>
        <w:tc>
          <w:tcPr>
            <w:tcW w:w="513"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Cy</w:t>
            </w:r>
            <w:r>
              <w:rPr>
                <w:b/>
              </w:rPr>
              <w:t>k</w:t>
            </w:r>
            <w:r>
              <w:rPr>
                <w:b/>
              </w:rPr>
              <w:t>list</w:t>
            </w:r>
          </w:p>
        </w:tc>
        <w:tc>
          <w:tcPr>
            <w:tcW w:w="582"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G</w:t>
            </w:r>
            <w:r>
              <w:rPr>
                <w:b/>
              </w:rPr>
              <w:t>å</w:t>
            </w:r>
            <w:r>
              <w:rPr>
                <w:b/>
              </w:rPr>
              <w:t>ende</w:t>
            </w:r>
          </w:p>
        </w:tc>
        <w:tc>
          <w:tcPr>
            <w:tcW w:w="506"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An</w:t>
            </w:r>
            <w:r>
              <w:rPr>
                <w:b/>
              </w:rPr>
              <w:t>d</w:t>
            </w:r>
            <w:r>
              <w:rPr>
                <w:b/>
              </w:rPr>
              <w:t>ra</w:t>
            </w:r>
          </w:p>
        </w:tc>
        <w:tc>
          <w:tcPr>
            <w:tcW w:w="573" w:type="dxa"/>
            <w:tcBorders>
              <w:top w:val="single" w:sz="2" w:space="0" w:color="000000"/>
              <w:bottom w:val="single" w:sz="2" w:space="0" w:color="000000"/>
            </w:tcBorders>
          </w:tcPr>
          <w:p w:rsidR="00E27ED4" w:rsidRDefault="00E27ED4">
            <w:pPr>
              <w:pStyle w:val="Citat"/>
              <w:spacing w:before="0"/>
              <w:rPr>
                <w:b/>
              </w:rPr>
            </w:pPr>
          </w:p>
          <w:p w:rsidR="00E27ED4" w:rsidRDefault="00E27ED4">
            <w:pPr>
              <w:pStyle w:val="Citat"/>
              <w:spacing w:before="0"/>
              <w:rPr>
                <w:b/>
              </w:rPr>
            </w:pPr>
            <w:r>
              <w:rPr>
                <w:b/>
              </w:rPr>
              <w:t>Summa</w:t>
            </w:r>
          </w:p>
        </w:tc>
      </w:tr>
      <w:tr w:rsidR="00000000">
        <w:tblPrEx>
          <w:tblCellMar>
            <w:top w:w="0" w:type="dxa"/>
            <w:bottom w:w="0" w:type="dxa"/>
          </w:tblCellMar>
        </w:tblPrEx>
        <w:trPr>
          <w:trHeight w:val="247"/>
        </w:trPr>
        <w:tc>
          <w:tcPr>
            <w:tcW w:w="456" w:type="dxa"/>
            <w:tcBorders>
              <w:top w:val="nil"/>
            </w:tcBorders>
          </w:tcPr>
          <w:p w:rsidR="00E27ED4" w:rsidRDefault="00E27ED4">
            <w:pPr>
              <w:rPr>
                <w:i/>
              </w:rPr>
            </w:pPr>
            <w:r>
              <w:rPr>
                <w:i/>
              </w:rPr>
              <w:t>1987</w:t>
            </w:r>
          </w:p>
        </w:tc>
        <w:tc>
          <w:tcPr>
            <w:tcW w:w="609" w:type="dxa"/>
            <w:tcBorders>
              <w:top w:val="nil"/>
            </w:tcBorders>
          </w:tcPr>
          <w:p w:rsidR="00E27ED4" w:rsidRDefault="00E27ED4">
            <w:r>
              <w:t xml:space="preserve">  334</w:t>
            </w:r>
          </w:p>
        </w:tc>
        <w:tc>
          <w:tcPr>
            <w:tcW w:w="662" w:type="dxa"/>
            <w:tcBorders>
              <w:top w:val="nil"/>
            </w:tcBorders>
          </w:tcPr>
          <w:p w:rsidR="00E27ED4" w:rsidRDefault="00E27ED4">
            <w:r>
              <w:t>162</w:t>
            </w:r>
          </w:p>
        </w:tc>
        <w:tc>
          <w:tcPr>
            <w:tcW w:w="689" w:type="dxa"/>
            <w:tcBorders>
              <w:top w:val="nil"/>
            </w:tcBorders>
          </w:tcPr>
          <w:p w:rsidR="00E27ED4" w:rsidRDefault="00E27ED4">
            <w:r>
              <w:t>53</w:t>
            </w:r>
          </w:p>
        </w:tc>
        <w:tc>
          <w:tcPr>
            <w:tcW w:w="729" w:type="dxa"/>
            <w:tcBorders>
              <w:top w:val="nil"/>
            </w:tcBorders>
          </w:tcPr>
          <w:p w:rsidR="00E27ED4" w:rsidRDefault="00E27ED4">
            <w:r>
              <w:t>6</w:t>
            </w:r>
          </w:p>
        </w:tc>
        <w:tc>
          <w:tcPr>
            <w:tcW w:w="636" w:type="dxa"/>
            <w:tcBorders>
              <w:top w:val="nil"/>
            </w:tcBorders>
          </w:tcPr>
          <w:p w:rsidR="00E27ED4" w:rsidRDefault="00E27ED4">
            <w:r>
              <w:t>24</w:t>
            </w:r>
          </w:p>
        </w:tc>
        <w:tc>
          <w:tcPr>
            <w:tcW w:w="513" w:type="dxa"/>
            <w:tcBorders>
              <w:top w:val="nil"/>
            </w:tcBorders>
          </w:tcPr>
          <w:p w:rsidR="00E27ED4" w:rsidRDefault="00E27ED4">
            <w:r>
              <w:t>58</w:t>
            </w:r>
          </w:p>
        </w:tc>
        <w:tc>
          <w:tcPr>
            <w:tcW w:w="582" w:type="dxa"/>
            <w:tcBorders>
              <w:top w:val="nil"/>
            </w:tcBorders>
          </w:tcPr>
          <w:p w:rsidR="00E27ED4" w:rsidRDefault="00E27ED4">
            <w:r>
              <w:t>144</w:t>
            </w:r>
          </w:p>
        </w:tc>
        <w:tc>
          <w:tcPr>
            <w:tcW w:w="506" w:type="dxa"/>
            <w:tcBorders>
              <w:top w:val="nil"/>
            </w:tcBorders>
          </w:tcPr>
          <w:p w:rsidR="00E27ED4" w:rsidRDefault="00E27ED4">
            <w:r>
              <w:t xml:space="preserve">  6</w:t>
            </w:r>
          </w:p>
        </w:tc>
        <w:tc>
          <w:tcPr>
            <w:tcW w:w="573" w:type="dxa"/>
            <w:tcBorders>
              <w:top w:val="nil"/>
            </w:tcBorders>
          </w:tcPr>
          <w:p w:rsidR="00E27ED4" w:rsidRDefault="00E27ED4">
            <w:r>
              <w:t>787</w:t>
            </w:r>
          </w:p>
        </w:tc>
      </w:tr>
      <w:tr w:rsidR="00000000">
        <w:tblPrEx>
          <w:tblCellMar>
            <w:top w:w="0" w:type="dxa"/>
            <w:bottom w:w="0" w:type="dxa"/>
          </w:tblCellMar>
        </w:tblPrEx>
        <w:trPr>
          <w:trHeight w:val="247"/>
        </w:trPr>
        <w:tc>
          <w:tcPr>
            <w:tcW w:w="456" w:type="dxa"/>
          </w:tcPr>
          <w:p w:rsidR="00E27ED4" w:rsidRDefault="00E27ED4">
            <w:pPr>
              <w:rPr>
                <w:i/>
              </w:rPr>
            </w:pPr>
            <w:r>
              <w:rPr>
                <w:i/>
              </w:rPr>
              <w:t>1988</w:t>
            </w:r>
          </w:p>
        </w:tc>
        <w:tc>
          <w:tcPr>
            <w:tcW w:w="609" w:type="dxa"/>
          </w:tcPr>
          <w:p w:rsidR="00E27ED4" w:rsidRDefault="00E27ED4">
            <w:r>
              <w:t xml:space="preserve">  359</w:t>
            </w:r>
          </w:p>
        </w:tc>
        <w:tc>
          <w:tcPr>
            <w:tcW w:w="662" w:type="dxa"/>
          </w:tcPr>
          <w:p w:rsidR="00E27ED4" w:rsidRDefault="00E27ED4">
            <w:r>
              <w:t>166</w:t>
            </w:r>
          </w:p>
        </w:tc>
        <w:tc>
          <w:tcPr>
            <w:tcW w:w="689" w:type="dxa"/>
          </w:tcPr>
          <w:p w:rsidR="00E27ED4" w:rsidRDefault="00E27ED4">
            <w:r>
              <w:t>50</w:t>
            </w:r>
          </w:p>
        </w:tc>
        <w:tc>
          <w:tcPr>
            <w:tcW w:w="729" w:type="dxa"/>
          </w:tcPr>
          <w:p w:rsidR="00E27ED4" w:rsidRDefault="00E27ED4">
            <w:r>
              <w:t>7</w:t>
            </w:r>
          </w:p>
        </w:tc>
        <w:tc>
          <w:tcPr>
            <w:tcW w:w="636" w:type="dxa"/>
          </w:tcPr>
          <w:p w:rsidR="00E27ED4" w:rsidRDefault="00E27ED4">
            <w:r>
              <w:t>24</w:t>
            </w:r>
          </w:p>
        </w:tc>
        <w:tc>
          <w:tcPr>
            <w:tcW w:w="513" w:type="dxa"/>
          </w:tcPr>
          <w:p w:rsidR="00E27ED4" w:rsidRDefault="00E27ED4">
            <w:r>
              <w:t>66</w:t>
            </w:r>
          </w:p>
        </w:tc>
        <w:tc>
          <w:tcPr>
            <w:tcW w:w="582" w:type="dxa"/>
          </w:tcPr>
          <w:p w:rsidR="00E27ED4" w:rsidRDefault="00E27ED4">
            <w:r>
              <w:t>136</w:t>
            </w:r>
          </w:p>
        </w:tc>
        <w:tc>
          <w:tcPr>
            <w:tcW w:w="506" w:type="dxa"/>
          </w:tcPr>
          <w:p w:rsidR="00E27ED4" w:rsidRDefault="00E27ED4">
            <w:r>
              <w:t xml:space="preserve">  5</w:t>
            </w:r>
          </w:p>
        </w:tc>
        <w:tc>
          <w:tcPr>
            <w:tcW w:w="573" w:type="dxa"/>
          </w:tcPr>
          <w:p w:rsidR="00E27ED4" w:rsidRDefault="00E27ED4">
            <w:r>
              <w:t>813</w:t>
            </w:r>
          </w:p>
        </w:tc>
      </w:tr>
      <w:tr w:rsidR="00000000">
        <w:tblPrEx>
          <w:tblCellMar>
            <w:top w:w="0" w:type="dxa"/>
            <w:bottom w:w="0" w:type="dxa"/>
          </w:tblCellMar>
        </w:tblPrEx>
        <w:trPr>
          <w:trHeight w:val="247"/>
        </w:trPr>
        <w:tc>
          <w:tcPr>
            <w:tcW w:w="456" w:type="dxa"/>
          </w:tcPr>
          <w:p w:rsidR="00E27ED4" w:rsidRDefault="00E27ED4">
            <w:pPr>
              <w:rPr>
                <w:i/>
              </w:rPr>
            </w:pPr>
            <w:r>
              <w:rPr>
                <w:i/>
              </w:rPr>
              <w:t>1989</w:t>
            </w:r>
          </w:p>
        </w:tc>
        <w:tc>
          <w:tcPr>
            <w:tcW w:w="609" w:type="dxa"/>
          </w:tcPr>
          <w:p w:rsidR="00E27ED4" w:rsidRDefault="00E27ED4">
            <w:r>
              <w:t xml:space="preserve">  377</w:t>
            </w:r>
          </w:p>
        </w:tc>
        <w:tc>
          <w:tcPr>
            <w:tcW w:w="662" w:type="dxa"/>
          </w:tcPr>
          <w:p w:rsidR="00E27ED4" w:rsidRDefault="00E27ED4">
            <w:r>
              <w:t>213</w:t>
            </w:r>
          </w:p>
        </w:tc>
        <w:tc>
          <w:tcPr>
            <w:tcW w:w="689" w:type="dxa"/>
          </w:tcPr>
          <w:p w:rsidR="00E27ED4" w:rsidRDefault="00E27ED4">
            <w:r>
              <w:t>35</w:t>
            </w:r>
          </w:p>
        </w:tc>
        <w:tc>
          <w:tcPr>
            <w:tcW w:w="729" w:type="dxa"/>
          </w:tcPr>
          <w:p w:rsidR="00E27ED4" w:rsidRDefault="00E27ED4">
            <w:r>
              <w:t>5</w:t>
            </w:r>
          </w:p>
        </w:tc>
        <w:tc>
          <w:tcPr>
            <w:tcW w:w="636" w:type="dxa"/>
          </w:tcPr>
          <w:p w:rsidR="00E27ED4" w:rsidRDefault="00E27ED4">
            <w:r>
              <w:t>24</w:t>
            </w:r>
          </w:p>
        </w:tc>
        <w:tc>
          <w:tcPr>
            <w:tcW w:w="513" w:type="dxa"/>
          </w:tcPr>
          <w:p w:rsidR="00E27ED4" w:rsidRDefault="00E27ED4">
            <w:r>
              <w:t>87</w:t>
            </w:r>
          </w:p>
        </w:tc>
        <w:tc>
          <w:tcPr>
            <w:tcW w:w="582" w:type="dxa"/>
          </w:tcPr>
          <w:p w:rsidR="00E27ED4" w:rsidRDefault="00E27ED4">
            <w:r>
              <w:t>155</w:t>
            </w:r>
          </w:p>
        </w:tc>
        <w:tc>
          <w:tcPr>
            <w:tcW w:w="506" w:type="dxa"/>
          </w:tcPr>
          <w:p w:rsidR="00E27ED4" w:rsidRDefault="00E27ED4">
            <w:r>
              <w:t xml:space="preserve">  8</w:t>
            </w:r>
          </w:p>
        </w:tc>
        <w:tc>
          <w:tcPr>
            <w:tcW w:w="573" w:type="dxa"/>
          </w:tcPr>
          <w:p w:rsidR="00E27ED4" w:rsidRDefault="00E27ED4">
            <w:r>
              <w:t>904</w:t>
            </w:r>
          </w:p>
        </w:tc>
      </w:tr>
      <w:tr w:rsidR="00000000">
        <w:tblPrEx>
          <w:tblCellMar>
            <w:top w:w="0" w:type="dxa"/>
            <w:bottom w:w="0" w:type="dxa"/>
          </w:tblCellMar>
        </w:tblPrEx>
        <w:trPr>
          <w:trHeight w:val="247"/>
        </w:trPr>
        <w:tc>
          <w:tcPr>
            <w:tcW w:w="456" w:type="dxa"/>
          </w:tcPr>
          <w:p w:rsidR="00E27ED4" w:rsidRDefault="00E27ED4">
            <w:pPr>
              <w:rPr>
                <w:i/>
              </w:rPr>
            </w:pPr>
            <w:r>
              <w:rPr>
                <w:i/>
              </w:rPr>
              <w:t>1990</w:t>
            </w:r>
          </w:p>
        </w:tc>
        <w:tc>
          <w:tcPr>
            <w:tcW w:w="609" w:type="dxa"/>
          </w:tcPr>
          <w:p w:rsidR="00E27ED4" w:rsidRDefault="00E27ED4">
            <w:r>
              <w:t xml:space="preserve">  342</w:t>
            </w:r>
          </w:p>
        </w:tc>
        <w:tc>
          <w:tcPr>
            <w:tcW w:w="662" w:type="dxa"/>
          </w:tcPr>
          <w:p w:rsidR="00E27ED4" w:rsidRDefault="00E27ED4">
            <w:r>
              <w:t>154</w:t>
            </w:r>
          </w:p>
        </w:tc>
        <w:tc>
          <w:tcPr>
            <w:tcW w:w="689" w:type="dxa"/>
          </w:tcPr>
          <w:p w:rsidR="00E27ED4" w:rsidRDefault="00E27ED4">
            <w:r>
              <w:t>39</w:t>
            </w:r>
          </w:p>
        </w:tc>
        <w:tc>
          <w:tcPr>
            <w:tcW w:w="729" w:type="dxa"/>
          </w:tcPr>
          <w:p w:rsidR="00E27ED4" w:rsidRDefault="00E27ED4">
            <w:r>
              <w:t>7</w:t>
            </w:r>
          </w:p>
        </w:tc>
        <w:tc>
          <w:tcPr>
            <w:tcW w:w="636" w:type="dxa"/>
          </w:tcPr>
          <w:p w:rsidR="00E27ED4" w:rsidRDefault="00E27ED4">
            <w:r>
              <w:t>22</w:t>
            </w:r>
          </w:p>
        </w:tc>
        <w:tc>
          <w:tcPr>
            <w:tcW w:w="513" w:type="dxa"/>
          </w:tcPr>
          <w:p w:rsidR="00E27ED4" w:rsidRDefault="00E27ED4">
            <w:r>
              <w:t>68</w:t>
            </w:r>
          </w:p>
        </w:tc>
        <w:tc>
          <w:tcPr>
            <w:tcW w:w="582" w:type="dxa"/>
          </w:tcPr>
          <w:p w:rsidR="00E27ED4" w:rsidRDefault="00E27ED4">
            <w:r>
              <w:t>134</w:t>
            </w:r>
          </w:p>
        </w:tc>
        <w:tc>
          <w:tcPr>
            <w:tcW w:w="506" w:type="dxa"/>
          </w:tcPr>
          <w:p w:rsidR="00E27ED4" w:rsidRDefault="00E27ED4">
            <w:r>
              <w:t xml:space="preserve">  6</w:t>
            </w:r>
          </w:p>
        </w:tc>
        <w:tc>
          <w:tcPr>
            <w:tcW w:w="573" w:type="dxa"/>
          </w:tcPr>
          <w:p w:rsidR="00E27ED4" w:rsidRDefault="00E27ED4">
            <w:r>
              <w:t>772</w:t>
            </w:r>
          </w:p>
        </w:tc>
      </w:tr>
      <w:tr w:rsidR="00000000">
        <w:tblPrEx>
          <w:tblCellMar>
            <w:top w:w="0" w:type="dxa"/>
            <w:bottom w:w="0" w:type="dxa"/>
          </w:tblCellMar>
        </w:tblPrEx>
        <w:trPr>
          <w:trHeight w:val="247"/>
        </w:trPr>
        <w:tc>
          <w:tcPr>
            <w:tcW w:w="456" w:type="dxa"/>
          </w:tcPr>
          <w:p w:rsidR="00E27ED4" w:rsidRDefault="00E27ED4">
            <w:pPr>
              <w:rPr>
                <w:i/>
              </w:rPr>
            </w:pPr>
            <w:r>
              <w:rPr>
                <w:i/>
              </w:rPr>
              <w:t>1991</w:t>
            </w:r>
          </w:p>
        </w:tc>
        <w:tc>
          <w:tcPr>
            <w:tcW w:w="609" w:type="dxa"/>
          </w:tcPr>
          <w:p w:rsidR="00E27ED4" w:rsidRDefault="00E27ED4">
            <w:r>
              <w:t xml:space="preserve">  333</w:t>
            </w:r>
          </w:p>
        </w:tc>
        <w:tc>
          <w:tcPr>
            <w:tcW w:w="662" w:type="dxa"/>
          </w:tcPr>
          <w:p w:rsidR="00E27ED4" w:rsidRDefault="00E27ED4">
            <w:r>
              <w:t>157</w:t>
            </w:r>
          </w:p>
        </w:tc>
        <w:tc>
          <w:tcPr>
            <w:tcW w:w="689" w:type="dxa"/>
          </w:tcPr>
          <w:p w:rsidR="00E27ED4" w:rsidRDefault="00E27ED4">
            <w:r>
              <w:t>30</w:t>
            </w:r>
          </w:p>
        </w:tc>
        <w:tc>
          <w:tcPr>
            <w:tcW w:w="729" w:type="dxa"/>
          </w:tcPr>
          <w:p w:rsidR="00E27ED4" w:rsidRDefault="00E27ED4">
            <w:r>
              <w:t>7</w:t>
            </w:r>
          </w:p>
        </w:tc>
        <w:tc>
          <w:tcPr>
            <w:tcW w:w="636" w:type="dxa"/>
          </w:tcPr>
          <w:p w:rsidR="00E27ED4" w:rsidRDefault="00E27ED4">
            <w:r>
              <w:t>12</w:t>
            </w:r>
          </w:p>
        </w:tc>
        <w:tc>
          <w:tcPr>
            <w:tcW w:w="513" w:type="dxa"/>
          </w:tcPr>
          <w:p w:rsidR="00E27ED4" w:rsidRDefault="00E27ED4">
            <w:r>
              <w:t>68</w:t>
            </w:r>
          </w:p>
        </w:tc>
        <w:tc>
          <w:tcPr>
            <w:tcW w:w="582" w:type="dxa"/>
          </w:tcPr>
          <w:p w:rsidR="00E27ED4" w:rsidRDefault="00E27ED4">
            <w:r>
              <w:t>125</w:t>
            </w:r>
          </w:p>
        </w:tc>
        <w:tc>
          <w:tcPr>
            <w:tcW w:w="506" w:type="dxa"/>
          </w:tcPr>
          <w:p w:rsidR="00E27ED4" w:rsidRDefault="00E27ED4">
            <w:r>
              <w:t>13</w:t>
            </w:r>
          </w:p>
        </w:tc>
        <w:tc>
          <w:tcPr>
            <w:tcW w:w="573" w:type="dxa"/>
          </w:tcPr>
          <w:p w:rsidR="00E27ED4" w:rsidRDefault="00E27ED4">
            <w:r>
              <w:t>745</w:t>
            </w:r>
          </w:p>
        </w:tc>
      </w:tr>
      <w:tr w:rsidR="00000000">
        <w:tblPrEx>
          <w:tblCellMar>
            <w:top w:w="0" w:type="dxa"/>
            <w:bottom w:w="0" w:type="dxa"/>
          </w:tblCellMar>
        </w:tblPrEx>
        <w:trPr>
          <w:trHeight w:val="247"/>
        </w:trPr>
        <w:tc>
          <w:tcPr>
            <w:tcW w:w="456" w:type="dxa"/>
          </w:tcPr>
          <w:p w:rsidR="00E27ED4" w:rsidRDefault="00E27ED4">
            <w:pPr>
              <w:rPr>
                <w:i/>
              </w:rPr>
            </w:pPr>
            <w:r>
              <w:rPr>
                <w:i/>
              </w:rPr>
              <w:t>1992</w:t>
            </w:r>
          </w:p>
        </w:tc>
        <w:tc>
          <w:tcPr>
            <w:tcW w:w="609" w:type="dxa"/>
          </w:tcPr>
          <w:p w:rsidR="00E27ED4" w:rsidRDefault="00E27ED4">
            <w:r>
              <w:t xml:space="preserve">  356</w:t>
            </w:r>
          </w:p>
        </w:tc>
        <w:tc>
          <w:tcPr>
            <w:tcW w:w="662" w:type="dxa"/>
          </w:tcPr>
          <w:p w:rsidR="00E27ED4" w:rsidRDefault="00E27ED4">
            <w:r>
              <w:t>129</w:t>
            </w:r>
          </w:p>
        </w:tc>
        <w:tc>
          <w:tcPr>
            <w:tcW w:w="689" w:type="dxa"/>
          </w:tcPr>
          <w:p w:rsidR="00E27ED4" w:rsidRDefault="00E27ED4">
            <w:r>
              <w:t>28</w:t>
            </w:r>
          </w:p>
        </w:tc>
        <w:tc>
          <w:tcPr>
            <w:tcW w:w="729" w:type="dxa"/>
          </w:tcPr>
          <w:p w:rsidR="00E27ED4" w:rsidRDefault="00E27ED4">
            <w:r>
              <w:t>5</w:t>
            </w:r>
          </w:p>
        </w:tc>
        <w:tc>
          <w:tcPr>
            <w:tcW w:w="636" w:type="dxa"/>
          </w:tcPr>
          <w:p w:rsidR="00E27ED4" w:rsidRDefault="00E27ED4">
            <w:r>
              <w:t>17</w:t>
            </w:r>
          </w:p>
        </w:tc>
        <w:tc>
          <w:tcPr>
            <w:tcW w:w="513" w:type="dxa"/>
          </w:tcPr>
          <w:p w:rsidR="00E27ED4" w:rsidRDefault="00E27ED4">
            <w:r>
              <w:t>76</w:t>
            </w:r>
          </w:p>
        </w:tc>
        <w:tc>
          <w:tcPr>
            <w:tcW w:w="582" w:type="dxa"/>
          </w:tcPr>
          <w:p w:rsidR="00E27ED4" w:rsidRDefault="00E27ED4">
            <w:r>
              <w:t>138</w:t>
            </w:r>
          </w:p>
        </w:tc>
        <w:tc>
          <w:tcPr>
            <w:tcW w:w="506" w:type="dxa"/>
          </w:tcPr>
          <w:p w:rsidR="00E27ED4" w:rsidRDefault="00E27ED4">
            <w:r>
              <w:t>10</w:t>
            </w:r>
          </w:p>
        </w:tc>
        <w:tc>
          <w:tcPr>
            <w:tcW w:w="573" w:type="dxa"/>
          </w:tcPr>
          <w:p w:rsidR="00E27ED4" w:rsidRDefault="00E27ED4">
            <w:r>
              <w:t>759</w:t>
            </w:r>
          </w:p>
        </w:tc>
      </w:tr>
      <w:tr w:rsidR="00000000">
        <w:tblPrEx>
          <w:tblCellMar>
            <w:top w:w="0" w:type="dxa"/>
            <w:bottom w:w="0" w:type="dxa"/>
          </w:tblCellMar>
        </w:tblPrEx>
        <w:trPr>
          <w:trHeight w:val="247"/>
        </w:trPr>
        <w:tc>
          <w:tcPr>
            <w:tcW w:w="456" w:type="dxa"/>
          </w:tcPr>
          <w:p w:rsidR="00E27ED4" w:rsidRDefault="00E27ED4">
            <w:pPr>
              <w:rPr>
                <w:i/>
              </w:rPr>
            </w:pPr>
            <w:r>
              <w:rPr>
                <w:i/>
              </w:rPr>
              <w:t>1993</w:t>
            </w:r>
          </w:p>
        </w:tc>
        <w:tc>
          <w:tcPr>
            <w:tcW w:w="609" w:type="dxa"/>
          </w:tcPr>
          <w:p w:rsidR="00E27ED4" w:rsidRDefault="00E27ED4">
            <w:r>
              <w:t xml:space="preserve">  294</w:t>
            </w:r>
          </w:p>
        </w:tc>
        <w:tc>
          <w:tcPr>
            <w:tcW w:w="662" w:type="dxa"/>
          </w:tcPr>
          <w:p w:rsidR="00E27ED4" w:rsidRDefault="00E27ED4">
            <w:r>
              <w:t>114</w:t>
            </w:r>
          </w:p>
        </w:tc>
        <w:tc>
          <w:tcPr>
            <w:tcW w:w="689" w:type="dxa"/>
          </w:tcPr>
          <w:p w:rsidR="00E27ED4" w:rsidRDefault="00E27ED4">
            <w:r>
              <w:t>38</w:t>
            </w:r>
          </w:p>
        </w:tc>
        <w:tc>
          <w:tcPr>
            <w:tcW w:w="729" w:type="dxa"/>
          </w:tcPr>
          <w:p w:rsidR="00E27ED4" w:rsidRDefault="00E27ED4">
            <w:r>
              <w:t>4</w:t>
            </w:r>
          </w:p>
        </w:tc>
        <w:tc>
          <w:tcPr>
            <w:tcW w:w="636" w:type="dxa"/>
          </w:tcPr>
          <w:p w:rsidR="00E27ED4" w:rsidRDefault="00E27ED4">
            <w:r>
              <w:t>14</w:t>
            </w:r>
          </w:p>
        </w:tc>
        <w:tc>
          <w:tcPr>
            <w:tcW w:w="513" w:type="dxa"/>
          </w:tcPr>
          <w:p w:rsidR="00E27ED4" w:rsidRDefault="00E27ED4">
            <w:r>
              <w:t>70</w:t>
            </w:r>
          </w:p>
        </w:tc>
        <w:tc>
          <w:tcPr>
            <w:tcW w:w="582" w:type="dxa"/>
          </w:tcPr>
          <w:p w:rsidR="00E27ED4" w:rsidRDefault="00E27ED4">
            <w:r>
              <w:t xml:space="preserve">  94</w:t>
            </w:r>
          </w:p>
        </w:tc>
        <w:tc>
          <w:tcPr>
            <w:tcW w:w="506" w:type="dxa"/>
          </w:tcPr>
          <w:p w:rsidR="00E27ED4" w:rsidRDefault="00E27ED4">
            <w:r>
              <w:t xml:space="preserve">  4</w:t>
            </w:r>
          </w:p>
        </w:tc>
        <w:tc>
          <w:tcPr>
            <w:tcW w:w="573" w:type="dxa"/>
          </w:tcPr>
          <w:p w:rsidR="00E27ED4" w:rsidRDefault="00E27ED4">
            <w:r>
              <w:t>632</w:t>
            </w:r>
          </w:p>
        </w:tc>
      </w:tr>
      <w:tr w:rsidR="00000000">
        <w:tblPrEx>
          <w:tblCellMar>
            <w:top w:w="0" w:type="dxa"/>
            <w:bottom w:w="0" w:type="dxa"/>
          </w:tblCellMar>
        </w:tblPrEx>
        <w:trPr>
          <w:trHeight w:val="247"/>
        </w:trPr>
        <w:tc>
          <w:tcPr>
            <w:tcW w:w="456" w:type="dxa"/>
          </w:tcPr>
          <w:p w:rsidR="00E27ED4" w:rsidRDefault="00E27ED4">
            <w:pPr>
              <w:rPr>
                <w:i/>
              </w:rPr>
            </w:pPr>
            <w:r>
              <w:rPr>
                <w:i/>
              </w:rPr>
              <w:t>1994</w:t>
            </w:r>
          </w:p>
        </w:tc>
        <w:tc>
          <w:tcPr>
            <w:tcW w:w="609" w:type="dxa"/>
          </w:tcPr>
          <w:p w:rsidR="00E27ED4" w:rsidRDefault="00E27ED4">
            <w:r>
              <w:t xml:space="preserve">  293</w:t>
            </w:r>
          </w:p>
        </w:tc>
        <w:tc>
          <w:tcPr>
            <w:tcW w:w="662" w:type="dxa"/>
          </w:tcPr>
          <w:p w:rsidR="00E27ED4" w:rsidRDefault="00E27ED4">
            <w:r>
              <w:t>115</w:t>
            </w:r>
          </w:p>
        </w:tc>
        <w:tc>
          <w:tcPr>
            <w:tcW w:w="689" w:type="dxa"/>
          </w:tcPr>
          <w:p w:rsidR="00E27ED4" w:rsidRDefault="00E27ED4">
            <w:r>
              <w:t>27</w:t>
            </w:r>
          </w:p>
        </w:tc>
        <w:tc>
          <w:tcPr>
            <w:tcW w:w="729" w:type="dxa"/>
          </w:tcPr>
          <w:p w:rsidR="00E27ED4" w:rsidRDefault="00E27ED4">
            <w:r>
              <w:t>4</w:t>
            </w:r>
          </w:p>
        </w:tc>
        <w:tc>
          <w:tcPr>
            <w:tcW w:w="636" w:type="dxa"/>
          </w:tcPr>
          <w:p w:rsidR="00E27ED4" w:rsidRDefault="00E27ED4">
            <w:r>
              <w:t>10</w:t>
            </w:r>
          </w:p>
        </w:tc>
        <w:tc>
          <w:tcPr>
            <w:tcW w:w="513" w:type="dxa"/>
          </w:tcPr>
          <w:p w:rsidR="00E27ED4" w:rsidRDefault="00E27ED4">
            <w:r>
              <w:t>52</w:t>
            </w:r>
          </w:p>
        </w:tc>
        <w:tc>
          <w:tcPr>
            <w:tcW w:w="582" w:type="dxa"/>
          </w:tcPr>
          <w:p w:rsidR="00E27ED4" w:rsidRDefault="00E27ED4">
            <w:r>
              <w:t xml:space="preserve">  86</w:t>
            </w:r>
          </w:p>
        </w:tc>
        <w:tc>
          <w:tcPr>
            <w:tcW w:w="506" w:type="dxa"/>
          </w:tcPr>
          <w:p w:rsidR="00E27ED4" w:rsidRDefault="00E27ED4">
            <w:r>
              <w:t xml:space="preserve">  2</w:t>
            </w:r>
          </w:p>
        </w:tc>
        <w:tc>
          <w:tcPr>
            <w:tcW w:w="573" w:type="dxa"/>
          </w:tcPr>
          <w:p w:rsidR="00E27ED4" w:rsidRDefault="00E27ED4">
            <w:r>
              <w:t>589</w:t>
            </w:r>
          </w:p>
        </w:tc>
      </w:tr>
      <w:tr w:rsidR="00000000">
        <w:tblPrEx>
          <w:tblCellMar>
            <w:top w:w="0" w:type="dxa"/>
            <w:bottom w:w="0" w:type="dxa"/>
          </w:tblCellMar>
        </w:tblPrEx>
        <w:trPr>
          <w:trHeight w:val="247"/>
        </w:trPr>
        <w:tc>
          <w:tcPr>
            <w:tcW w:w="456" w:type="dxa"/>
          </w:tcPr>
          <w:p w:rsidR="00E27ED4" w:rsidRDefault="00E27ED4">
            <w:pPr>
              <w:rPr>
                <w:i/>
              </w:rPr>
            </w:pPr>
            <w:r>
              <w:rPr>
                <w:i/>
              </w:rPr>
              <w:t>1995</w:t>
            </w:r>
          </w:p>
        </w:tc>
        <w:tc>
          <w:tcPr>
            <w:tcW w:w="609" w:type="dxa"/>
          </w:tcPr>
          <w:p w:rsidR="00E27ED4" w:rsidRDefault="00E27ED4">
            <w:r>
              <w:t xml:space="preserve">  283</w:t>
            </w:r>
          </w:p>
        </w:tc>
        <w:tc>
          <w:tcPr>
            <w:tcW w:w="662" w:type="dxa"/>
          </w:tcPr>
          <w:p w:rsidR="00E27ED4" w:rsidRDefault="00E27ED4">
            <w:r>
              <w:t>111</w:t>
            </w:r>
          </w:p>
        </w:tc>
        <w:tc>
          <w:tcPr>
            <w:tcW w:w="689" w:type="dxa"/>
          </w:tcPr>
          <w:p w:rsidR="00E27ED4" w:rsidRDefault="00E27ED4">
            <w:r>
              <w:t>29</w:t>
            </w:r>
          </w:p>
        </w:tc>
        <w:tc>
          <w:tcPr>
            <w:tcW w:w="729" w:type="dxa"/>
          </w:tcPr>
          <w:p w:rsidR="00E27ED4" w:rsidRDefault="00E27ED4">
            <w:r>
              <w:t>3</w:t>
            </w:r>
          </w:p>
        </w:tc>
        <w:tc>
          <w:tcPr>
            <w:tcW w:w="636" w:type="dxa"/>
          </w:tcPr>
          <w:p w:rsidR="00E27ED4" w:rsidRDefault="00E27ED4">
            <w:r>
              <w:t xml:space="preserve">  9</w:t>
            </w:r>
          </w:p>
        </w:tc>
        <w:tc>
          <w:tcPr>
            <w:tcW w:w="513" w:type="dxa"/>
          </w:tcPr>
          <w:p w:rsidR="00E27ED4" w:rsidRDefault="00E27ED4">
            <w:r>
              <w:t>57</w:t>
            </w:r>
          </w:p>
        </w:tc>
        <w:tc>
          <w:tcPr>
            <w:tcW w:w="582" w:type="dxa"/>
          </w:tcPr>
          <w:p w:rsidR="00E27ED4" w:rsidRDefault="00E27ED4">
            <w:r>
              <w:t xml:space="preserve">  71</w:t>
            </w:r>
          </w:p>
        </w:tc>
        <w:tc>
          <w:tcPr>
            <w:tcW w:w="506" w:type="dxa"/>
          </w:tcPr>
          <w:p w:rsidR="00E27ED4" w:rsidRDefault="00E27ED4">
            <w:r>
              <w:t xml:space="preserve">  9</w:t>
            </w:r>
          </w:p>
        </w:tc>
        <w:tc>
          <w:tcPr>
            <w:tcW w:w="573" w:type="dxa"/>
          </w:tcPr>
          <w:p w:rsidR="00E27ED4" w:rsidRDefault="00E27ED4">
            <w:r>
              <w:t>572</w:t>
            </w:r>
          </w:p>
        </w:tc>
      </w:tr>
      <w:tr w:rsidR="00000000">
        <w:tblPrEx>
          <w:tblCellMar>
            <w:top w:w="0" w:type="dxa"/>
            <w:bottom w:w="0" w:type="dxa"/>
          </w:tblCellMar>
        </w:tblPrEx>
        <w:trPr>
          <w:trHeight w:val="247"/>
        </w:trPr>
        <w:tc>
          <w:tcPr>
            <w:tcW w:w="456" w:type="dxa"/>
          </w:tcPr>
          <w:p w:rsidR="00E27ED4" w:rsidRDefault="00E27ED4">
            <w:pPr>
              <w:rPr>
                <w:i/>
              </w:rPr>
            </w:pPr>
            <w:r>
              <w:rPr>
                <w:i/>
              </w:rPr>
              <w:t>1996</w:t>
            </w:r>
          </w:p>
        </w:tc>
        <w:tc>
          <w:tcPr>
            <w:tcW w:w="609" w:type="dxa"/>
          </w:tcPr>
          <w:p w:rsidR="00E27ED4" w:rsidRDefault="00E27ED4">
            <w:r>
              <w:t xml:space="preserve">  243</w:t>
            </w:r>
          </w:p>
        </w:tc>
        <w:tc>
          <w:tcPr>
            <w:tcW w:w="662" w:type="dxa"/>
          </w:tcPr>
          <w:p w:rsidR="00E27ED4" w:rsidRDefault="00E27ED4">
            <w:r>
              <w:t>113</w:t>
            </w:r>
          </w:p>
        </w:tc>
        <w:tc>
          <w:tcPr>
            <w:tcW w:w="689" w:type="dxa"/>
          </w:tcPr>
          <w:p w:rsidR="00E27ED4" w:rsidRDefault="00E27ED4">
            <w:r>
              <w:t>38</w:t>
            </w:r>
          </w:p>
        </w:tc>
        <w:tc>
          <w:tcPr>
            <w:tcW w:w="729" w:type="dxa"/>
          </w:tcPr>
          <w:p w:rsidR="00E27ED4" w:rsidRDefault="00E27ED4">
            <w:r>
              <w:t>2</w:t>
            </w:r>
          </w:p>
        </w:tc>
        <w:tc>
          <w:tcPr>
            <w:tcW w:w="636" w:type="dxa"/>
          </w:tcPr>
          <w:p w:rsidR="00E27ED4" w:rsidRDefault="00E27ED4">
            <w:r>
              <w:t>14</w:t>
            </w:r>
          </w:p>
        </w:tc>
        <w:tc>
          <w:tcPr>
            <w:tcW w:w="513" w:type="dxa"/>
          </w:tcPr>
          <w:p w:rsidR="00E27ED4" w:rsidRDefault="00E27ED4">
            <w:r>
              <w:t>49</w:t>
            </w:r>
          </w:p>
        </w:tc>
        <w:tc>
          <w:tcPr>
            <w:tcW w:w="582" w:type="dxa"/>
          </w:tcPr>
          <w:p w:rsidR="00E27ED4" w:rsidRDefault="00E27ED4">
            <w:r>
              <w:t xml:space="preserve">  74</w:t>
            </w:r>
          </w:p>
        </w:tc>
        <w:tc>
          <w:tcPr>
            <w:tcW w:w="506" w:type="dxa"/>
          </w:tcPr>
          <w:p w:rsidR="00E27ED4" w:rsidRDefault="00E27ED4">
            <w:r>
              <w:t xml:space="preserve">  4</w:t>
            </w:r>
          </w:p>
        </w:tc>
        <w:tc>
          <w:tcPr>
            <w:tcW w:w="573" w:type="dxa"/>
          </w:tcPr>
          <w:p w:rsidR="00E27ED4" w:rsidRDefault="00E27ED4">
            <w:r>
              <w:t>537</w:t>
            </w:r>
          </w:p>
        </w:tc>
      </w:tr>
      <w:tr w:rsidR="00000000">
        <w:tblPrEx>
          <w:tblCellMar>
            <w:top w:w="0" w:type="dxa"/>
            <w:bottom w:w="0" w:type="dxa"/>
          </w:tblCellMar>
        </w:tblPrEx>
        <w:trPr>
          <w:trHeight w:val="247"/>
        </w:trPr>
        <w:tc>
          <w:tcPr>
            <w:tcW w:w="456" w:type="dxa"/>
            <w:tcBorders>
              <w:bottom w:val="single" w:sz="2" w:space="0" w:color="000000"/>
            </w:tcBorders>
          </w:tcPr>
          <w:p w:rsidR="00E27ED4" w:rsidRDefault="00E27ED4">
            <w:pPr>
              <w:rPr>
                <w:i/>
              </w:rPr>
            </w:pPr>
            <w:r>
              <w:rPr>
                <w:i/>
              </w:rPr>
              <w:t>1997</w:t>
            </w:r>
          </w:p>
          <w:p w:rsidR="00E27ED4" w:rsidRDefault="00E27ED4">
            <w:pPr>
              <w:pStyle w:val="Normaltindrag"/>
            </w:pPr>
          </w:p>
        </w:tc>
        <w:tc>
          <w:tcPr>
            <w:tcW w:w="609" w:type="dxa"/>
            <w:tcBorders>
              <w:bottom w:val="single" w:sz="2" w:space="0" w:color="000000"/>
            </w:tcBorders>
          </w:tcPr>
          <w:p w:rsidR="00E27ED4" w:rsidRDefault="00E27ED4">
            <w:r>
              <w:t xml:space="preserve">  273</w:t>
            </w:r>
          </w:p>
        </w:tc>
        <w:tc>
          <w:tcPr>
            <w:tcW w:w="662" w:type="dxa"/>
            <w:tcBorders>
              <w:bottom w:val="single" w:sz="2" w:space="0" w:color="000000"/>
            </w:tcBorders>
          </w:tcPr>
          <w:p w:rsidR="00E27ED4" w:rsidRDefault="00E27ED4">
            <w:r>
              <w:t xml:space="preserve">  98</w:t>
            </w:r>
          </w:p>
        </w:tc>
        <w:tc>
          <w:tcPr>
            <w:tcW w:w="689" w:type="dxa"/>
            <w:tcBorders>
              <w:bottom w:val="single" w:sz="2" w:space="0" w:color="000000"/>
            </w:tcBorders>
          </w:tcPr>
          <w:p w:rsidR="00E27ED4" w:rsidRDefault="00E27ED4">
            <w:r>
              <w:t>33</w:t>
            </w:r>
          </w:p>
        </w:tc>
        <w:tc>
          <w:tcPr>
            <w:tcW w:w="729" w:type="dxa"/>
            <w:tcBorders>
              <w:bottom w:val="single" w:sz="2" w:space="0" w:color="000000"/>
            </w:tcBorders>
          </w:tcPr>
          <w:p w:rsidR="00E27ED4" w:rsidRDefault="00E27ED4">
            <w:r>
              <w:t>3</w:t>
            </w:r>
          </w:p>
        </w:tc>
        <w:tc>
          <w:tcPr>
            <w:tcW w:w="636" w:type="dxa"/>
            <w:tcBorders>
              <w:bottom w:val="single" w:sz="2" w:space="0" w:color="000000"/>
            </w:tcBorders>
          </w:tcPr>
          <w:p w:rsidR="00E27ED4" w:rsidRDefault="00E27ED4">
            <w:r>
              <w:t>13</w:t>
            </w:r>
          </w:p>
        </w:tc>
        <w:tc>
          <w:tcPr>
            <w:tcW w:w="513" w:type="dxa"/>
            <w:tcBorders>
              <w:bottom w:val="single" w:sz="2" w:space="0" w:color="000000"/>
            </w:tcBorders>
          </w:tcPr>
          <w:p w:rsidR="00E27ED4" w:rsidRDefault="00E27ED4">
            <w:r>
              <w:t>42</w:t>
            </w:r>
          </w:p>
        </w:tc>
        <w:tc>
          <w:tcPr>
            <w:tcW w:w="582" w:type="dxa"/>
            <w:tcBorders>
              <w:bottom w:val="single" w:sz="2" w:space="0" w:color="000000"/>
            </w:tcBorders>
          </w:tcPr>
          <w:p w:rsidR="00E27ED4" w:rsidRDefault="00E27ED4">
            <w:r>
              <w:t xml:space="preserve">  72</w:t>
            </w:r>
          </w:p>
        </w:tc>
        <w:tc>
          <w:tcPr>
            <w:tcW w:w="506" w:type="dxa"/>
            <w:tcBorders>
              <w:bottom w:val="single" w:sz="2" w:space="0" w:color="000000"/>
            </w:tcBorders>
          </w:tcPr>
          <w:p w:rsidR="00E27ED4" w:rsidRDefault="00E27ED4">
            <w:r>
              <w:t xml:space="preserve">  7</w:t>
            </w:r>
          </w:p>
        </w:tc>
        <w:tc>
          <w:tcPr>
            <w:tcW w:w="573" w:type="dxa"/>
            <w:tcBorders>
              <w:bottom w:val="single" w:sz="2" w:space="0" w:color="000000"/>
            </w:tcBorders>
          </w:tcPr>
          <w:p w:rsidR="00E27ED4" w:rsidRDefault="00E27ED4">
            <w:r>
              <w:t>541</w:t>
            </w:r>
          </w:p>
        </w:tc>
      </w:tr>
    </w:tbl>
    <w:p w:rsidR="00E27ED4" w:rsidRDefault="00E27ED4"/>
    <w:p w:rsidR="00E27ED4" w:rsidRDefault="00E27ED4">
      <w:pPr>
        <w:spacing w:before="0"/>
      </w:pPr>
      <w:r>
        <w:t>Risken för trafikolyckor skiljer sig även mellan olika befolkningsgrupper och generationer. Enligt studier från Statens väg- och transportforskningsinstitut (VTI) går kvinnor mer och åker buss mer än män, vilket gör att de  har en något lägre risknivå, utom kvinnor över 65 år. Inblandningsrisken för pe</w:t>
      </w:r>
      <w:r>
        <w:t>r</w:t>
      </w:r>
      <w:r>
        <w:t>sonbilsolyckor är i stort sett lika för män och kvinnor. Skadekonsekvensen är dock mindre allvarlig för kvinnor, vilket innebär att av de skadade persone</w:t>
      </w:r>
      <w:r>
        <w:t>r</w:t>
      </w:r>
      <w:r>
        <w:t>na dödades endast hälften så många kvinnor som män. Om man emellertid sätter skadorna i relation till trafikarbetet finner man att kvinnornas sk</w:t>
      </w:r>
      <w:r>
        <w:t>a</w:t>
      </w:r>
      <w:r>
        <w:t>dekvot (dvs. antalet dödade och skadade per personkilometer) för alla åldrar ligger högre än mäns. Enligt VTI:s studier närmar sig dock kvinnor med tiden mer och mer mäns beteende, körkortsinnehav m.m.  Andelen k</w:t>
      </w:r>
      <w:r>
        <w:t xml:space="preserve">vinnor bland de äldre ökar med ökande ålder eftersom kvinnor har längre livslängd. Äldre har större risk att skadas vid jämförbara olyckor än yngre på grund av större fysisk skörhet. Detta gäller kvinnor i ännu högre grad än män. </w:t>
      </w:r>
    </w:p>
    <w:p w:rsidR="00E27ED4" w:rsidRDefault="00E27ED4">
      <w:pPr>
        <w:pStyle w:val="Normaltindrag"/>
      </w:pPr>
      <w:r>
        <w:t>Utskottet förutsätter att statistiken över trafikolyckor i fortsättningen så långt som möjligt utformas på ett könsuppdelat sätt.</w:t>
      </w:r>
    </w:p>
    <w:p w:rsidR="00E27ED4" w:rsidRDefault="00E27ED4">
      <w:pPr>
        <w:pStyle w:val="Rubrik3"/>
      </w:pPr>
      <w:bookmarkStart w:id="27" w:name="_Toc447092541"/>
      <w:r>
        <w:t>2.4 Vägverkets utvärd</w:t>
      </w:r>
      <w:r>
        <w:t>e</w:t>
      </w:r>
      <w:r>
        <w:t>ring av trafiksäkerhetsarbetets resultat</w:t>
      </w:r>
      <w:bookmarkEnd w:id="27"/>
    </w:p>
    <w:p w:rsidR="00E27ED4" w:rsidRDefault="00E27ED4">
      <w:r>
        <w:t>I den av Vägverket i mars 1998 utgivna publikationen Trafiksäkerhetsrapport 97 redovisas en tabell (på s. 3)  med en uppräkning av de tio trafiksäkerhet</w:t>
      </w:r>
      <w:r>
        <w:t>s</w:t>
      </w:r>
      <w:r>
        <w:t>reformerna enligt det nämnda trafiksäkerhetsprogrammet för åren 1995–2000. I tabellen anges också mål år 2000 enligt programmet samt bl.a. resultat år 1997 jämfört med år 1994. Verket fra</w:t>
      </w:r>
      <w:r>
        <w:t>m</w:t>
      </w:r>
      <w:r>
        <w:t>håller:</w:t>
      </w:r>
    </w:p>
    <w:p w:rsidR="00E27ED4" w:rsidRDefault="00E27ED4">
      <w:pPr>
        <w:pStyle w:val="Citat"/>
      </w:pPr>
      <w:r>
        <w:t>Efter tre års verksamhet med det nationella trafiksäkerhetsprogrammet har resultaten i de trafiksäkerhetsreformer som rör trafikantbeteendet, med u</w:t>
      </w:r>
      <w:r>
        <w:t>n</w:t>
      </w:r>
      <w:r>
        <w:t>dantag av nykterhet, i stort sett uteblivit. De har därmed inte bidragit till en minskning av antalet dödade och skadade. Anledningen till detta är inte resursbrist utan troligen bristande effektivitet i de vidtagna åtgärderna. Mö</w:t>
      </w:r>
      <w:r>
        <w:t>j</w:t>
      </w:r>
      <w:r>
        <w:t>ligen byggde det nationella trafiksäkerhetsprogrammet 1995–2000 på ore</w:t>
      </w:r>
      <w:r>
        <w:t>a</w:t>
      </w:r>
      <w:r>
        <w:t>listiska förväntningar om vad som går att åstadkomma på kort sikt. För att förbättra effektiviteten har ett arbete påbörjats som bygger på nollvisionens grundprinciper.</w:t>
      </w:r>
    </w:p>
    <w:p w:rsidR="00E27ED4" w:rsidRDefault="00E27ED4">
      <w:pPr>
        <w:pStyle w:val="Rubrik3"/>
      </w:pPr>
      <w:bookmarkStart w:id="28" w:name="_Toc447092542"/>
      <w:r>
        <w:t xml:space="preserve">2.5 Regeringens uppdrag till  Vägverket </w:t>
      </w:r>
      <w:r>
        <w:t>att omprioritera trafiksäkerhetsarbetet</w:t>
      </w:r>
      <w:bookmarkEnd w:id="28"/>
    </w:p>
    <w:p w:rsidR="00E27ED4" w:rsidRDefault="00E27ED4">
      <w:r>
        <w:t>I budgetpropositionen för år 1999 utgiftsområde 22 Kommunikationer fra</w:t>
      </w:r>
      <w:r>
        <w:t>m</w:t>
      </w:r>
      <w:r>
        <w:t>håller regeringen att genomförda trafiksäkerhetsåtgärder inom ramen för Vägverkets sektorsansvar för trafiksäkerhet inte hittills har givit de förvänt</w:t>
      </w:r>
      <w:r>
        <w:t>a</w:t>
      </w:r>
      <w:r>
        <w:t>de effekterna på trafiksäkerheten. Vägverket har därför ändrat inriktning  och utformning på sina insatser inom ramen för sektorsuppgifterna. Den nya inriktningen innebär bl.a. olika pådrivande och stödjande insatser som ko</w:t>
      </w:r>
      <w:r>
        <w:t>m</w:t>
      </w:r>
      <w:r>
        <w:t>mer att få effekt först på lite längre sikt. Regeringen har förtroende för Vä</w:t>
      </w:r>
      <w:r>
        <w:t>g</w:t>
      </w:r>
      <w:r>
        <w:t>verkets bedömning i denna del, betonas det i propositionen</w:t>
      </w:r>
      <w:r>
        <w:t>. För att förstärka trafiksäkerhetsarbetet på kort sikt och för att påskynda arbetet med nollvisi</w:t>
      </w:r>
      <w:r>
        <w:t>o</w:t>
      </w:r>
      <w:r>
        <w:t>nen,  är det dock regeringens bedömning att insatser i fysiska åtgärder i vä</w:t>
      </w:r>
      <w:r>
        <w:t>g</w:t>
      </w:r>
      <w:r>
        <w:t>miljön som direkt kan ge trafiksäkerhetseffekt nu måste prioriteras framför sektorsuppgifter. Regeringen anser även – sägs det i budgetpropositionen – att trafiksäkerhetsreformerna enligt 1994 års nationella trafiksäkerhetspr</w:t>
      </w:r>
      <w:r>
        <w:t>o</w:t>
      </w:r>
      <w:r>
        <w:t>gram bör ses över för att klarlägga och tydliggöra sambanden mellan refo</w:t>
      </w:r>
      <w:r>
        <w:t>r</w:t>
      </w:r>
      <w:r>
        <w:t>mer och trafiksäkerhetseffekter.</w:t>
      </w:r>
    </w:p>
    <w:p w:rsidR="00E27ED4" w:rsidRDefault="00E27ED4">
      <w:pPr>
        <w:pStyle w:val="Normaltindrag"/>
      </w:pPr>
      <w:r>
        <w:t>Reger</w:t>
      </w:r>
      <w:r>
        <w:t>ingens sålunda återgivna uttalanden skall ses mot bakgrund av det uppdrag som gavs åt Vägverket i samband med att  regeringen i juni 1998 tog ställning till frågan om fastställelse av verkets förslag till nationell  vä</w:t>
      </w:r>
      <w:r>
        <w:t>g</w:t>
      </w:r>
      <w:r>
        <w:t>hållningsplan för perioden 1998–2007. Förslaget utgjorde en del av verkets förslag till en nationell plan för vägtransportsystemet för den angivna peri</w:t>
      </w:r>
      <w:r>
        <w:t>o</w:t>
      </w:r>
      <w:r>
        <w:t>den och innehöll, förutom förslaget till nationell väghållningsplan, bl.a. också en preliminär plan för åtgärder inom miljö- och trafiksäkerh</w:t>
      </w:r>
      <w:r>
        <w:t>etsomr</w:t>
      </w:r>
      <w:r>
        <w:t>å</w:t>
      </w:r>
      <w:r>
        <w:t>det.    I beslutet sägs att Vägverket skall upprätta och genomföra en särskild  trafiksäkerhetsplan för åren 1999–2003 med utgångspunkt i det till regerin</w:t>
      </w:r>
      <w:r>
        <w:t>g</w:t>
      </w:r>
      <w:r>
        <w:t>en lämnade förslaget till preliminär plan för åtgärder inom miljö- och trafi</w:t>
      </w:r>
      <w:r>
        <w:t>k</w:t>
      </w:r>
      <w:r>
        <w:t>säkerhetsarbetet. I planen skall användningen av de medel som avsatts i Vägverkets förslag för fysiska trafiksäkerhetsåtgärder preciseras ytterligare och de samhällsekonomiska effekterna av åtgärderna beskrivas. Vidare skall – enligt regeringens beslut – kompletterande åtg</w:t>
      </w:r>
      <w:r>
        <w:t>ärder för perioden preciseras så att åtgärderna tillsammans utgör en konkret plan  för trafiksäkerhetsomr</w:t>
      </w:r>
      <w:r>
        <w:t>å</w:t>
      </w:r>
      <w:r>
        <w:t>det under åren 1999–2003 med syfte att uppnå de av riksdag och regeringen beslutade trafiksäkerhetsmålen. Planen skall utarbetas i samråd med Riksp</w:t>
      </w:r>
      <w:r>
        <w:t>o</w:t>
      </w:r>
      <w:r>
        <w:t>lisstyrelsen och Svenska Kommunförbundet och redovisas till regeringen senast den 31 december 1998.</w:t>
      </w:r>
    </w:p>
    <w:p w:rsidR="00E27ED4" w:rsidRDefault="00E27ED4">
      <w:pPr>
        <w:pStyle w:val="Rubrik3"/>
      </w:pPr>
      <w:bookmarkStart w:id="29" w:name="_Toc447092543"/>
      <w:r>
        <w:t>2.6 Vägverkets redovisning av uppdraget</w:t>
      </w:r>
      <w:bookmarkEnd w:id="29"/>
    </w:p>
    <w:p w:rsidR="00E27ED4" w:rsidRDefault="00E27ED4">
      <w:r>
        <w:t>Vägverket har redovisat sitt uppdrag att upprätta en särskild trafiksäkerhet</w:t>
      </w:r>
      <w:r>
        <w:t>s</w:t>
      </w:r>
      <w:r>
        <w:t>plan för åren 1999–2003  i två omgångar.  Den första redovisningen, daterad den 18 december 1998, avser fysiska trafiksäkerhetsåtgärder inom en total ram på 4 500 miljoner kronor för den angivna perioden. Den andra redovi</w:t>
      </w:r>
      <w:r>
        <w:t>s</w:t>
      </w:r>
      <w:r>
        <w:t>ningen, som är daterad den 26 februari 1999, avser åtgärder inom sektors- och myndighetsuppgifter under samma period. Dessutom lämnas förslag till åtgärder som andra aktörer än Vägverket bör vidta. Dessa förslag motiveras med en hänvisning till Vägverkets roll som sektorsansvarig myndighe</w:t>
      </w:r>
      <w:r>
        <w:t>t för trafiksäkerhetsfrågor och dess övergripande ansvar för att trafiksäkerhet</w:t>
      </w:r>
      <w:r>
        <w:t>s</w:t>
      </w:r>
      <w:r>
        <w:t>målen nås.</w:t>
      </w:r>
    </w:p>
    <w:p w:rsidR="00E27ED4" w:rsidRDefault="00E27ED4">
      <w:pPr>
        <w:pStyle w:val="Normaltindrag"/>
      </w:pPr>
      <w:r>
        <w:t>Vägverket framhåller sammanfattningsvis att även om alla förslagen  g</w:t>
      </w:r>
      <w:r>
        <w:t>e</w:t>
      </w:r>
      <w:r>
        <w:t>nomförs, är det ändå inte möjligt att nå det till år 2000 uppsatta målet om högst 400 dödade i trafiken, om inte samhället genomför radikala hastighet</w:t>
      </w:r>
      <w:r>
        <w:t>s</w:t>
      </w:r>
      <w:r>
        <w:t>gränssänkningar tillsammans med en mycket intensifierad övervakning. Eftersom ett sådant förslag bedöms som oacceptabelt för allmänheten, föro</w:t>
      </w:r>
      <w:r>
        <w:t>r</w:t>
      </w:r>
      <w:r>
        <w:t>dar Vägverket att man nu i stället inriktar sig på att nå det till år 2007 up</w:t>
      </w:r>
      <w:r>
        <w:t>p</w:t>
      </w:r>
      <w:r>
        <w:t xml:space="preserve">satta målet om högst 270 dödade i trafiken. </w:t>
      </w:r>
    </w:p>
    <w:p w:rsidR="00E27ED4" w:rsidRDefault="00E27ED4">
      <w:pPr>
        <w:pStyle w:val="Normaltindrag"/>
      </w:pPr>
      <w:r>
        <w:t>För att nå det sistnämnda målet räcker det enligt Vägverket inte med att genomföra de åtgärder</w:t>
      </w:r>
      <w:r>
        <w:t xml:space="preserve"> som omfattas av den nationella väghållningsplan som regeringen fastställde i juni 1998 och de åtgärder som nu föreslås i den sä</w:t>
      </w:r>
      <w:r>
        <w:t>r</w:t>
      </w:r>
      <w:r>
        <w:t>skilda trafiksäkerhetsplanen för åren 1999–2003. Med en resurstilldelning  som krävs för att genomföra de åtgärderna når man som bäst antalet 340 och som sämst antalet 430 dödade i trafiken år 2007. Ytterligare minst 10 milja</w:t>
      </w:r>
      <w:r>
        <w:t>r</w:t>
      </w:r>
      <w:r>
        <w:t>der  kronor för fysiska trafiksäkerhetsåtgärder skulle Vägverket behöva för att åtminstone rädda 70 liv på det statliga vägnätet i syfte att klara målet, hög</w:t>
      </w:r>
      <w:r>
        <w:t>st 270 omkomna år 2007. Ett särskilt problem i detta sammanhang är enligt verket kommunernas möjlighet att ge sitt bidrag till trafiksäkerhet</w:t>
      </w:r>
      <w:r>
        <w:t>s</w:t>
      </w:r>
      <w:r>
        <w:t xml:space="preserve">målen. På det kommunala vägnätet omkommer nämligen ca 30 % av dem som dödas i trafiken. </w:t>
      </w:r>
    </w:p>
    <w:p w:rsidR="00E27ED4" w:rsidRDefault="00E27ED4">
      <w:pPr>
        <w:pStyle w:val="Normaltindrag"/>
      </w:pPr>
      <w:r>
        <w:t>Vägverket betonar avslutningsvis att genomförandet av nollvisionen med dess ambitiösa preciserade etappmål måste få stora konsekvenser för utvec</w:t>
      </w:r>
      <w:r>
        <w:t>k</w:t>
      </w:r>
      <w:r>
        <w:t>lingen av vägtransportsystemet och de ekonomiska resurser som ställs till aktörernas förfogande. Verket säger sig också ha för avsikt att initiera och driva på forskning och utveckling för att om möjligt finna effektivare lö</w:t>
      </w:r>
      <w:r>
        <w:t>s</w:t>
      </w:r>
      <w:r>
        <w:t>ningar.</w:t>
      </w:r>
    </w:p>
    <w:p w:rsidR="00E27ED4" w:rsidRDefault="00E27ED4">
      <w:pPr>
        <w:pStyle w:val="Rubrik3"/>
      </w:pPr>
      <w:bookmarkStart w:id="30" w:name="_Toc447092544"/>
      <w:r>
        <w:t>2.7 Motionsyrkanden om vissa övergripande trafiksäkerhetsfrågor</w:t>
      </w:r>
      <w:bookmarkEnd w:id="30"/>
    </w:p>
    <w:p w:rsidR="00E27ED4" w:rsidRDefault="00E27ED4">
      <w:r>
        <w:t xml:space="preserve"> I motion T220 av Per-Richard Molén m.fl. (m) behandlas bl.a. frågan om  skatten på motorfordon. Motionärerna framhåller att den nuvarande vägtr</w:t>
      </w:r>
      <w:r>
        <w:t>a</w:t>
      </w:r>
      <w:r>
        <w:t>fikbeskattningen baseras på bilens vikt och att utvecklingen av trafiksäkra bilar härigenom missgynnas. Dagens regler medför, säger motionärerna, att färre personer kör säkrare bilar, något som i sin tur leder till svårare olyckor och fler dödsfall. Såväl samhällsekonomiskt som statsfinansiellt orsakar det nuvarande systemet stora förluster. Skatten bör, betonas det i motionen, utformas så att säkra och bränslesnåla bilar gynnas.</w:t>
      </w:r>
    </w:p>
    <w:p w:rsidR="00E27ED4" w:rsidRDefault="00E27ED4">
      <w:r>
        <w:t>I motion T223 av Johnny Gylling m.fl. (kd)  utgår motionärerna från budge</w:t>
      </w:r>
      <w:r>
        <w:t>t</w:t>
      </w:r>
      <w:r>
        <w:t>propositionen för år 1999 och framhåller att regeringen  i den uppgivet anför att det s.k. reformarbetet inom trafiksäkerhetsområdet inte gett det önskade resultatet och att den därför inte vill öka medlen  för den delen av trafiks</w:t>
      </w:r>
      <w:r>
        <w:t>ä</w:t>
      </w:r>
      <w:r>
        <w:t>kerhetsarbetet. Kristdemokraterna accepterar inte denna uppgivenhet, säger motionärerna, utan vill utvärdera och ompröva pedagogiken och metodiken för trafiksäkerhetsarbetet och det attitydskapande arbetet. Det är då av sä</w:t>
      </w:r>
      <w:r>
        <w:t>r</w:t>
      </w:r>
      <w:r>
        <w:t>skild vikt, understryks det i motionen, att samarbeta me</w:t>
      </w:r>
      <w:r>
        <w:t>d frivilligorganisati</w:t>
      </w:r>
      <w:r>
        <w:t>o</w:t>
      </w:r>
      <w:r>
        <w:t>ner, hemmen, förskola och skola samt att sätta upp mätbara mål för attityda</w:t>
      </w:r>
      <w:r>
        <w:t>r</w:t>
      </w:r>
      <w:r>
        <w:t>betet i fråga om trafiken, såsom alkoholfri zon, barn i trafik, normöverföring, hastighetsanpassning m.m.</w:t>
      </w:r>
    </w:p>
    <w:p w:rsidR="00E27ED4" w:rsidRDefault="00E27ED4">
      <w:r>
        <w:t>I motion T223 av Johnny Gylling m.fl. (kd) behandlas också det kommunala trafiksäkerhetsarbetet. Motionärerna betonar att de oskyddade trafikanternas situation särskilt måste uppmärksammas. Dessa drabbas särskilt vid besp</w:t>
      </w:r>
      <w:r>
        <w:t>a</w:t>
      </w:r>
      <w:r>
        <w:t>ringar som medför minskad vägbelysning m.m. Både cyklister och fotgäng</w:t>
      </w:r>
      <w:r>
        <w:t>a</w:t>
      </w:r>
      <w:r>
        <w:t>re är mycket utsatta i trafiken. Detta gäller i synnerhet i tätorter.</w:t>
      </w:r>
    </w:p>
    <w:p w:rsidR="00E27ED4" w:rsidRDefault="00E27ED4">
      <w:r>
        <w:t>I miotion T217 av Marianne Samuelsson m.fl. (mp) framhålls att främsta sättet att minska antalet dödade och skadade i trafiken är att minska trafiken. Trafiksäkerheten är så pass viktig, betonar motionärerna, att en minskning av trafiken måste kombineras med ytterligare åtgärder. Lämpliga sådana åtgä</w:t>
      </w:r>
      <w:r>
        <w:t>r</w:t>
      </w:r>
      <w:r>
        <w:t>der är dock inte enligt motionärerna sådana fysiska åtgärder i vägmiljön som enligt vad regeringen förordar  i budgetpropositionen för år 1999  nu måste prioriteras framför Vägverkets sektorsuppgifter. Ambitionerna att ”bygga bort” trafikfarorna i vägtrafiken har nämligen hittills varit mindre framgång</w:t>
      </w:r>
      <w:r>
        <w:t>s</w:t>
      </w:r>
      <w:r>
        <w:t>rika, betonar motionärerna. De effektivaste åtgärderna, vid sidan av mins</w:t>
      </w:r>
      <w:r>
        <w:t>k</w:t>
      </w:r>
      <w:r>
        <w:t>ningar av trafiken, är de som syftar till sänkt hastighet på vägarna, minskad rattonykterhet, förbättrad information, transportinform</w:t>
      </w:r>
      <w:r>
        <w:t>atik och utbildning, förbättrat underhåll av gång- och cykelbanor samt bättre laglydnad.</w:t>
      </w:r>
    </w:p>
    <w:p w:rsidR="00E27ED4" w:rsidRDefault="00E27ED4">
      <w:pPr>
        <w:pStyle w:val="Rubrik3"/>
      </w:pPr>
      <w:bookmarkStart w:id="31" w:name="_Toc447092545"/>
      <w:r>
        <w:t>2.8 Utskottets ställningstagande</w:t>
      </w:r>
      <w:bookmarkEnd w:id="31"/>
    </w:p>
    <w:p w:rsidR="00E27ED4" w:rsidRDefault="00E27ED4">
      <w:r>
        <w:t xml:space="preserve"> Den positiva utvecklingen med ett kontinuerligt sjunkande antal dödade och svårt skadade i vägtrafiken under åren 1993–1996 har brutits. Utskottet fi</w:t>
      </w:r>
      <w:r>
        <w:t>n</w:t>
      </w:r>
      <w:r>
        <w:t>ner detta mycket oroande och  vill betona att riksdagens beslut år 1997 om den s.k. nollvisionen ligger fast. Det innebär att det långsiktiga målet för trafiksäkerhetsarbetet  skall vara att ingen dödas eller skadas allvarligt till följd av trafikolyckor i vägtransportsystemet samt att vägtransportsystemets funktion anpassas till de krav som följer av detta.  En fortlöpande minskning av antalet dödade och skadade i trafiken är  därför ett krav som inte får efte</w:t>
      </w:r>
      <w:r>
        <w:t>r</w:t>
      </w:r>
      <w:r>
        <w:t>ges. Det är enligt utskottets mening angeläge</w:t>
      </w:r>
      <w:r>
        <w:t>t att regeringen nu särskilt up</w:t>
      </w:r>
      <w:r>
        <w:t>p</w:t>
      </w:r>
      <w:r>
        <w:t>märksammar hur detta krav  skall kunna uppfyllas. Utskottet förutsätter att regeringen därvid också överväger hur en ökad andel kollektivtrafik kan bidra till att öka trafiksäkerheten och därmed till förverkligandet av nollv</w:t>
      </w:r>
      <w:r>
        <w:t>i</w:t>
      </w:r>
      <w:r>
        <w:t>sionen.</w:t>
      </w:r>
    </w:p>
    <w:p w:rsidR="00E27ED4" w:rsidRDefault="00E27ED4">
      <w:pPr>
        <w:pStyle w:val="Normaltindrag"/>
      </w:pPr>
      <w:r>
        <w:t>Vid den utfrågning som utskottet anordnade den 18 mars i år framkom bl.a. att företrädare för Näringsdepartementet och Vägverket under den nä</w:t>
      </w:r>
      <w:r>
        <w:t>r</w:t>
      </w:r>
      <w:r>
        <w:t xml:space="preserve">maste tiden därefter tillsammans skulle arbeta med kompletteringar och preciseringar av Vägverkets förslag till en särskild trafiksäkerhetsplan för åren 1999–2003. Arbetet har enligt vad utskottet erfarit nyligen avslutats och den 9 april 1999 presenterats i en promemoria från Näringsdepartementet med rubriken </w:t>
      </w:r>
      <w:r>
        <w:rPr>
          <w:i/>
        </w:rPr>
        <w:t>11 punkter för ökad trafiksäkerhet</w:t>
      </w:r>
      <w:r>
        <w:t>. Utskottet förutsätter att regeringen snarast möjligt för riksdagen redovisar sina ställningstaganden i fråga om trafiksäkerhetsarbetets fortsatta inriktning.</w:t>
      </w:r>
    </w:p>
    <w:p w:rsidR="00E27ED4" w:rsidRDefault="00E27ED4">
      <w:pPr>
        <w:pStyle w:val="Normaltindrag"/>
      </w:pPr>
      <w:r>
        <w:t>Vid u</w:t>
      </w:r>
      <w:r>
        <w:t>tfrågningen framhöll experterna också att de svenska trafikanternas kunskap om, och inställning till, trafiksäkerhet är god i ett internationellt perspektiv. Detta mycket positiva förhållande synes vara ett resultat av ett långsiktigt påverkansarbete, där inte minst olika frivilligorganisationer har spelat en stor roll. Utskottet finner det därför angeläget att ett kontinuerligt och långsiktigt folkbildningsarbete får fortgå i syfte att ytterligare utveckla attityder och kunskaper i viktiga trafiksäkerhetsf</w:t>
      </w:r>
      <w:r>
        <w:t xml:space="preserve">rågor. Nykterhet i trafiken, bilbältes- och cykelhjälmsanvändning  samt respekt för hastighetsgränser är goda exempel på sådana frågor.  </w:t>
      </w:r>
    </w:p>
    <w:p w:rsidR="00E27ED4" w:rsidRDefault="00E27ED4">
      <w:pPr>
        <w:pStyle w:val="Normaltindrag"/>
      </w:pPr>
      <w:r>
        <w:t xml:space="preserve"> Utskottet vill även betona det personliga ansvar vi alla har för trafiksäke</w:t>
      </w:r>
      <w:r>
        <w:t>r</w:t>
      </w:r>
      <w:r>
        <w:t>heten. Nollvisionens s.k. systemutformaransvar ersätter inte utan komplett</w:t>
      </w:r>
      <w:r>
        <w:t>e</w:t>
      </w:r>
      <w:r>
        <w:t>rar det personliga ansvaret. Vid utfrågningen den 18 mars framgick att ett  hundratal liv kan räddas varje år, om alla som färdas i personbilar tog sitt personliga ansvar att använda föreskrivna bilbälten. Det framgick också att antalet personer som varje år omkommer på våra vägar i s.k. alkoholrelater</w:t>
      </w:r>
      <w:r>
        <w:t>a</w:t>
      </w:r>
      <w:r>
        <w:t xml:space="preserve">de olyckor  uppgår till 50 à 100. </w:t>
      </w:r>
    </w:p>
    <w:p w:rsidR="00E27ED4" w:rsidRDefault="00E27ED4">
      <w:pPr>
        <w:pStyle w:val="Normaltindrag"/>
      </w:pPr>
      <w:r>
        <w:t>Utskottet finner det vidare angeläget att vi söker nå ökad kunskap om va</w:t>
      </w:r>
      <w:r>
        <w:t>r</w:t>
      </w:r>
      <w:r>
        <w:t>för trafikolyckor inträffar. Sådan kunskap gäller inte bara trafikantens bet</w:t>
      </w:r>
      <w:r>
        <w:t>e</w:t>
      </w:r>
      <w:r>
        <w:t>ende utan också den betydelse som t.ex. vägen och vägområdet samt ford</w:t>
      </w:r>
      <w:r>
        <w:t>o</w:t>
      </w:r>
      <w:r>
        <w:t>net kan ha för en trafikolyckas uppkomst och skadornas omfattning.   Vägtr</w:t>
      </w:r>
      <w:r>
        <w:t>a</w:t>
      </w:r>
      <w:r>
        <w:t>fiken saknar motsvarighet till Järnvägsinspektionen för järnvägstrafiken, Sjöfartsinspektionen för sjöfarten och Luftfartsinspektionen för luftfarten. Regeringen bör enligt utskottets mening låta utreda inrättandet av en för vägtrafiken fristående vägtrafikinspektion – med uppgift att nå</w:t>
      </w:r>
      <w:r>
        <w:t>, och dela med sig av, en ökad kunskap om trafikolyckornas orsaker – samt återkomma till riksdagen med förslag därom.</w:t>
      </w:r>
    </w:p>
    <w:p w:rsidR="00E27ED4" w:rsidRDefault="00E27ED4">
      <w:pPr>
        <w:pStyle w:val="Normaltindrag"/>
      </w:pPr>
      <w:r>
        <w:t xml:space="preserve">Vad utskottet nu anfört om inrättande av en fristående vägtrafikinspektion bör riksdagen som sin mening ge regeringen till känna.  </w:t>
      </w:r>
    </w:p>
    <w:p w:rsidR="00E27ED4" w:rsidRDefault="00E27ED4">
      <w:r>
        <w:t>Under den gångna vintern har i samband med mycket allvarliga olyckor konstaterats att inblandade fordon varit utrustade med sommardäck eller alltför gamla vinterdäck.  Mot den bakgrunden har utskottet med tillfred</w:t>
      </w:r>
      <w:r>
        <w:t>s</w:t>
      </w:r>
      <w:r>
        <w:t>ställelse noterat regeringens avsikt  att föreskriva obligatorisk användning av vinterdäck vid vinterväglag fr.o.m. den 1 december 1999. Frågan behandlas mer utförligt i ett senare avsnitt av detta betänka</w:t>
      </w:r>
      <w:r>
        <w:t>n</w:t>
      </w:r>
      <w:r>
        <w:t>de.</w:t>
      </w:r>
    </w:p>
    <w:p w:rsidR="00E27ED4" w:rsidRDefault="00E27ED4">
      <w:pPr>
        <w:pStyle w:val="Normaltindrag"/>
      </w:pPr>
      <w:r>
        <w:t>De i motionerna T217 (mp) yrkande 5, T220 (m) yrkande 23 samt T223 (kd) yrkandena 22 och 24 aktualiserade frågorna har tidigare behandlats av utskottet, som också återkommer till dem i annat sammanhang. Av detta skäl avstyrker utskottet nu dessa yrkanden.</w:t>
      </w:r>
    </w:p>
    <w:p w:rsidR="00E27ED4" w:rsidRDefault="00E27ED4">
      <w:pPr>
        <w:pStyle w:val="Rubrik2"/>
      </w:pPr>
      <w:bookmarkStart w:id="32" w:name="_Toc447092546"/>
      <w:r>
        <w:t>3 Återstående motionsyrkanden om trafiksäkerhet</w:t>
      </w:r>
      <w:bookmarkEnd w:id="32"/>
    </w:p>
    <w:p w:rsidR="00E27ED4" w:rsidRDefault="00E27ED4">
      <w:pPr>
        <w:pStyle w:val="Rubrik3"/>
        <w:spacing w:before="123"/>
      </w:pPr>
      <w:r>
        <w:t xml:space="preserve"> </w:t>
      </w:r>
      <w:bookmarkStart w:id="33" w:name="_Toc447092547"/>
      <w:r>
        <w:t>3.1 Utbildnings- och behörighetsfrågor</w:t>
      </w:r>
      <w:bookmarkEnd w:id="33"/>
    </w:p>
    <w:p w:rsidR="00E27ED4" w:rsidRDefault="00E27ED4">
      <w:pPr>
        <w:pStyle w:val="R4"/>
        <w:spacing w:before="123"/>
      </w:pPr>
      <w:r>
        <w:t>Körkortsinnehav för äldre</w:t>
      </w:r>
    </w:p>
    <w:p w:rsidR="00E27ED4" w:rsidRDefault="00E27ED4">
      <w:r>
        <w:t>Motion T410 av Christel Anderberg (m) har rubriken Körkortsinnehav för äldre. Motionären framhåller att det av trafiksäkerhetsskäl  är oundgängligen nödvändigt att börja uppmärksamma de allt fler äldre fordonsförarna och de särskilda överväganden som detta bör föranleda. Problemet finns redan i dag, betonar motionären, och det är snabbt växande. Regeringen bör därför til</w:t>
      </w:r>
      <w:r>
        <w:t>l</w:t>
      </w:r>
      <w:r>
        <w:t>sätta en parlamentarisk utredning som får till uppgift att bl.a. föreslå skärpta regler för medicinsk undersökning och förnyad uppkörning.</w:t>
      </w:r>
    </w:p>
    <w:p w:rsidR="00E27ED4" w:rsidRDefault="00E27ED4">
      <w:r>
        <w:t>Riksdagen antog en ny körkortslag (1998:488) i maj förra året. Lagen inn</w:t>
      </w:r>
      <w:r>
        <w:t>e</w:t>
      </w:r>
      <w:r>
        <w:t>bär bl.a. den av ett EG-direktiv betingade nyheten att körkortsbehörigheterna för tung lastbil och buss enligt 3 kap. 12 § ”gäller tills det att körkortshavaren fyller 45 år och därefter för perioder om högst 10 år, om körkortshavaren har visat att de medicinska kraven för att ha sådan behörighet är uppfyllda”.  Frågan om att på liknande sätt tidsbegränsa giltigheten av körkortsbehöri</w:t>
      </w:r>
      <w:r>
        <w:t>g</w:t>
      </w:r>
      <w:r>
        <w:t>heten för t. ex. personbil har, enligt vad utskottet erfarit,  utretts av Vägverket på uppdrag av regeringen. Uppdraget har</w:t>
      </w:r>
      <w:r>
        <w:t xml:space="preserve"> redovisats, och regeringen bereder frågan.</w:t>
      </w:r>
    </w:p>
    <w:p w:rsidR="00E27ED4" w:rsidRDefault="00E27ED4">
      <w:pPr>
        <w:pStyle w:val="Normaltindrag"/>
      </w:pPr>
      <w:r>
        <w:t>Utskottet erinrar om att  enligt 5 kap. 3 §  gäller att körkort skall återkallas i vissa fall, bl.a. ”om körkortshavarens förutsättningar för rätt att köra ett körkortspliktigt fordon är så väsentligt begränsade genom sjukdom, skada eller dylikt att han från trafiksäkerhetssynpunkt inte längre bör ha körkort”.  Vidare gäller enligt samma lagrum att körkort skall återkallas om en kö</w:t>
      </w:r>
      <w:r>
        <w:t>r</w:t>
      </w:r>
      <w:r>
        <w:t>kortshavare inte följer ett föreläggande att ge in läkari</w:t>
      </w:r>
      <w:r>
        <w:t>n</w:t>
      </w:r>
      <w:r>
        <w:t>tyg.</w:t>
      </w:r>
    </w:p>
    <w:p w:rsidR="00E27ED4" w:rsidRDefault="00E27ED4">
      <w:pPr>
        <w:pStyle w:val="Normaltindrag"/>
      </w:pPr>
      <w:r>
        <w:t>Och  10 kap. 2 § körkortslagen innehåller följande stadgande:</w:t>
      </w:r>
    </w:p>
    <w:p w:rsidR="00E27ED4" w:rsidRDefault="00E27ED4">
      <w:pPr>
        <w:pStyle w:val="Citat"/>
      </w:pPr>
      <w:r>
        <w:t>Om en läkare vid undersökning av en körkortshavare finner att körkortshav</w:t>
      </w:r>
      <w:r>
        <w:t>a</w:t>
      </w:r>
      <w:r>
        <w:t xml:space="preserve">ren av medicinska skäl är uppenbart olämplig att ha körkort, skall läkaren anmäla det till länsstyrelsen. Innan anmälan görs skall läkaren underrätta körkortshavaren. Anmälan behöver inte göras om det finns anledning att anta att körkortshavaren kommer att följa läkarens tillsägelse att avstå från att köra körkortspliktigt fordon.  </w:t>
      </w:r>
    </w:p>
    <w:p w:rsidR="00E27ED4" w:rsidRDefault="00E27ED4">
      <w:r>
        <w:t>I avvaktan på resultatet av den nämnda beredningen  och med hänvisning  till de återgivna bestämmelserna i körkortslagen finner utskottet syftet  med motion T410 (m) tillgodose</w:t>
      </w:r>
      <w:r>
        <w:t xml:space="preserve">tt. Motionen behöver sålunda inte föranleda någon riksdagens åtgärd och avstyrks därför. </w:t>
      </w:r>
    </w:p>
    <w:p w:rsidR="00E27ED4" w:rsidRDefault="00E27ED4">
      <w:pPr>
        <w:pStyle w:val="R4"/>
      </w:pPr>
      <w:r>
        <w:t>Utbildning i samband med körkortsförnyelse</w:t>
      </w:r>
    </w:p>
    <w:p w:rsidR="00E27ED4" w:rsidRDefault="00E27ED4">
      <w:r>
        <w:t>I motion T422 av Kenneth Lantz (kd) yrkas att riksdagen som sin mening ger regeringen till känna vad i motionen anförts (yrkande 1) om utbildning i samband med körkortsförnyelse och (yrkande 2) om ”körkortsfortbild-ningen”. Motionären framhåller att vidareutbildning och kompetensutvec</w:t>
      </w:r>
      <w:r>
        <w:t>k</w:t>
      </w:r>
      <w:r>
        <w:t>ling  numera är en självklarhet i yrkeslivet och erinrar om bestämmelsen i körkortslagen att ett körkort skall förnyas inom tio år efter det att det har utfärdats eller senast förnyats. Körkortsförnyelsen är ett förträffligt tillfälle, säger motionären, att utnyttja till en frivillig uppdatering av trafikkunskape</w:t>
      </w:r>
      <w:r>
        <w:t>r</w:t>
      </w:r>
      <w:r>
        <w:t>na. Höj avgiften, fortsätter han, med några hundra kronor och låt en talong följa med det nya körkortet. Talongen lämnas till en godkänd trafikskola som erbjuder trafikanten en lektionstimme i gru</w:t>
      </w:r>
      <w:r>
        <w:t>pp på ca 10 personer med geno</w:t>
      </w:r>
      <w:r>
        <w:t>m</w:t>
      </w:r>
      <w:r>
        <w:t>gång av nya trafikregler. Dessutom kan trafikläraren låta 3–4 personer frivi</w:t>
      </w:r>
      <w:r>
        <w:t>l</w:t>
      </w:r>
      <w:r>
        <w:t>ligt följa med på en körslinga med konkreta exempel på rätt körteknik. Här</w:t>
      </w:r>
      <w:r>
        <w:t>i</w:t>
      </w:r>
      <w:r>
        <w:t>genom stimuleras strävandena att inte bara öka trafiksäkerheten utan också att värna miljön. Körkortshavaren har redan betalat avgiften, säger motion</w:t>
      </w:r>
      <w:r>
        <w:t>ä</w:t>
      </w:r>
      <w:r>
        <w:t>ren, och deltagandet skall vara frivilligt och utan ”examen”.</w:t>
      </w:r>
    </w:p>
    <w:p w:rsidR="00E27ED4" w:rsidRDefault="00E27ED4">
      <w:pPr>
        <w:pStyle w:val="Normaltindrag"/>
      </w:pPr>
      <w:r>
        <w:t>Enligt vad utskottet erfarit överväger man inom Vägverket hur man  på lämpligt sätt skall ge information i olika vägtr</w:t>
      </w:r>
      <w:r>
        <w:t>afikfrågor till alla dem som förnyar sitt körkort. I avvaktan på resultatet av dessa överväganden är u</w:t>
      </w:r>
      <w:r>
        <w:t>t</w:t>
      </w:r>
      <w:r>
        <w:t>skottet för sin del inte berett att förorda någon riksdagens åtgärd med anle</w:t>
      </w:r>
      <w:r>
        <w:t>d</w:t>
      </w:r>
      <w:r>
        <w:t xml:space="preserve">ning av motion T422 (kd). Denna avstyrks därför. </w:t>
      </w:r>
    </w:p>
    <w:p w:rsidR="00E27ED4" w:rsidRDefault="00E27ED4">
      <w:pPr>
        <w:pStyle w:val="R4"/>
      </w:pPr>
      <w:r>
        <w:t>Skärpta krav på körkortsutbildning för traktorförare</w:t>
      </w:r>
    </w:p>
    <w:p w:rsidR="00E27ED4" w:rsidRDefault="00E27ED4">
      <w:r>
        <w:t>Motion T423 av Ann-Kristine Johansson och Alf Eriksson (båda s) gäller skärpta krav på körkortsutbildning för traktorförare. Många unga förare sitter i dag bakom ratten på traktorer där efterfordonen är mycket tungt lastade, säger motionärerna. Det är inte ovanligt att laster på 30–40 ton dras av en jordbrukstraktor. Med så tunga efterfordon blir traktorn svår att hantera. Förarens utbildning har dock inte förberett honom/henne för sådana svåri</w:t>
      </w:r>
      <w:r>
        <w:t>g</w:t>
      </w:r>
      <w:r>
        <w:t>heter. Den utbildning som nu finns behöver därför kompletteras med prakti</w:t>
      </w:r>
      <w:r>
        <w:t>s</w:t>
      </w:r>
      <w:r>
        <w:t>ka övningar kombinerat med teori. Det är samtidigt viktigt att traktor och redskap som används vid utbildningen har en tjänstevikt av lägst 2 500 kg och att vagnarna  är lastade med minst motsvarande traktorns tjänstevikt för att den som övningskör skall kunna känna hur traktorn uppför sig med tunga efterfordon.</w:t>
      </w:r>
    </w:p>
    <w:p w:rsidR="00E27ED4" w:rsidRDefault="00E27ED4">
      <w:r>
        <w:t xml:space="preserve">Riksdagen antog, som nämnts, en ny körkortslag så sent som i maj förra året. I det avseende det nu är fråga om skiljer sig </w:t>
      </w:r>
      <w:r>
        <w:t>inte det sakliga innehållet i den nya lagen från den gamla. Enligt den nya  lagens 3 kap. 16 § får sålunda  traktorkort utfärdas för den som har fyllt 16 år, som har körkortstillstånd och som genom godkänt kunskapsprov visat sig uppfylla de krav som bör ställas från trafiksäkerhetssynpunkt. (Om det finns särskilda skäl, gäller det sagda den som fyllt 15 år.) Det krävs sålunda inte något godkänt körprov. Ö</w:t>
      </w:r>
      <w:r>
        <w:t>v</w:t>
      </w:r>
      <w:r>
        <w:t xml:space="preserve">ningskörning med traktorer förekommer dock, enligt vad utskottet inhämtat, inom Naturbruksprogrammet i </w:t>
      </w:r>
      <w:r>
        <w:t>gymnasieskolan. Utbildningen inom detta program skall ge eleverna grundläggande yrkeskunskaper inom naturbruk</w:t>
      </w:r>
      <w:r>
        <w:t>s</w:t>
      </w:r>
      <w:r>
        <w:t>området som helhet, innefattande jordbruk, skogsbruk, trädgårdsnäring, fiske och vattenbruk, djurvård, hästhållning, miljövård och bioenergi. Utskottet har vidare från Vägverket inhämtat att olyckor i sådana fall som avses i motionen är sällsynta. Utskottet är inte berett att förorda en sådan ändring i kö</w:t>
      </w:r>
      <w:r>
        <w:t>r</w:t>
      </w:r>
      <w:r>
        <w:t xml:space="preserve">kortslagen som  motionen förutsätter. Denna avstyrks därför.    </w:t>
      </w:r>
    </w:p>
    <w:p w:rsidR="00E27ED4" w:rsidRDefault="00E27ED4">
      <w:pPr>
        <w:rPr>
          <w:i/>
        </w:rPr>
      </w:pPr>
    </w:p>
    <w:p w:rsidR="00E27ED4" w:rsidRDefault="00E27ED4">
      <w:pPr>
        <w:pStyle w:val="R4"/>
        <w:spacing w:before="123"/>
      </w:pPr>
      <w:r>
        <w:t>Undantag från 21-årsgränsen för busskort</w:t>
      </w:r>
    </w:p>
    <w:p w:rsidR="00E27ED4" w:rsidRDefault="00E27ED4">
      <w:r>
        <w:rPr>
          <w:i/>
        </w:rPr>
        <w:t xml:space="preserve"> </w:t>
      </w:r>
      <w:r>
        <w:t>Motion T424 av Torgny Danielsson (s)  har rubriken Undantag från 21-årsgränsen för busskort. Motionären utgår från en bestämmelse i  körkortsl</w:t>
      </w:r>
      <w:r>
        <w:t>a</w:t>
      </w:r>
      <w:r>
        <w:t>gen om att körkort för buss får utfärdas för  den som har fyllt 21 år och har avlagt godkänt förarprov. Det vore önskvärt, säger motionären, att det införs ett undantag från 21-årsgränsen för elever som genomgått gymnasial yrke</w:t>
      </w:r>
      <w:r>
        <w:t>s</w:t>
      </w:r>
      <w:r>
        <w:t xml:space="preserve">förarutbildning eller liknande. Undantaget skulle innebära att den som avlagt godkänt förarprov ges rätt att från 19 års ålder framföra buss </w:t>
      </w:r>
      <w:r>
        <w:t>inom ett ge</w:t>
      </w:r>
      <w:r>
        <w:t>o</w:t>
      </w:r>
      <w:r>
        <w:t>grafiskt begränsat område och/eller rätt att framföra buss med högst 17 sit</w:t>
      </w:r>
      <w:r>
        <w:t>t</w:t>
      </w:r>
      <w:r>
        <w:t>platser för passagerare. Ett sådant undantag från 21-årsgränsen skulle leda till att bussbranschen får möjlighet att rekrytera ungdomar direkt från gymnasi</w:t>
      </w:r>
      <w:r>
        <w:t>e</w:t>
      </w:r>
      <w:r>
        <w:t xml:space="preserve">skolan och att vidareutbilda dem inom de olika företagen. </w:t>
      </w:r>
    </w:p>
    <w:p w:rsidR="00E27ED4" w:rsidRDefault="00E27ED4">
      <w:r>
        <w:t>Utskottet erinrar om att den gamla körkortslagen (1977:477) ändrades i mars 1996 (prop. 1995/96:118, bet. 1995/96:TU14, rskr. 1995/96:195) som en följd av Sveriges skyldighet att såsom EU-medlem införliva EG-r</w:t>
      </w:r>
      <w:r>
        <w:t>ätten i  den svenska rättsordningen. Enligt EG:s direktiv 91/439/EEG av den 29 juli 1991 om körkort gäller bl.a. behörighetsåldern 21 år för busskörkort. Genom det nämnda riksdagsbeslutet ändrades den gamla körkortslagen bl.a. så att beh</w:t>
      </w:r>
      <w:r>
        <w:t>ö</w:t>
      </w:r>
      <w:r>
        <w:t>righetsåldern för busskörkort höjdes från 20 år till 21 år. Den sålunda ändr</w:t>
      </w:r>
      <w:r>
        <w:t>a</w:t>
      </w:r>
      <w:r>
        <w:t>de regeln har överförts till den nya körkortslagen (1998:488), där den åte</w:t>
      </w:r>
      <w:r>
        <w:t>r</w:t>
      </w:r>
      <w:r>
        <w:t>finns i 3 kap. 1 §. EG:s körkortsdirektiv tillåter ingen sådan nationell avv</w:t>
      </w:r>
      <w:r>
        <w:t>i</w:t>
      </w:r>
      <w:r>
        <w:t>kelse från ifrågavarande bestämmelse som moti</w:t>
      </w:r>
      <w:r>
        <w:t>onären förordar. Härav följer att motionen avstyrks.</w:t>
      </w:r>
    </w:p>
    <w:p w:rsidR="00E27ED4" w:rsidRDefault="00E27ED4">
      <w:pPr>
        <w:pStyle w:val="R4"/>
      </w:pPr>
      <w:r>
        <w:t>Kalenderår och körkort</w:t>
      </w:r>
    </w:p>
    <w:p w:rsidR="00E27ED4" w:rsidRDefault="00E27ED4">
      <w:r>
        <w:t>Motion 1998/99:T428 av Mikael Oskarsson (kd) har rubriken</w:t>
      </w:r>
      <w:r>
        <w:rPr>
          <w:i/>
        </w:rPr>
        <w:t xml:space="preserve"> </w:t>
      </w:r>
      <w:r>
        <w:t>Kalenderår och körkort. Motionären framhåller att många unga finner det inkonsekvent att födelse</w:t>
      </w:r>
      <w:r>
        <w:rPr>
          <w:i/>
        </w:rPr>
        <w:t>året</w:t>
      </w:r>
      <w:r>
        <w:t xml:space="preserve"> bestämmer när man skall börja skolan och göra värnplikten, men att det är födelse</w:t>
      </w:r>
      <w:r>
        <w:rPr>
          <w:i/>
        </w:rPr>
        <w:t>dagen</w:t>
      </w:r>
      <w:r>
        <w:t xml:space="preserve"> som avgör när man får köra moped, motorcykel och personbil. Motionären vill att ungdomar skall ha rätt att köra moped, lätt motorcykel och personbil från det kalenderår de fyller 15 respektive 16 och 18 år samt att gällande bestä</w:t>
      </w:r>
      <w:r>
        <w:t>m</w:t>
      </w:r>
      <w:r>
        <w:t>melser ändras i enlighet härmed.</w:t>
      </w:r>
    </w:p>
    <w:p w:rsidR="00E27ED4" w:rsidRDefault="00E27ED4">
      <w:r>
        <w:t>I sitt av riksdagen godkända betänkande 1995/96:TU2 från hös</w:t>
      </w:r>
      <w:r>
        <w:t>ten 1995 behandlade utskottet motionsyrkanden om rätt att föra moped från det år föraren fyller 15 år. Utskottet framhöll att enligt Vägverkets bedömning kunde trafiksäkerhetsskäl inte åberopas till stöd för att frångå kravet på att föraren skall ha fyllt 15 år. Ett bifall till motionsyrkandena skulle, betonade utskottet, medföra att behörighetsåldern sänktes till 14 år i många fall. I betänkandet hänvisades också till en tidigare under år 1995 tillsatt utredning med uppdrag att göra en översyn av de ålders</w:t>
      </w:r>
      <w:r>
        <w:t xml:space="preserve">gränser i samhället som berör unga människor upp till 30 års ålder och att lämna förslag till erforderliga förändringar. </w:t>
      </w:r>
    </w:p>
    <w:p w:rsidR="00E27ED4" w:rsidRDefault="00E27ED4">
      <w:pPr>
        <w:pStyle w:val="Normaltindrag"/>
      </w:pPr>
      <w:r>
        <w:t>Utskottet kan konstatera att Åldersgränsutredningens resultat föreligger i betänkandet Bevakad övergång – Åldersgränser för unga upp till 30 år (SOU 1996:111). Något förslag till sådan förändring som begärs i motion T428 (kd) finns inte i betänkandet. Utskottet kan vidare konstatera att åldersgrä</w:t>
      </w:r>
      <w:r>
        <w:t>n</w:t>
      </w:r>
      <w:r>
        <w:t>serna 16 och 18 år föreskrivs i EG:s körkortsdirektiv för behörighet att köra lätt motorcykel respektive personbil och lätt lastbil.</w:t>
      </w:r>
    </w:p>
    <w:p w:rsidR="00E27ED4" w:rsidRDefault="00E27ED4">
      <w:pPr>
        <w:pStyle w:val="Normaltindrag"/>
      </w:pPr>
      <w:r>
        <w:t>Mot bakgrund av det anförda anser utskottet att motion T428 (kd) inte bör föranleda någon riksdagens åtgärd. Motionen avstyrks följaktligen.</w:t>
      </w:r>
    </w:p>
    <w:p w:rsidR="00E27ED4" w:rsidRDefault="00E27ED4">
      <w:pPr>
        <w:pStyle w:val="R4"/>
      </w:pPr>
      <w:r>
        <w:t>Utbildning för förare av utryckningsfordon</w:t>
      </w:r>
    </w:p>
    <w:p w:rsidR="00E27ED4" w:rsidRDefault="00E27ED4">
      <w:r>
        <w:t>Motion T431 av Anna Åkerhielm (m) gäller särskild utbildning för förare av</w:t>
      </w:r>
      <w:r>
        <w:rPr>
          <w:i/>
        </w:rPr>
        <w:t xml:space="preserve"> </w:t>
      </w:r>
      <w:r>
        <w:t>utryckningsfordon</w:t>
      </w:r>
      <w:r>
        <w:rPr>
          <w:i/>
        </w:rPr>
        <w:t xml:space="preserve">. </w:t>
      </w:r>
      <w:r>
        <w:t>Motionären framhåller att det för närvarande inte finns några särskilda körkortskrav på t.ex. ambulans- eller brandbilsförare. Enligt motionären har Vägverket på uppdrag av regeringen  genomfört en utre</w:t>
      </w:r>
      <w:r>
        <w:t>d</w:t>
      </w:r>
      <w:r>
        <w:t>ning, i vilken  föreslås att en särskild utbildning och behörighet införs för förare av utryckningsfordon. Regeringen bör nu, betonar motionären, på grundval av Vägverkets förslag snarast möjligt förelägga riksdagen förslag till särskild utbildning för förare av utryckningsfordon. Enhetli</w:t>
      </w:r>
      <w:r>
        <w:t>ga krav på utbildning och kompetens oavsett vem som är huvudman  för verksamheten bör därmed uppnås. Behörigheten att föra utryckningsfordon bör anges i körkortsregistret och i en särskild personlig handling.</w:t>
      </w:r>
    </w:p>
    <w:p w:rsidR="00E27ED4" w:rsidRDefault="00E27ED4">
      <w:r>
        <w:t>Beredning av Vägverkets förslag pågår inom Regeringskansliet, enligt vad utskottet inhämtat. I avvaktan på resultatet av denna är utskottet för sin del inte berett att förorda någon riksdagens åtgärd med anledning av motionen. Denna avstyrks därför.</w:t>
      </w:r>
    </w:p>
    <w:p w:rsidR="00E27ED4" w:rsidRDefault="00E27ED4">
      <w:pPr>
        <w:pStyle w:val="Rubrik3"/>
      </w:pPr>
      <w:bookmarkStart w:id="34" w:name="_Toc447092548"/>
      <w:r>
        <w:t>3.2 Fordons- och  utrustningsfrågor</w:t>
      </w:r>
      <w:bookmarkEnd w:id="34"/>
    </w:p>
    <w:p w:rsidR="00E27ED4" w:rsidRDefault="00E27ED4">
      <w:pPr>
        <w:pStyle w:val="R4"/>
        <w:spacing w:before="123"/>
      </w:pPr>
      <w:r>
        <w:t xml:space="preserve">Sänkning av nuvarande ålderskrav för hjälmanvändning vid färd  på moped </w:t>
      </w:r>
    </w:p>
    <w:p w:rsidR="00E27ED4" w:rsidRDefault="00E27ED4">
      <w:r>
        <w:t>Motion T409 av Carina Hägg (s) gäller sänkning av nuvarande ålderskrav för hjälmanvändning vid färd  på moped.</w:t>
      </w:r>
    </w:p>
    <w:p w:rsidR="00E27ED4" w:rsidRDefault="00E27ED4">
      <w:r>
        <w:t>Enligt 117 b § vägtrafikkungörelsen (VTK) gäller att den som färdas med motorcykel eller moped skall använda skyddshjälm, om han fyllt 15 år. VTK  upphävs den 1 oktober 1999, då trafikförordningen (1998:1276)  träder i kraft. I den nya förordningens 4 kap. 9 § stadgas att den som färdas med motorcykel eller moped skall använda skyddshjälm. Skyddshjälm behöver dock inte användas i vissa fall, t.ex. av passagerare som inte fyllt sju år och som a</w:t>
      </w:r>
      <w:r>
        <w:t>n</w:t>
      </w:r>
      <w:r>
        <w:t>vänder annat lämpligt huvudskydd.</w:t>
      </w:r>
    </w:p>
    <w:p w:rsidR="00E27ED4" w:rsidRDefault="00E27ED4">
      <w:pPr>
        <w:pStyle w:val="Normaltindrag"/>
        <w:rPr>
          <w:b/>
        </w:rPr>
      </w:pPr>
      <w:r>
        <w:t>Näringsminister Björn Rosengren har i ett svar den 16 december 1998  på en fråga av Johnny Gylling (kd) framhållit att kravet på skyddshjälm har satts till sju år med hänsyn till att yngre barn riskerar skador på hals och nacke om de använder en typgodkänd skyddshjälm. ”Annat lämpligt huvu</w:t>
      </w:r>
      <w:r>
        <w:t>d</w:t>
      </w:r>
      <w:r>
        <w:t xml:space="preserve">skydd” som föreskrivs i trafikförordningen för de yngre barnen kan, sade näringsministern, vara t.ex. en cykelhjälm.    </w:t>
      </w:r>
    </w:p>
    <w:p w:rsidR="00E27ED4" w:rsidRDefault="00E27ED4">
      <w:pPr>
        <w:pStyle w:val="Normaltindrag"/>
        <w:rPr>
          <w:b/>
        </w:rPr>
      </w:pPr>
      <w:r>
        <w:t xml:space="preserve"> Av det anförda framgår att syftet med motion T409 (s) torde få anses til</w:t>
      </w:r>
      <w:r>
        <w:t>l</w:t>
      </w:r>
      <w:r>
        <w:t>godosett. Motionen behöver därför inte föranleda någon riksdagens åtgärd och avstyrks följak</w:t>
      </w:r>
      <w:r>
        <w:t>t</w:t>
      </w:r>
      <w:r>
        <w:t xml:space="preserve">ligen.   </w:t>
      </w:r>
    </w:p>
    <w:p w:rsidR="00E27ED4" w:rsidRDefault="00E27ED4">
      <w:pPr>
        <w:pStyle w:val="R4"/>
      </w:pPr>
      <w:r>
        <w:t>Barns användande av cykelhjälm</w:t>
      </w:r>
    </w:p>
    <w:p w:rsidR="00E27ED4" w:rsidRDefault="00E27ED4">
      <w:r>
        <w:t>Motion T415 (s) av Majléne Westerlund Panke gäller barns användande av cykelhjälm. Motionären framhåller att cykelolyckor bland barn är mycket vanliga. Ofta orsakar dessa olyckor endast skrubbsår, men tyvärr sker även olyckor med allvarliga skador och även dödsfall som följd. Dessa skador utgörs alltför ofta av skallskador. I de flesta fallen skulle användning av hjälm ha kunnat minska skadorna. Tiden bör nu vara mogen, betonar moti</w:t>
      </w:r>
      <w:r>
        <w:t>o</w:t>
      </w:r>
      <w:r>
        <w:t>nären, att lagstifta om ett hjälmtvång för barn som färdas på cykel.</w:t>
      </w:r>
    </w:p>
    <w:p w:rsidR="00E27ED4" w:rsidRDefault="00E27ED4">
      <w:r>
        <w:t>Frågan om hjälmtvång för cyklister behandlades i 1997 års proposition om nollvisionen och i utskottets betänkande 1997/98:TU4 med anledning av propositionen. I denna framhöll regeringen att de med cykeltrafiken förenade dödsfalls- och skaderiskerna borde motverkas i första hand genom lägre hastigheter vid blandtrafik inom tättbebyggt område, separering av biltrafik och gång- och cykeltrafik samt en utbredd användning av cykelhjälm. Ökad a</w:t>
      </w:r>
      <w:r>
        <w:t>nvändning av hjälm borde tills vidare åstadkommas genom information och som en del i myndigheters och näringslivets kvalitetssäkring av transporter. En tvingande bestämmelse borde enligt regeringen införas först när det ku</w:t>
      </w:r>
      <w:r>
        <w:t>n</w:t>
      </w:r>
      <w:r>
        <w:t xml:space="preserve">de anses att tillräckligt många accepterar lagstiftning på området. </w:t>
      </w:r>
    </w:p>
    <w:p w:rsidR="00E27ED4" w:rsidRDefault="00E27ED4">
      <w:pPr>
        <w:pStyle w:val="Normaltindrag"/>
      </w:pPr>
      <w:r>
        <w:t>I det nämnda betänkandet, från september 1997, betonade utskottet också för sin del vikten av att cyklister använder hjälm. Några tvingande regler därom borde emellertid tills vidare inte införas. En ökad hjälmanvändning</w:t>
      </w:r>
      <w:r>
        <w:t xml:space="preserve"> borde i stället åstadkommas på det sätt som regeringen förordade. Utskottet framhöll vikten av att Vägverket noga borde följde utvecklingen och beton</w:t>
      </w:r>
      <w:r>
        <w:t>a</w:t>
      </w:r>
      <w:r>
        <w:t>de att frågan om tvingande bestämmelser skulle övervägas på nytt, om      hjälmanvändningen inte fick en godtagbar omfat</w:t>
      </w:r>
      <w:r>
        <w:t>t</w:t>
      </w:r>
      <w:r>
        <w:t xml:space="preserve">ning.                                                                                                                                                                                            </w:t>
      </w:r>
    </w:p>
    <w:p w:rsidR="00E27ED4" w:rsidRDefault="00E27ED4">
      <w:pPr>
        <w:pStyle w:val="Normaltindrag"/>
      </w:pPr>
      <w:r>
        <w:t>Utskottet, som självfallet vidhåller  sin uppf</w:t>
      </w:r>
      <w:r>
        <w:t>attning om vikten av en ökad  användning av cykelhjälm, har tagit del av en uppgift i årets budgetpropos</w:t>
      </w:r>
      <w:r>
        <w:t>i</w:t>
      </w:r>
      <w:r>
        <w:t>tion om att hjälmanvändningen inte ökade under år 1997. Utskottet är eme</w:t>
      </w:r>
      <w:r>
        <w:t>l</w:t>
      </w:r>
      <w:r>
        <w:t>lertid, med tanke på den relativt korta tid som förflutit sedan september 1997, ännu inte berett att förorda några tvingande bestämmelser. Utskottet föru</w:t>
      </w:r>
      <w:r>
        <w:t>t</w:t>
      </w:r>
      <w:r>
        <w:t>sätter att Vägverket fortsätter sin bevakning av utvecklingen och att riksd</w:t>
      </w:r>
      <w:r>
        <w:t>a</w:t>
      </w:r>
      <w:r>
        <w:t>gen genom regeringens försorg fortlöpande hålls underrättad om denna. Någon riksdagens åtgärd bör sålede</w:t>
      </w:r>
      <w:r>
        <w:t xml:space="preserve">s inte nu vidtas med anledning av motion T415 (s), varför denna avstyrks. </w:t>
      </w:r>
    </w:p>
    <w:p w:rsidR="00E27ED4" w:rsidRDefault="00E27ED4">
      <w:pPr>
        <w:pStyle w:val="R4"/>
      </w:pPr>
      <w:r>
        <w:t>Passagerare på cykel</w:t>
      </w:r>
    </w:p>
    <w:p w:rsidR="00E27ED4" w:rsidRDefault="00E27ED4">
      <w:r>
        <w:t>Motion T411 av Yvonne Ruwaida (mp) har rubriken</w:t>
      </w:r>
      <w:r>
        <w:rPr>
          <w:i/>
        </w:rPr>
        <w:t xml:space="preserve"> </w:t>
      </w:r>
      <w:r>
        <w:t>Passagerare på cykel. Motionären framhåller att det regelverk som omgärdar skjutsning på cykel gör att cykeln inte kommer till sin rätt som miljövänligt alternativ till bilen i den utsträckning som skulle kunna förekomma. Naturligtvis finns trafiks</w:t>
      </w:r>
      <w:r>
        <w:t>ä</w:t>
      </w:r>
      <w:r>
        <w:t>kerhetsaspekter på cykelskjutsning som måste vägas in, men i och med det alltmer utbredda bruket av cykelhjälm skulle lagstiftningen kunna mildras så att det i stället för förbud mot skjutsning införs en regel om att cyklist får medföra pakethållarpassag</w:t>
      </w:r>
      <w:r>
        <w:t>e</w:t>
      </w:r>
      <w:r>
        <w:t>rare fö</w:t>
      </w:r>
      <w:r>
        <w:t>rutsatt att denne bär cykelhjälm.</w:t>
      </w:r>
    </w:p>
    <w:p w:rsidR="00E27ED4" w:rsidRDefault="00E27ED4">
      <w:r>
        <w:t>Utskottet vill med anledning av denna motion fästa uppmärksamheten på   128 § vägtrafikkungörelsen (VTK) som har följande lydelse:</w:t>
      </w:r>
    </w:p>
    <w:p w:rsidR="00E27ED4" w:rsidRDefault="00E27ED4">
      <w:r>
        <w:t>På en cykel eller moped får inte samtidigt färdas flera personer än cykeln är byggd för.</w:t>
      </w:r>
    </w:p>
    <w:p w:rsidR="00E27ED4" w:rsidRDefault="00E27ED4">
      <w:pPr>
        <w:pStyle w:val="CitatIndrag"/>
      </w:pPr>
      <w:r>
        <w:t>När cykeln har lämpliga säten och effektivt skydd mot hjulekrarna, får dock på fordonet färdas ytterligare</w:t>
      </w:r>
    </w:p>
    <w:p w:rsidR="00E27ED4" w:rsidRDefault="00E27ED4">
      <w:pPr>
        <w:spacing w:before="0"/>
      </w:pPr>
      <w:r>
        <w:t>1. ett barn under 10 år, om den som styr fordonet har fyllt 15 år, eller</w:t>
      </w:r>
    </w:p>
    <w:p w:rsidR="00E27ED4" w:rsidRDefault="00E27ED4">
      <w:pPr>
        <w:spacing w:before="0"/>
      </w:pPr>
      <w:r>
        <w:t>2. två barn under 6 år, om den som styr fordonet har fyllt 18 år.</w:t>
      </w:r>
    </w:p>
    <w:p w:rsidR="00E27ED4" w:rsidRDefault="00E27ED4">
      <w:r>
        <w:t xml:space="preserve">Bestämmelsen synes ha en lämplig utformning, och utskottet är inte för sin del berett att förorda någon sådan ändrad ordning som föreslås i motion T411 (mp). Det kan tilläggas att trafikförordningen (1998:1276), som från den        1 oktober 1999 kommer att gälla i stället för bl.a. vägtrafikkungörelsen, i      6 kap. 3 §  får en praktiskt taget likalydande motsvarighet till 128 § VTK. </w:t>
      </w:r>
    </w:p>
    <w:p w:rsidR="00E27ED4" w:rsidRDefault="00E27ED4">
      <w:pPr>
        <w:pStyle w:val="R4"/>
      </w:pPr>
      <w:r>
        <w:t>Förenklade regler för s.k. snömopeder</w:t>
      </w:r>
    </w:p>
    <w:p w:rsidR="00E27ED4" w:rsidRDefault="00E27ED4">
      <w:r>
        <w:t>I motion T413 av Tom Heyman och Elizabeth Nyström (båda m) framhålls att en modern snöskoter är ett stort och snabbt fordon. Reglerna om utrus</w:t>
      </w:r>
      <w:r>
        <w:t>t</w:t>
      </w:r>
      <w:r>
        <w:t>ning och besiktning är därför tämligen omfattande. Det finns nu intresse, säger motionärerna, av att starta tillverkning av ett väsenligt mindre, lättare och långsammare fordon, ett slags snömoped. På samma sätt som mopeder inte har samma utrustningskrav som tunga motorcyklar, borde det finnas</w:t>
      </w:r>
      <w:r>
        <w:rPr>
          <w:i/>
        </w:rPr>
        <w:t xml:space="preserve"> </w:t>
      </w:r>
      <w:r>
        <w:t>förenklade regler för s.k. snömopeder. Regeringen bör därför uppdra åt Vä</w:t>
      </w:r>
      <w:r>
        <w:t>g</w:t>
      </w:r>
      <w:r>
        <w:t>verket att göra rimliga förenklingar av reglerna för en sådan fordonsklass.</w:t>
      </w:r>
    </w:p>
    <w:p w:rsidR="00E27ED4" w:rsidRDefault="00E27ED4">
      <w:r>
        <w:t>Enligt vad utskottet erfarit har en prototyp av ett fordon som til</w:t>
      </w:r>
      <w:r>
        <w:t>lverkaren betecknar som ”ett kompakt snöfordon  med extremt låg vikt”  underkänts vid registreringsbesiktning med hänvisning till att det saknade bl.a. fär</w:t>
      </w:r>
      <w:r>
        <w:t>d</w:t>
      </w:r>
      <w:r>
        <w:t>broms, parkeringsbroms, signalanordning, strålkastare, baklykta och hasti</w:t>
      </w:r>
      <w:r>
        <w:t>g</w:t>
      </w:r>
      <w:r>
        <w:t xml:space="preserve">hetsmätare. Tillverkaren har därefter vänt sig till Vägverket med begäran om dispens från dessa utrustningskrav. Vägverket medgav i ett beslut i november 1998 dispens, under vissa i beslutet närmare angivna förutsättningar, från kraven på ljudsignalanordning och belysning. Dispens </w:t>
      </w:r>
      <w:r>
        <w:t>medgavs däremot inte från kravet på färdbroms, parkeringsbroms och hastighetsmätare. Verket hänvisade till 11 § terrängtrafikkungörelsen (1972:594), vari stadgas att färdbroms skall kunna minska farten på fordonet och få det att stanna snabbt och säkert samt att parkeringsbromsen på sluttande mark skall kunna hålla kvar fordonet även om föraren lämnar detta. Verket konstaterade att någon bromsutrustning inte fanns på fordonet och att grundläggande krav enligt kungörelsen därför inte kunde uppfyllas. Med tan</w:t>
      </w:r>
      <w:r>
        <w:t>ke på att fordonet får föras på enskild väg, tillade Vägverket i sitt beslut, är det av största vikt från tr</w:t>
      </w:r>
      <w:r>
        <w:t>a</w:t>
      </w:r>
      <w:r>
        <w:t>fiksäkerhetssynpunkt att fordonet är utrustat med bromsar och en hasti</w:t>
      </w:r>
      <w:r>
        <w:t>g</w:t>
      </w:r>
      <w:r>
        <w:t>hetsmätare.</w:t>
      </w:r>
    </w:p>
    <w:p w:rsidR="00E27ED4" w:rsidRDefault="00E27ED4">
      <w:pPr>
        <w:pStyle w:val="Normaltindrag"/>
      </w:pPr>
      <w:r>
        <w:t xml:space="preserve"> Utskottet gör ingen annan bedömning än Vägverket och avstyrker moti</w:t>
      </w:r>
      <w:r>
        <w:t>o</w:t>
      </w:r>
      <w:r>
        <w:t>nen.</w:t>
      </w:r>
    </w:p>
    <w:p w:rsidR="00E27ED4" w:rsidRDefault="00E27ED4">
      <w:pPr>
        <w:pStyle w:val="R4"/>
      </w:pPr>
      <w:r>
        <w:t>Krav på a</w:t>
      </w:r>
      <w:r>
        <w:t>n</w:t>
      </w:r>
      <w:r>
        <w:t>vändning av vinterdäck</w:t>
      </w:r>
    </w:p>
    <w:p w:rsidR="00E27ED4" w:rsidRDefault="00E27ED4">
      <w:r>
        <w:t>I motion T425 av Martin Nilsson (s) framhålls att det behövs lagstiftning för att säkerställa bruket av vinterdäck vid halt väglag vintertid.</w:t>
      </w:r>
    </w:p>
    <w:p w:rsidR="00E27ED4" w:rsidRDefault="00E27ED4">
      <w:r>
        <w:t>I motion T426 av Lars Björkman m.fl. (m) framhålls att regeringen snarast möjligt bör förelägga riksdagen förslag  till åtgärder för att öka användningen av vinterdäck.</w:t>
      </w:r>
    </w:p>
    <w:p w:rsidR="00E27ED4" w:rsidRDefault="00E27ED4">
      <w:r>
        <w:t>Enligt vad utskottet under hand inhämtat har Regeringskansliet i ett beslut den 25 januari 1999 uppdragit åt Kommerskollegium att – i enlighet med våra förpliktelser såsom EU-medlem –  till EG-kommissionen anmäla ett till beslutet fogat förslag om ändring i trafikförordningen (1998:1276). Ändrin</w:t>
      </w:r>
      <w:r>
        <w:t>g</w:t>
      </w:r>
      <w:r>
        <w:t>en innebär i huvudsak att ett krav på användning av vinterdäck eller annan likvärdig utrustning avses gälla under tiden den 1 december till den 31 mars när vinterväglag råder. Vissa fordon, bl.a. sådana som är registrerade uto</w:t>
      </w:r>
      <w:r>
        <w:t>m</w:t>
      </w:r>
      <w:r>
        <w:t>lands, avses undantas från regeln. Som tidigare nämnts träder trafikföror</w:t>
      </w:r>
      <w:r>
        <w:t>d</w:t>
      </w:r>
      <w:r>
        <w:t>ningen i kraft den 1 oktober 1999, då vägtrafikkungörelsen up</w:t>
      </w:r>
      <w:r>
        <w:t>p</w:t>
      </w:r>
      <w:r>
        <w:t>hör att gälla.</w:t>
      </w:r>
    </w:p>
    <w:p w:rsidR="00E27ED4" w:rsidRDefault="00E27ED4">
      <w:pPr>
        <w:pStyle w:val="Normaltindrag"/>
      </w:pPr>
      <w:r>
        <w:t>Utskottet förutsätter att regeringen överväger möjligheten att låta kravet på användning av vinterdäck gälla redan från den 1 novembe</w:t>
      </w:r>
      <w:r>
        <w:t>r. Vidare utgår utskottet från att regeringen låter hålla under uppsikt andra länders tilläm</w:t>
      </w:r>
      <w:r>
        <w:t>p</w:t>
      </w:r>
      <w:r>
        <w:t>ning av krav på vinterdäck samt de negativa effekter för trafiksäkerheten som kan bli följden av undantaget från huvudregeln för utomlands registrerade fordon.</w:t>
      </w:r>
    </w:p>
    <w:p w:rsidR="00E27ED4" w:rsidRDefault="00E27ED4">
      <w:pPr>
        <w:pStyle w:val="Normaltindrag"/>
      </w:pPr>
      <w:r>
        <w:t>Av det anförda framgår att syftet med motionerna T425 (s) och T426 (m) torde få anses tillgodosett. De behöver därför inte föranleda någon riksd</w:t>
      </w:r>
      <w:r>
        <w:t>a</w:t>
      </w:r>
      <w:r>
        <w:t>gens åtgärd och avstyrks följaktl</w:t>
      </w:r>
      <w:r>
        <w:t>i</w:t>
      </w:r>
      <w:r>
        <w:t xml:space="preserve">gen. </w:t>
      </w:r>
    </w:p>
    <w:p w:rsidR="00E27ED4" w:rsidRDefault="00E27ED4">
      <w:pPr>
        <w:pStyle w:val="Rubrik3"/>
      </w:pPr>
      <w:bookmarkStart w:id="35" w:name="_Toc447092549"/>
      <w:r>
        <w:t>3.3 Trafikföreskrifter, vägmärken och trafiksignaler</w:t>
      </w:r>
      <w:bookmarkEnd w:id="35"/>
    </w:p>
    <w:p w:rsidR="00E27ED4" w:rsidRDefault="00E27ED4">
      <w:pPr>
        <w:pStyle w:val="R4"/>
        <w:spacing w:before="123"/>
      </w:pPr>
      <w:r>
        <w:t>Höjning av högsta tillåtna hastighet på motorvägar</w:t>
      </w:r>
    </w:p>
    <w:p w:rsidR="00E27ED4" w:rsidRDefault="00E27ED4">
      <w:r>
        <w:t>I motion T202 av Leif Carlsson och Nils Fredrik Aurelius (båda m)  fra</w:t>
      </w:r>
      <w:r>
        <w:t>m</w:t>
      </w:r>
      <w:r>
        <w:t>hålls att  motionärerna finner det mycket positivt att Vägverket utreder mö</w:t>
      </w:r>
      <w:r>
        <w:t>j</w:t>
      </w:r>
      <w:r>
        <w:t>ligheten att öka hastigheten på våra motorvägar. För att vinna erfarenhet av sådana  hastighetsgränser  som gäller utomlands skulle dessa kunna prövas i Kalmar län, säger motionärerna. Nuvarande motortrafikleder med begrän</w:t>
      </w:r>
      <w:r>
        <w:t>s</w:t>
      </w:r>
      <w:r>
        <w:t>ning till  110 km/tim skulle då  i stället för 90 km/tim få en begränsning till 100 km/tim och vägarna med 90 km/tim nedsättas till 80 km/tim. Motorv</w:t>
      </w:r>
      <w:r>
        <w:t>ä</w:t>
      </w:r>
      <w:r>
        <w:t>garna bör medges 120 km/tim.</w:t>
      </w:r>
    </w:p>
    <w:p w:rsidR="00E27ED4" w:rsidRDefault="00E27ED4">
      <w:r>
        <w:t xml:space="preserve">I motion T404 av Ingvar Eriksson </w:t>
      </w:r>
      <w:r>
        <w:t>och Jan Backman (båda m) framhålls att högsta tillåtna hastighet på motorväg och lågtrafikerade motortrafikleder  bör höjas till 130 km/tim. Anpassningar nedåt av denna gräns bör dock kunna ske vid mera ansträngda trafiklägen.</w:t>
      </w:r>
    </w:p>
    <w:p w:rsidR="00E27ED4" w:rsidRDefault="00E27ED4">
      <w:r>
        <w:t>I motion T427 av Anders Ygeman (s) framhålls att högsta tillåtna hastighet på motorvägar bör kunna höjas till 140 km/tim. I samband med en sådan höjning bör det genom användning av ny teknik göras  möjligt att bestämma en sänkning av den högsta tillåtna  hastigheten till exempelvis 12</w:t>
      </w:r>
      <w:r>
        <w:t>0 km/tim vid mörker och till lägre hastighet än så vid halka eller andra omständigheter som höjer risken för olyc</w:t>
      </w:r>
      <w:r>
        <w:t>k</w:t>
      </w:r>
      <w:r>
        <w:t>or.</w:t>
      </w:r>
    </w:p>
    <w:p w:rsidR="00E27ED4" w:rsidRDefault="00E27ED4">
      <w:r>
        <w:t>Regeringen uppdrog den 10 september 1998 åt Vägverket att i samråd med Rikspolisstyrelsen undersöka förutsättningarna för att högre hastighet än 110 km/tim skall kunna tillåtas på de säkraste motorvägarna. Verket redovisade uppdraget den 31 mars 1999 och framhöll att högsta tillåtna hastighet på ca 23 mil av våra 140 mil motorväg skulle kunna höjas till 120 km/tim med marginella negativa eff</w:t>
      </w:r>
      <w:r>
        <w:t>ekter, om höjningen kombinerades med en intensifi</w:t>
      </w:r>
      <w:r>
        <w:t>e</w:t>
      </w:r>
      <w:r>
        <w:t>rad övervakning. Verket föreslog också att regeringen i en särskild föror</w:t>
      </w:r>
      <w:r>
        <w:t>d</w:t>
      </w:r>
      <w:r>
        <w:t>ning skulle ge Vägverket rätt att inom ramen för en försöksverksamhet för</w:t>
      </w:r>
      <w:r>
        <w:t>e</w:t>
      </w:r>
      <w:r>
        <w:t>skriva att högsta tillåtna hastighet på motorväg kan vara 120 km/tim. Försl</w:t>
      </w:r>
      <w:r>
        <w:t>a</w:t>
      </w:r>
      <w:r>
        <w:t xml:space="preserve">get bereds nu i Regeringskansliet.   </w:t>
      </w:r>
    </w:p>
    <w:p w:rsidR="00E27ED4" w:rsidRDefault="00E27ED4">
      <w:pPr>
        <w:pStyle w:val="Normaltindrag"/>
      </w:pPr>
      <w:r>
        <w:t xml:space="preserve">Utskottet förutsätter att Vägverket överväger de i motionerna T404 (m) och T427 (s) nämnda möjligheterna att anpassa högsta tillåtna hastighet till skiftande förhållanden,  bl.a. genom att  verka för </w:t>
      </w:r>
      <w:r>
        <w:t>att  väginformatik utvec</w:t>
      </w:r>
      <w:r>
        <w:t>k</w:t>
      </w:r>
      <w:r>
        <w:t>las och utnyttjas effektivt. Med hänvisning härtill och i avvaktan på resultatet av den nämnda beredningen av  Vägverkets förslag är utskottet inte berett att förorda någon riksdagens åtgärd med anledning av motionerna T202 (m) yrkande 2,  T404 (m) och T427 (s).  Dessa yrkanden  avstyrks följak</w:t>
      </w:r>
      <w:r>
        <w:t>t</w:t>
      </w:r>
      <w:r>
        <w:t>ligen.</w:t>
      </w:r>
    </w:p>
    <w:p w:rsidR="00E27ED4" w:rsidRDefault="00E27ED4">
      <w:pPr>
        <w:pStyle w:val="R4"/>
      </w:pPr>
      <w:r>
        <w:t>Bestämmelser om hastighetsgränser</w:t>
      </w:r>
    </w:p>
    <w:p w:rsidR="00E27ED4" w:rsidRDefault="00E27ED4">
      <w:r>
        <w:t>Bestämmelser om hastighetsgränser finns i  64 § vägtrafikkungörelsen och   3 kap. 14 § trafikförordningen. Enligt båda dessa författningar gäller att fordon inte får föras med högre hastighet än 50 km/tim inom tättbebebyggt område. Inom ett sådant område, eller en del av sådant område,  får dock en kommun föreskriva att den högsta tillåtna hastigheten skall vara 30  km/tim, om det är motiverat av hänsyn till trafiksäkerheten, framkomligheten eller miljön. Utom tättbebyggt område får fordon inte föras med h</w:t>
      </w:r>
      <w:r>
        <w:t>ögre hastighet än 70 km/tim (bashastighet). Vägverket får dock föreskriva att högsta tillåtna hastighet skall vara 90 km/tim eller 110 km/tim. Hastighetsgränserna är sålunda 30, 50, 70, 90 eller 110 km/tim enligt de bestämmelser som gäller såväl nu som från den 1 oktober 1999, då vägtrafikkungörelsen upphör att gälla och trafikförordningen träder i kraft.</w:t>
      </w:r>
    </w:p>
    <w:p w:rsidR="00E27ED4" w:rsidRDefault="00E27ED4">
      <w:r>
        <w:t>I motion T405 av Chatrine Pålsson (kd) hänvisas till de nu gällande bestä</w:t>
      </w:r>
      <w:r>
        <w:t>m</w:t>
      </w:r>
      <w:r>
        <w:t>melserna och framhålls att hastighetsgränser även på andra nivåer än de nämnda bör få förekomma, t.ex. 100 km/tim. Av olika rapporter framgår, säger motionären, att de flesta anser att vissa hastighetsbegränsningar inte är tillräckligt underbyggda, vilket medför dålig respekt och stor risk för öve</w:t>
      </w:r>
      <w:r>
        <w:t>r</w:t>
      </w:r>
      <w:r>
        <w:t>trädelser. Om vi skall få en bra trafiksäkerhet, måste medborgarna ha förtr</w:t>
      </w:r>
      <w:r>
        <w:t>o</w:t>
      </w:r>
      <w:r>
        <w:t>ende för att hastighetsbegränsningen är angelägen ur säkerhetssynpunkt.</w:t>
      </w:r>
    </w:p>
    <w:p w:rsidR="00E27ED4" w:rsidRDefault="00E27ED4">
      <w:pPr>
        <w:pStyle w:val="Normaltindrag"/>
      </w:pPr>
      <w:r>
        <w:t>I motion T223 av Johnny Gylling m. fl. (kd) framhålls att Vägver</w:t>
      </w:r>
      <w:r>
        <w:t>ket bör studera en mer differentierad skala för hastighetsbegränsningar</w:t>
      </w:r>
    </w:p>
    <w:p w:rsidR="00E27ED4" w:rsidRDefault="00E27ED4">
      <w:r>
        <w:t>Utskottet har inhämtat att Vägverket inom ramen för en  allmän översyn av hastighetsbestämmelserna även överväger frågan om hastighetsbegränsnin</w:t>
      </w:r>
      <w:r>
        <w:t>g</w:t>
      </w:r>
      <w:r>
        <w:t>arnas differentiering.  I avvaktan på resultatet av dessa överväganden är utskottet inte berett att förorda någon riksdagens åtgärd med anledning av motionärernas  önskemål. Härav följer att motionerna  T223 (kd) yrkande 23 i nu b</w:t>
      </w:r>
      <w:r>
        <w:t>e</w:t>
      </w:r>
      <w:r>
        <w:t xml:space="preserve">rörd del och T405 (kd) avstyrks. </w:t>
      </w:r>
    </w:p>
    <w:p w:rsidR="00E27ED4" w:rsidRDefault="00E27ED4">
      <w:pPr>
        <w:pStyle w:val="R4"/>
      </w:pPr>
      <w:r>
        <w:t>Högersväng vid rött ljus m.m.</w:t>
      </w:r>
    </w:p>
    <w:p w:rsidR="00E27ED4" w:rsidRDefault="00E27ED4">
      <w:r>
        <w:t>I motion T403 av Leif Carlsson (m) framhålls att högersväng vid rött ljus bör tillåtas om inte korsande trafik hindras eller försvåras. En sådan bestämmelse tillämpas på flera håll i Förenta staterna, säger motionären. Härigenom flyter trafiken bättre i korsningar med ljussignaler. Vidare minskas köerna med stillastående bilar på tomgångskörning, något som kan ha stor betydelse för miljön i tätorter med mycket trafik.</w:t>
      </w:r>
    </w:p>
    <w:p w:rsidR="00E27ED4" w:rsidRDefault="00E27ED4">
      <w:r>
        <w:t>I motion T223 av Johnny Gylling m.fl. (kd) framhålls att idéer från andra länder bör kunna tillämpas i det svenska trafiksäkerhetsarbetet. Som exempel härpå anför motionärerna tillåten högersväng vid rött ljus samt vägmärken med påbud om sänkt hastighet vid skolor så fort barn är där, i stället för stereotypa angivelser av vissa klockslag. Vägverket bör studera sådana fö</w:t>
      </w:r>
      <w:r>
        <w:t>r</w:t>
      </w:r>
      <w:r>
        <w:t>slag i det framtida trafiksäkerhetsarb</w:t>
      </w:r>
      <w:r>
        <w:t>e</w:t>
      </w:r>
      <w:r>
        <w:t>tet, betonar motionärerna.</w:t>
      </w:r>
    </w:p>
    <w:p w:rsidR="00E27ED4" w:rsidRDefault="00E27ED4">
      <w:r>
        <w:t>Som utskottet framhöll i sitt av riksdagen godkända betänkande 1997/98: TU4 synes högersväng vid rött ljus förenat med stora risker för gående, eftersom övergångställen ofta anläggs i anslutning till gatukorsningar. Fra</w:t>
      </w:r>
      <w:r>
        <w:t>m</w:t>
      </w:r>
      <w:r>
        <w:t>komligheten torde vid behov i stället kunna underlättas genom att ett särskilt körfält anläggs för trafik som svänger till höger.</w:t>
      </w:r>
    </w:p>
    <w:p w:rsidR="00E27ED4" w:rsidRDefault="00E27ED4">
      <w:pPr>
        <w:pStyle w:val="Normaltindrag"/>
      </w:pPr>
      <w:r>
        <w:t>Utskottet förutsätter att Vägverket, utan något riksdagens uttalande härom,  studerar en sådan  möjlighet att förbättra trafiksäkerheten för skolbarn som föreslås i kd-motionen. Med  hänvisning härtill och vad utskottet i övrigt nu anfört avstyrker utskottet  bifall till motionerna T405 (m) och T223 (kd) yrkande 23 i nu berörd del.</w:t>
      </w:r>
    </w:p>
    <w:p w:rsidR="00E27ED4" w:rsidRDefault="00E27ED4">
      <w:pPr>
        <w:pStyle w:val="R4"/>
      </w:pPr>
      <w:r>
        <w:t>Obligatorisk användning av handsfree-utrustning vid mobiltelefonsamtal under bilkörning</w:t>
      </w:r>
    </w:p>
    <w:p w:rsidR="00E27ED4" w:rsidRDefault="00E27ED4">
      <w:r>
        <w:t>I motion T430 av Bengt Silfverstrand m.fl. (s) framhålls att det numera torde stå utom allt tvivel att sådan telefonering under pågående bilkörning som medför att förarens ena hand lyfts från ratten ofta leder till försämrad rea</w:t>
      </w:r>
      <w:r>
        <w:t>k</w:t>
      </w:r>
      <w:r>
        <w:t>tionssnabbhet  och bedömningsfel så att trafiksäkerheten äventyras. Därför bör även i vårt land införas sådana regler som tillämpas i Danmark m.fl. länder och som innebär att användning av s.k. handsfree-utrustning skall vara obl</w:t>
      </w:r>
      <w:r>
        <w:t>i</w:t>
      </w:r>
      <w:r>
        <w:t>gatorisk vid telefonering under bilkörning.</w:t>
      </w:r>
    </w:p>
    <w:p w:rsidR="00E27ED4" w:rsidRDefault="00E27ED4">
      <w:r>
        <w:t>Utskottet har inhämtat att regeringen  i april 1995 beslutade  om en fra</w:t>
      </w:r>
      <w:r>
        <w:t>m</w:t>
      </w:r>
      <w:r>
        <w:t>ställning från MobilTeleLeverantörerna, MTL, Stockholm, med samma önskemål som motionärernas. Regeringen avslog framställningen efter att ha inhämtat Vägverkets yttrande.  I detta framhåller verket bl.a. följande:</w:t>
      </w:r>
    </w:p>
    <w:p w:rsidR="00E27ED4" w:rsidRDefault="00E27ED4">
      <w:pPr>
        <w:pStyle w:val="Citat"/>
      </w:pPr>
      <w:r>
        <w:t>De trafiksäkerhetsmässiga effekterna av mobiltelefonbruk i bilar har stud</w:t>
      </w:r>
      <w:r>
        <w:t>e</w:t>
      </w:r>
      <w:r>
        <w:t xml:space="preserve">rats i olika projekt av Statens väg- och transportforskningsinstitut och av flera forskare utomlands. Forskningen visar att förarnas körsätt påverkas vid telefonerande under färd. Någon enkel slutsats om effekterna kan dock inte dras. </w:t>
      </w:r>
    </w:p>
    <w:p w:rsidR="00E27ED4" w:rsidRDefault="00E27ED4">
      <w:pPr>
        <w:pStyle w:val="CitatIndrag"/>
      </w:pPr>
      <w:r>
        <w:t>Vid en jämförelse mellan att använda en mobiltelefon med telefonlur som man håller i handen och en med handsfree-utrustning kan konstateras att oavsett om den telefonerande föraren håller mobiltelefonen i handen eller inte så gör han två saker på en gång. Han delar sin uppmä</w:t>
      </w:r>
      <w:r>
        <w:t xml:space="preserve">rksamhet mellan bilkörningen och telefonerandet. Undersökningarna tyder på att förarens beteende varierar såväl med väg- och trafikförhållandena som med  samtalets karaktär. </w:t>
      </w:r>
    </w:p>
    <w:p w:rsidR="00E27ED4" w:rsidRDefault="00E27ED4">
      <w:r>
        <w:t>I yttrandet framhålls också att både föraren och mottagaren hör samtalet bättre om man talar i en lur samt att även t.ex. frekvenssökning på radioapp</w:t>
      </w:r>
      <w:r>
        <w:t>a</w:t>
      </w:r>
      <w:r>
        <w:t>rat, hantering av bandspelare och CD-spelare med tillhörande band och sk</w:t>
      </w:r>
      <w:r>
        <w:t>i</w:t>
      </w:r>
      <w:r>
        <w:t>vor, hantering av färddatorer, letande efter telefonnummer m.m.  kan distr</w:t>
      </w:r>
      <w:r>
        <w:t>a</w:t>
      </w:r>
      <w:r>
        <w:t>hera föraren så att trafiksäkerheten äventyras. Vidare betonar Vägverket att användningen av mobiltelefoner i bilar också har en positiv sida genom att telefonerna kan användas till att larma, varna och informera om olyckor och faror.</w:t>
      </w:r>
    </w:p>
    <w:p w:rsidR="00E27ED4" w:rsidRDefault="00E27ED4">
      <w:pPr>
        <w:pStyle w:val="Normaltindrag"/>
      </w:pPr>
      <w:r>
        <w:t>Fyra år har snart gått sedan regeringen meddelade sitt beslut. Tekniku</w:t>
      </w:r>
      <w:r>
        <w:t>t</w:t>
      </w:r>
      <w:r>
        <w:t>vecklingen under den tiden har medfört att s.k. portabla handsfree-telefoner kommit att bli allt vanligare. Vidare marknadsförs nu röststyrda mobiltelef</w:t>
      </w:r>
      <w:r>
        <w:t>o</w:t>
      </w:r>
      <w:r>
        <w:t>ner. Nya framställningar – med samma önskemål som motionärernas – för</w:t>
      </w:r>
      <w:r>
        <w:t>e</w:t>
      </w:r>
      <w:r>
        <w:t>ligger emellertid hos regeringen, enligt vad utskottet erfarit. Utskottet utgår från att dessa framställningar ägnas en förutsättningslös prövning. I avvaktan på att så sker är utskottet inte berett att förorda någon riksdagens åtgärd med anledning av motion T430 (s). De</w:t>
      </w:r>
      <w:r>
        <w:t>n</w:t>
      </w:r>
      <w:r>
        <w:t>na avstyrks därf</w:t>
      </w:r>
      <w:r>
        <w:t>ör.</w:t>
      </w:r>
    </w:p>
    <w:p w:rsidR="00E27ED4" w:rsidRDefault="00E27ED4">
      <w:pPr>
        <w:pStyle w:val="R4"/>
      </w:pPr>
      <w:r>
        <w:t>Reflexmaterial för vägmärken</w:t>
      </w:r>
    </w:p>
    <w:p w:rsidR="00E27ED4" w:rsidRDefault="00E27ED4">
      <w:r>
        <w:t>I motion T406 av Elver Jonsson (fp) framhålls att det i Sverige finns över en miljon vägmärken. Av dessa är en hel del inte funktionsdugliga. En förhå</w:t>
      </w:r>
      <w:r>
        <w:t>l</w:t>
      </w:r>
      <w:r>
        <w:t>landevis stor andel är i behov av utbyte eftersom väder och vind tärt på r</w:t>
      </w:r>
      <w:r>
        <w:t>e</w:t>
      </w:r>
      <w:r>
        <w:t>flexförmågan. Kostnaden för detta är i ett större sammanhang nog så fö</w:t>
      </w:r>
      <w:r>
        <w:t>r</w:t>
      </w:r>
      <w:r>
        <w:t>sumbar, betonar motionären.</w:t>
      </w:r>
    </w:p>
    <w:p w:rsidR="00E27ED4" w:rsidRDefault="00E27ED4">
      <w:r>
        <w:t>Enligt 7 och 8 §§ vägmärkesförordningen (1978:1001)  gäller att vägmärken och tilläggstavlor skall sättas upp så att de blir väl synliga och att de skall vara utförda så att de reflekterar ljus. Det sistnämnda gäller dock inte om de är belysta inifrån eller om det finns särskilda skäl för att de inte skall vara  reflekterande. Utskotte</w:t>
      </w:r>
      <w:r>
        <w:t>t förutsätter att Vägverket och andra väghållare följer  dessa bestämmelser och ser till att använda ett ändamålsenligt reflexmaterial. Något riksdagens uttalande i frågan synes sålunda inte erforderligt, varför yrka</w:t>
      </w:r>
      <w:r>
        <w:t>n</w:t>
      </w:r>
      <w:r>
        <w:t>det härom avstyrks.</w:t>
      </w:r>
    </w:p>
    <w:p w:rsidR="00E27ED4" w:rsidRDefault="00E27ED4"/>
    <w:p w:rsidR="00E27ED4" w:rsidRDefault="00E27ED4">
      <w:pPr>
        <w:pStyle w:val="Rubrik2"/>
        <w:spacing w:before="123"/>
      </w:pPr>
      <w:bookmarkStart w:id="36" w:name="_Toc447092550"/>
      <w:r>
        <w:t>4 Motionsyrkanden om övriga frågor</w:t>
      </w:r>
      <w:bookmarkEnd w:id="36"/>
    </w:p>
    <w:p w:rsidR="00E27ED4" w:rsidRDefault="00E27ED4">
      <w:pPr>
        <w:pStyle w:val="Rubrik3"/>
        <w:spacing w:before="123"/>
      </w:pPr>
      <w:bookmarkStart w:id="37" w:name="_Toc447092551"/>
      <w:r>
        <w:t>4.1 Flyttning av fordon i vissa fall</w:t>
      </w:r>
      <w:bookmarkEnd w:id="37"/>
    </w:p>
    <w:p w:rsidR="00E27ED4" w:rsidRDefault="00E27ED4">
      <w:r>
        <w:t>I  lagen (1982:129) om flyttning av fordon i vissa fall bemyndigas regeringen att meddela föreskrifter om rätt för statlig eller kommunal myndighet att flytta fordon i särskilt angivna fall, när det behövs för ordningen och säke</w:t>
      </w:r>
      <w:r>
        <w:t>r</w:t>
      </w:r>
      <w:r>
        <w:t>heten i trafiken eller av naturvårdsskäl.  I förordningen (1982:198) om flyt</w:t>
      </w:r>
      <w:r>
        <w:t>t</w:t>
      </w:r>
      <w:r>
        <w:t>ning av fordon i vissa fall  anges dessa särskilda fall i ett flertal punkter.</w:t>
      </w:r>
    </w:p>
    <w:p w:rsidR="00E27ED4" w:rsidRDefault="00E27ED4">
      <w:r>
        <w:t>I motion T416 av Göran Magnusson (s) säger motionären att man i tidnin</w:t>
      </w:r>
      <w:r>
        <w:t>g</w:t>
      </w:r>
      <w:r>
        <w:t>arna kunnat läsa om en person som förgäves försökte få bort en krockskadad personbil som placerats på hans sommarstugetomt. Det visade sig vara fö</w:t>
      </w:r>
      <w:r>
        <w:t>r</w:t>
      </w:r>
      <w:r>
        <w:t>enat med stora problem, trots att det var uppenbart att bilen skulle tas bort. Ägaren till den oskattade och körförbudsbelagda bilen visste inte vad han skulle göra med sitt fordon och visade heller inget större intresse för saken. Polisen kunde med gällande regler inte agera. Motionären vill ha en översyn av reglerna för bortforsling av övergivna fordon.</w:t>
      </w:r>
    </w:p>
    <w:p w:rsidR="00E27ED4" w:rsidRDefault="00E27ED4">
      <w:pPr>
        <w:pStyle w:val="Normaltindrag"/>
      </w:pPr>
      <w:r>
        <w:t>I moti</w:t>
      </w:r>
      <w:r>
        <w:t>on T421 av Kjell Eldensjö (kd) framhålls att det inte sällan händer att fordon i oförstört skick blir stående mycket länge utefter en vägkant eller på annan plats som egentligen inte är avsedd för långtidsparkering, men som inte heller är förbjuden som uppställningsplats. Sådana fordon kan visa sig betydligt svårare att få bortforslade än de bilvrak som kan flyttas med åber</w:t>
      </w:r>
      <w:r>
        <w:t>o</w:t>
      </w:r>
      <w:r>
        <w:t>pande av de naturvårdsskäl som nämns i lagen om flyttning av fordon i vissa fall. Svårigheten förklaras av att så länge fordonet inte k</w:t>
      </w:r>
      <w:r>
        <w:t>an betraktas som vrak, har varken polis eller kommunal myndighet någon laglig rätt att se till att det försvinner från platsen, om inte trafikfara, hinder för snöröjning eller liknande föreligger på grund av uppställningen. Först sedan fordonet demol</w:t>
      </w:r>
      <w:r>
        <w:t>e</w:t>
      </w:r>
      <w:r>
        <w:t>rats till vrak kan hänvisning till naturskyddsaspekten göras. Motionären betonar att det är angeläget både från kommunal och polisiär synpunkt att rev</w:t>
      </w:r>
      <w:r>
        <w:t>i</w:t>
      </w:r>
      <w:r>
        <w:t>dera och förtydliga lagen om flyttning av fordon i vissa fall.</w:t>
      </w:r>
    </w:p>
    <w:p w:rsidR="00E27ED4" w:rsidRDefault="00E27ED4">
      <w:r>
        <w:t>Enligt vad utskottet erfarit har Svenska Kommun</w:t>
      </w:r>
      <w:r>
        <w:t>förbundet vänt sig till reg</w:t>
      </w:r>
      <w:r>
        <w:t>e</w:t>
      </w:r>
      <w:r>
        <w:t>ringen med förslag om vissa ändringar av lagen i fråga. Inom Regering</w:t>
      </w:r>
      <w:r>
        <w:t>s</w:t>
      </w:r>
      <w:r>
        <w:t>kansliet överväger man att låta se över lagen i dess helhet. Utskottet föru</w:t>
      </w:r>
      <w:r>
        <w:t>t</w:t>
      </w:r>
      <w:r>
        <w:t>sätter att en översyn kommer till stånd. I avvaktan på resultatet av denna bör motionerna T416 (s) och T421 (kd)  inte föranleda någon riksdagens åtgärd. De avstyrks följaktl</w:t>
      </w:r>
      <w:r>
        <w:t>i</w:t>
      </w:r>
      <w:r>
        <w:t>gen.</w:t>
      </w:r>
    </w:p>
    <w:p w:rsidR="00E27ED4" w:rsidRDefault="00E27ED4">
      <w:pPr>
        <w:pStyle w:val="Rubrik3"/>
      </w:pPr>
      <w:bookmarkStart w:id="38" w:name="_Toc447092552"/>
      <w:r>
        <w:t>4.2 Uppgift på körkort om körkortshavarens födelseland</w:t>
      </w:r>
      <w:bookmarkEnd w:id="38"/>
    </w:p>
    <w:p w:rsidR="00E27ED4" w:rsidRDefault="00E27ED4">
      <w:r>
        <w:t>I enlighet med EU-regler anges numera körkortshavarens födelseland på körkorten. Den ordningen kritiseras i två motioner.</w:t>
      </w:r>
    </w:p>
    <w:p w:rsidR="00E27ED4" w:rsidRDefault="00E27ED4">
      <w:r>
        <w:t>I motion T417 av Yilmaz Kerimo m.fl. (s) framhålls att det för många sven</w:t>
      </w:r>
      <w:r>
        <w:t>s</w:t>
      </w:r>
      <w:r>
        <w:t>ka medborgare som är födda i andra länder känns diskriminerande och krä</w:t>
      </w:r>
      <w:r>
        <w:t>n</w:t>
      </w:r>
      <w:r>
        <w:t>kande att deras födelseland står i körkorten. Har man blivit svensk medbo</w:t>
      </w:r>
      <w:r>
        <w:t>r</w:t>
      </w:r>
      <w:r>
        <w:t>gare får det respekteras att man är det också. Genom att födelseland uppges i körkort känns det som om man alltid är utlänning, trots att man kanske har bott den mesta tiden av sitt liv i Sverige. Därför bör Sverige inleda förhan</w:t>
      </w:r>
      <w:r>
        <w:t>d</w:t>
      </w:r>
      <w:r>
        <w:t>lingar med EU om att ta bort kravet på födelseland i körkortet.</w:t>
      </w:r>
    </w:p>
    <w:p w:rsidR="00E27ED4" w:rsidRDefault="00E27ED4">
      <w:pPr>
        <w:pStyle w:val="Normaltindrag"/>
      </w:pPr>
      <w:r>
        <w:t xml:space="preserve">I motion  Sf608 av Lennart Daléus m.fl. (c) framhålls att personer som </w:t>
      </w:r>
      <w:r>
        <w:t>har varit bosatta här under större delen av sitt liv betraktas som invandrare, trots att  de upplever Sverige som sitt hemland. Ett exempel på en bisarr och on</w:t>
      </w:r>
      <w:r>
        <w:t>ö</w:t>
      </w:r>
      <w:r>
        <w:t>dig markering finns på de nya körkorten, där födelseland anges. Regeringen måste, betonar motionärerna, driva på i det europeiska samarbetet för att få en ändring till stånd.</w:t>
      </w:r>
    </w:p>
    <w:p w:rsidR="00E27ED4" w:rsidRDefault="00E27ED4">
      <w:r>
        <w:t>I sitt betänkande 1997/98:TU11, som godkändes av riksdagen den 29 maj 1998, behandlade utskottet ett yrkande i en fp-motion med samma innebörd som de nu aktuella yrkandena. Utsk</w:t>
      </w:r>
      <w:r>
        <w:t>ottet framhöll därvid att det även för sin del fann det viktigt att Sverige inom EU driver förhandlingar som innebär att körkortshavarens födelseland inte behöver anges på körkortet. Utskottet konstaterade att kommunikationsministern i ett svar på en fråga i riksdagen den 1 april 1998 hade uppgivit att sådana förhandlingar skulle komma till stånd.</w:t>
      </w:r>
    </w:p>
    <w:p w:rsidR="00E27ED4" w:rsidRDefault="00E27ED4">
      <w:pPr>
        <w:pStyle w:val="Normaltindrag"/>
      </w:pPr>
      <w:r>
        <w:t>I ett svar på en fråga nyligen av Ulla Hoffmann (v) framhöll näringsm</w:t>
      </w:r>
      <w:r>
        <w:t>i</w:t>
      </w:r>
      <w:r>
        <w:t>nistern att förhandlingar pågår med EG-kommissionen och att denna visat förståelse för den svenska ståndpunkten. Vi förväntar oss ett postivt svar inom den närmaste tiden, sade näringsministern.</w:t>
      </w:r>
    </w:p>
    <w:p w:rsidR="00E27ED4" w:rsidRDefault="00E27ED4">
      <w:pPr>
        <w:pStyle w:val="Normaltindrag"/>
      </w:pPr>
      <w:r>
        <w:t>I avvaktan på  kommissionens besked är utskottet inte berett att föreslå n</w:t>
      </w:r>
      <w:r>
        <w:t>å</w:t>
      </w:r>
      <w:r>
        <w:t xml:space="preserve">gon riksdagens åtgärd med anledning av  motionerna T417 (s) och Sf608 (c) yrkande 8. Dessa  yrkanden avstyrks  därför. </w:t>
      </w:r>
    </w:p>
    <w:p w:rsidR="00E27ED4" w:rsidRDefault="00E27ED4">
      <w:pPr>
        <w:pStyle w:val="Rubrik3"/>
      </w:pPr>
      <w:bookmarkStart w:id="39" w:name="_Toc447092553"/>
      <w:r>
        <w:t>4.3 Åtgärder mot obetalda felparkeringsavgifter</w:t>
      </w:r>
      <w:bookmarkEnd w:id="39"/>
    </w:p>
    <w:p w:rsidR="00E27ED4" w:rsidRDefault="00E27ED4">
      <w:r>
        <w:t xml:space="preserve">I motion T418 av Marie Granlund och Lars-Erik Lövdén (båda s)  framhålls att nuvarande system för betalning av obetalda felparkeringsavgifter bygger på ett strikt ägaransvar. I flera fall har det visat sig, säger motionärerna, att barn stått som ägare till bilen, medan det i själva verket varit föräldrarna som nyttjat den och därvid ofta felparkerat. Utmätningsbara tillgångar hos barnet saknas. Olika lösningar bör prövas för att åtgärda missbruket. </w:t>
      </w:r>
      <w:r>
        <w:rPr>
          <w:i/>
        </w:rPr>
        <w:t>En</w:t>
      </w:r>
      <w:r>
        <w:t xml:space="preserve"> sådan väg skulle kunna vara att införa förbud mot att i trafik använda sådana bilar vi</w:t>
      </w:r>
      <w:r>
        <w:t>l</w:t>
      </w:r>
      <w:r>
        <w:t>kas ägare har resterande felparkeringsavgifter som överstiger ett visst b</w:t>
      </w:r>
      <w:r>
        <w:t>e</w:t>
      </w:r>
      <w:r>
        <w:t xml:space="preserve">lopp. </w:t>
      </w:r>
    </w:p>
    <w:p w:rsidR="00E27ED4" w:rsidRDefault="00E27ED4">
      <w:r>
        <w:t>Vägverket redovisade i december 1997 ett regeringsuppdrag att lämna fö</w:t>
      </w:r>
      <w:r>
        <w:t>r</w:t>
      </w:r>
      <w:r>
        <w:t>slag till enklare och mer enhetliga parkeringsbestämmelser. Inom ramen för den beredning som pågår med anledning av Vägverkets förslag övervägs, enligt vad utskottet erfarit, vissa parkeringsproblem som påtalats av Stoc</w:t>
      </w:r>
      <w:r>
        <w:t>k</w:t>
      </w:r>
      <w:r>
        <w:t>holms kommun och Svenska Kommunförbundet. Problemen gäller bl.a. personer  som  vanemässigt  bryter mot parkeringsbestämmelserna och som lika vanemässigt underlåter att betala felparkeringsavgift.  En arbetsgrupp med företrädare för Vägverket och de två nämnda intressenterna har tillsatts f</w:t>
      </w:r>
      <w:r>
        <w:t>ör att angripa problemen. Utskottet förutsätter att arbetsgruppen till dessa även räknar det problem som motionärerna fäster uppmärksamheten på. I avvaktan på resultatet av arbetsgruppens arbete och det beredningsarbete i parkeringsfrågor i övrigt som pågår inom Regeringskansliet är utskottet inte berett att föreslå någon riksdagens åtgärd med anledning av motion T418 (s).  Motionen avstyrks följaktl</w:t>
      </w:r>
      <w:r>
        <w:t>i</w:t>
      </w:r>
      <w:r>
        <w:t>gen.</w:t>
      </w:r>
    </w:p>
    <w:p w:rsidR="00E27ED4" w:rsidRDefault="00E27ED4">
      <w:pPr>
        <w:pStyle w:val="Rubrik3"/>
      </w:pPr>
      <w:bookmarkStart w:id="40" w:name="_Toc447092554"/>
      <w:r>
        <w:t>4.4 Förbättrad kontroll av direktimporterade bilar</w:t>
      </w:r>
      <w:bookmarkEnd w:id="40"/>
    </w:p>
    <w:p w:rsidR="00E27ED4" w:rsidRDefault="00E27ED4">
      <w:r>
        <w:t>I motion T420 av Sonia Karlsson (s) framhålls att direktimport av begagnade bilar har fått stor omfattning sedan importbestämmelserna förenklades år 1996. Problemet är, säger motionären, att dessa bilar vid importtillfället betraktas som nya, oavsett hur gamla och slitna de är. Efter registreringsb</w:t>
      </w:r>
      <w:r>
        <w:t>e</w:t>
      </w:r>
      <w:r>
        <w:t>siktning vid importen kan det dröja upp till 45 månader innan bilen geno</w:t>
      </w:r>
      <w:r>
        <w:t>m</w:t>
      </w:r>
      <w:r>
        <w:t xml:space="preserve">går sin första kontrollbesiktning. Många av dessa direktimporterade bilar kan vara åtta år och äldre innan de kallas till sin första kontrollbesiktning. Av både trafiksäkerhetsskäl och miljöskäl måste en ändring komma till stånd. </w:t>
      </w:r>
    </w:p>
    <w:p w:rsidR="00E27ED4" w:rsidRDefault="00E27ED4">
      <w:r>
        <w:t>Det av motionären påtalade problemet har numera lösts. Genom förordning (1997:802) om ändring i  bilregisterkungörelsen (1972:599), som trädde i kraft den 1 januari 1998, har bl.a. kungörelsens bilaga 1 ändr</w:t>
      </w:r>
      <w:r>
        <w:t>ats. Den i sa</w:t>
      </w:r>
      <w:r>
        <w:t>m</w:t>
      </w:r>
      <w:r>
        <w:t>manhanget intressanta ändringen är att bilregistret numera skall innehålla datum inte bara för registrering i Sverige utan också datum för första regis</w:t>
      </w:r>
      <w:r>
        <w:t>t</w:t>
      </w:r>
      <w:r>
        <w:t>rering utomlands för importerat fordon. Direktimporterade begagnade bilar omfattas därmed av samma regler i 77 § punkt 1 fordonskungörelsen (1972:595) om inställelse till kontrollbesiktning som gäller för alla andra i  Sverige registrerade bilar. Syftet med motionen torde sålunda få anses tillg</w:t>
      </w:r>
      <w:r>
        <w:t>o</w:t>
      </w:r>
      <w:r>
        <w:t>dosett. Denna bör därför inte föranleda någon riks</w:t>
      </w:r>
      <w:r>
        <w:t>dagens åtgärd och avstyrks följaktl</w:t>
      </w:r>
      <w:r>
        <w:t>i</w:t>
      </w:r>
      <w:r>
        <w:t>gen.</w:t>
      </w:r>
    </w:p>
    <w:p w:rsidR="00E27ED4" w:rsidRDefault="00E27ED4">
      <w:pPr>
        <w:pStyle w:val="Rubrik3"/>
      </w:pPr>
      <w:bookmarkStart w:id="41" w:name="_Toc447092555"/>
      <w:r>
        <w:t>4.5 Nationalitetsmärke</w:t>
      </w:r>
      <w:bookmarkEnd w:id="41"/>
    </w:p>
    <w:p w:rsidR="00E27ED4" w:rsidRDefault="00E27ED4">
      <w:r>
        <w:t xml:space="preserve">I motion K215 av Bertil Persson (m) framhålls att det finns all anledning  att på olika sätt öka medvetenheten om och stoltheten över vårt medlemskap i EU. </w:t>
      </w:r>
      <w:r>
        <w:rPr>
          <w:i/>
        </w:rPr>
        <w:t xml:space="preserve">Ett </w:t>
      </w:r>
      <w:r>
        <w:t>sätt är att Sverige övergår till EU:s nationalitetssymboler på bilarnas registreringsskyltar (blå remsa med EU-symbol och nationalitetsbokstav) och säger upp konventionen om vita elliptiska markeringar.</w:t>
      </w:r>
    </w:p>
    <w:p w:rsidR="00E27ED4" w:rsidRDefault="00E27ED4">
      <w:r>
        <w:t>I 48 § bilregisterkungörelsen stadgas att ett registrerat fordon som används utomlands, enligt överenskommelser med främmande stater, skall vara fö</w:t>
      </w:r>
      <w:r>
        <w:t>r</w:t>
      </w:r>
      <w:r>
        <w:t>sett med ett nationalitetsmärke baktill. I paragrafen anges också närmare hur märket skall se ut. Bl.a. gäller att det skall ha formen av en elips med vissa mått och att på märket skall finnas bokstaven ”S” med vissa mått i svart på vit botten. De överenskommelser med främmande stater som nämns i par</w:t>
      </w:r>
      <w:r>
        <w:t>a</w:t>
      </w:r>
      <w:r>
        <w:t>grafen syftar på 1949 års Genèvekonvention om vägtrafik, som Sverige ratificerade år 1952. Konventionen innehåller bestämmelser om bl.a. tr</w:t>
      </w:r>
      <w:r>
        <w:t>a</w:t>
      </w:r>
      <w:r>
        <w:t>fikregler, vägmärken,  motorfordon och släpfordon i internationell tr</w:t>
      </w:r>
      <w:r>
        <w:t>afik, om förare av motorfordon i internationell trafik samt om igenkänningsmärken på fordon i internationell trafik. I bestämmelserna i sistnämnda avseende, som återfinns i bilaga 4 till konventionen, syns förebilden till de bestämmelser om S-märkets form, mått  och  utseende i övrigt som återfinns i 48 § bilregiste</w:t>
      </w:r>
      <w:r>
        <w:t>r</w:t>
      </w:r>
      <w:r>
        <w:t>kungörelsen. Sverige har genom ratifikationen förbundit sig att följa ko</w:t>
      </w:r>
      <w:r>
        <w:t>n</w:t>
      </w:r>
      <w:r>
        <w:t>ventionen  och bl.a. den nämnda bilagan nr 4. Den sistnämnda kan inte sägas upp utan att hela konventionen sägs upp. Så b</w:t>
      </w:r>
      <w:r>
        <w:t xml:space="preserve">ör inte ske, enligt utskottets mening. Härav följer att motionen avstyrks.  </w:t>
      </w:r>
    </w:p>
    <w:p w:rsidR="00E27ED4" w:rsidRDefault="00E27ED4">
      <w:pPr>
        <w:pStyle w:val="Rubrik3"/>
      </w:pPr>
      <w:bookmarkStart w:id="42" w:name="_Toc447092556"/>
      <w:r>
        <w:t>4.6 Busstrafik i miljözoner</w:t>
      </w:r>
      <w:bookmarkEnd w:id="42"/>
    </w:p>
    <w:p w:rsidR="00E27ED4" w:rsidRDefault="00E27ED4">
      <w:r>
        <w:t>Enligt 147 § andra stycket punkt 1 vägtrafikkungörelsen (VTK) får en ko</w:t>
      </w:r>
      <w:r>
        <w:t>m</w:t>
      </w:r>
      <w:r>
        <w:t>mun meddela lokala trafikföreskrifter med förbud mot trafik med fordon av visst slag eller fordon med last av viss beskaffenhet eller, i särskilt mi</w:t>
      </w:r>
      <w:r>
        <w:t>l</w:t>
      </w:r>
      <w:r>
        <w:t>jökänsliga områden av tätorter (miljözoner), med sådana dieseldrivna bussar med en totalvikt över 3,5 ton eller dieseldrivna tunga lastbilar som inte enligt bilavgasförordningen (1991:1481) tillhör en viss miljöklass. Indelningen i miljöklasser enligt bilavgaslagstiftningen gäller  i Sverige registrerade fo</w:t>
      </w:r>
      <w:r>
        <w:t>r</w:t>
      </w:r>
      <w:r>
        <w:t>don. Ett fordon registrerat i något annat EU-land, so</w:t>
      </w:r>
      <w:r>
        <w:t>m sålunda inte tillhör   någon miljöklass alls i den nämnda lagstiftningens mening, får trots ett fö</w:t>
      </w:r>
      <w:r>
        <w:t>r</w:t>
      </w:r>
      <w:r>
        <w:t xml:space="preserve">bud med stöd av den nämnda  bestämmelsen i VTK ändå  användas i trafik inom en miljözon. Anledningen härtill är att ett upprätthållande av förbudet skulle stå i strid mot artikel 6 i Romfördraget om förbud mot diskriminering på grund av nationalitet.  </w:t>
      </w:r>
    </w:p>
    <w:p w:rsidR="00E27ED4" w:rsidRDefault="00E27ED4">
      <w:r>
        <w:t>I motion Sk708 av Jarl Lander och Anita Jönsson (båda s) framhålls att u</w:t>
      </w:r>
      <w:r>
        <w:t>t</w:t>
      </w:r>
      <w:r>
        <w:t>ländska bussföretag som kör turister till och i Sverige har mer generösa vil</w:t>
      </w:r>
      <w:r>
        <w:t>l</w:t>
      </w:r>
      <w:r>
        <w:t>kor än svenska bussföretag på motsvarande uppdrag i Europa. Sverige tar varken ut vägskatter, vägavgifter eller vägmoms. Utländska företag är des</w:t>
      </w:r>
      <w:r>
        <w:t>s</w:t>
      </w:r>
      <w:r>
        <w:t>utom undantagna från miljözonsbestämmelserna i våra största städer. Även om det bara är ett fåtal utländska bussar som bedriver trafik inom miljöz</w:t>
      </w:r>
      <w:r>
        <w:t>o</w:t>
      </w:r>
      <w:r>
        <w:t>nerna är det ändå en nonchalans mot de seriösa svenska bussföretagen att detta får fortgå. En översyn bör göras, betonar motionärerna, över v</w:t>
      </w:r>
      <w:r>
        <w:t>ad som reglerar gränsvärdena: motorkonstruktionen eller utsläppet från motorn.</w:t>
      </w:r>
    </w:p>
    <w:p w:rsidR="00E27ED4" w:rsidRDefault="00E27ED4">
      <w:pPr>
        <w:sectPr w:rsidR="00000000">
          <w:headerReference w:type="default" r:id="rId10"/>
          <w:footerReference w:type="default" r:id="rId11"/>
          <w:pgSz w:w="11906" w:h="16838" w:code="9"/>
          <w:pgMar w:top="567" w:right="4876" w:bottom="4508" w:left="1134" w:header="227" w:footer="227" w:gutter="0"/>
          <w:cols w:space="720"/>
        </w:sectPr>
      </w:pPr>
      <w:r>
        <w:t>Som utskottet tidigare nämnt upphör vägtrafikkungörelsen att gälla den 1 oktober 1999, då trafikförordningen träder i kraft. Då löses också det av motionärerna påtalade problemet genom en föreskrift i 10 kap. 2 § punkt 3. Enligt denna gäller lokala trafikföreskrifter med förbud mot trafik inom en miljözon ”dieselmotordrivna bussar med en totalvikt över 3,5 ton eller di</w:t>
      </w:r>
      <w:r>
        <w:t>e</w:t>
      </w:r>
      <w:r>
        <w:t xml:space="preserve">selmotordrivna tunga lastbilar </w:t>
      </w:r>
      <w:r>
        <w:rPr>
          <w:i/>
        </w:rPr>
        <w:t xml:space="preserve">som har registrerats första gången för mer än ett visst antal år sedan” </w:t>
      </w:r>
      <w:r>
        <w:t>(kurs. här). Genom att det specifikt svenska miljö-klasskriteriet ersätts med ett kriterium som är gemensamt för alla fordon det är fråga om, nämligen tidpunkt för första registrering, kan man låta fordon registrerade i Sverige och i andra EU-länder omfattas av samma bestämme</w:t>
      </w:r>
      <w:r>
        <w:t>l</w:t>
      </w:r>
      <w:r>
        <w:t>se  och sålunda likabehandlas. Syftet med motionsyrkandet har sålunda til</w:t>
      </w:r>
      <w:r>
        <w:t>l</w:t>
      </w:r>
      <w:r>
        <w:t>godosetts. Det bör därför lämnas utan åtgärd och avstyrks</w:t>
      </w:r>
      <w:r>
        <w:t xml:space="preserve"> med det sagda.</w:t>
      </w:r>
    </w:p>
    <w:p w:rsidR="00E27ED4" w:rsidRDefault="00E27ED4">
      <w:pPr>
        <w:pStyle w:val="Rubrik2"/>
        <w:spacing w:before="123"/>
      </w:pPr>
      <w:bookmarkStart w:id="43" w:name="_Toc447092557"/>
      <w:r>
        <w:t>He</w:t>
      </w:r>
      <w:r>
        <w:t>m</w:t>
      </w:r>
      <w:r>
        <w:t>ställan</w:t>
      </w:r>
      <w:bookmarkEnd w:id="43"/>
    </w:p>
    <w:p w:rsidR="00E27ED4" w:rsidRDefault="00E27ED4">
      <w:r>
        <w:t>Utskottet hemställer</w:t>
      </w:r>
    </w:p>
    <w:p w:rsidR="00E27ED4" w:rsidRDefault="00E27ED4">
      <w:pPr>
        <w:pStyle w:val="Normaltindrag"/>
      </w:pPr>
    </w:p>
    <w:p w:rsidR="00E27ED4" w:rsidRDefault="00E27ED4">
      <w:pPr>
        <w:pStyle w:val="hembetr"/>
      </w:pPr>
      <w:r>
        <w:t xml:space="preserve">1. beträffande </w:t>
      </w:r>
      <w:r>
        <w:rPr>
          <w:i/>
        </w:rPr>
        <w:t>övergripande trafiksäkerhetsåtgärder</w:t>
      </w:r>
    </w:p>
    <w:p w:rsidR="00E27ED4" w:rsidRDefault="00E27ED4">
      <w:pPr>
        <w:pStyle w:val="hemtext"/>
      </w:pPr>
      <w:r>
        <w:t xml:space="preserve">att riksdagen med avslag på motionerna </w:t>
      </w:r>
      <w:bookmarkStart w:id="44" w:name="RESPARTI001"/>
      <w:bookmarkEnd w:id="44"/>
      <w:r>
        <w:t>1998/99:T217 yrkande 5, 1998/99:T220 yrkande 23 samt 1998/99:T223 yrkandena 22 och 24 som sin mening ger regeringen till känna vad utskottet anfört om i</w:t>
      </w:r>
      <w:r>
        <w:t>n</w:t>
      </w:r>
      <w:r>
        <w:t>rättande av en vägtrafikinspektion,</w:t>
      </w:r>
    </w:p>
    <w:p w:rsidR="00E27ED4" w:rsidRDefault="00E27ED4">
      <w:pPr>
        <w:pStyle w:val="hembetr"/>
      </w:pPr>
      <w:r>
        <w:t xml:space="preserve">2. beträffande </w:t>
      </w:r>
      <w:r>
        <w:rPr>
          <w:i/>
        </w:rPr>
        <w:t>körkortsinnehav för äldre</w:t>
      </w:r>
    </w:p>
    <w:p w:rsidR="00E27ED4" w:rsidRDefault="00E27ED4">
      <w:pPr>
        <w:pStyle w:val="hemtext"/>
      </w:pPr>
      <w:r>
        <w:t>att riksdagen avslår motion 1998/99:T410,</w:t>
      </w:r>
      <w:bookmarkStart w:id="45" w:name="RESPARTI002"/>
      <w:bookmarkEnd w:id="45"/>
    </w:p>
    <w:p w:rsidR="00E27ED4" w:rsidRDefault="00E27ED4">
      <w:pPr>
        <w:pStyle w:val="hemtext"/>
      </w:pPr>
      <w:r>
        <w:t xml:space="preserve">    3. beträffande </w:t>
      </w:r>
      <w:r>
        <w:rPr>
          <w:i/>
        </w:rPr>
        <w:t>utbildning i samband med körkortsförnyelse</w:t>
      </w:r>
    </w:p>
    <w:p w:rsidR="00E27ED4" w:rsidRDefault="00E27ED4">
      <w:pPr>
        <w:pStyle w:val="hemtext"/>
      </w:pPr>
      <w:r>
        <w:t xml:space="preserve">att riksdagen avslår motion  1998/99:T422, </w:t>
      </w:r>
      <w:bookmarkStart w:id="46" w:name="RESPARTI003"/>
      <w:bookmarkEnd w:id="46"/>
    </w:p>
    <w:p w:rsidR="00E27ED4" w:rsidRDefault="00E27ED4">
      <w:pPr>
        <w:pStyle w:val="hembetr"/>
      </w:pPr>
      <w:r>
        <w:t xml:space="preserve">4. beträffande </w:t>
      </w:r>
      <w:r>
        <w:rPr>
          <w:i/>
        </w:rPr>
        <w:t>skärpta krav på körkortsutbildning för traktorförare</w:t>
      </w:r>
    </w:p>
    <w:p w:rsidR="00E27ED4" w:rsidRDefault="00E27ED4">
      <w:pPr>
        <w:pStyle w:val="hemtext"/>
      </w:pPr>
      <w:r>
        <w:t xml:space="preserve">att riksdagen avslår motion 1998/99:T423, </w:t>
      </w:r>
      <w:bookmarkStart w:id="47" w:name="RESPARTI004"/>
      <w:bookmarkEnd w:id="47"/>
    </w:p>
    <w:p w:rsidR="00E27ED4" w:rsidRDefault="00E27ED4">
      <w:pPr>
        <w:pStyle w:val="hembetr"/>
      </w:pPr>
      <w:r>
        <w:t xml:space="preserve">5. beträffande </w:t>
      </w:r>
      <w:r>
        <w:rPr>
          <w:i/>
        </w:rPr>
        <w:t>undantag från 21-års gränsen för busskort</w:t>
      </w:r>
    </w:p>
    <w:p w:rsidR="00E27ED4" w:rsidRDefault="00E27ED4">
      <w:pPr>
        <w:pStyle w:val="hemtext"/>
      </w:pPr>
      <w:r>
        <w:t>att riksdagen avslår motion 1998/99:T424,</w:t>
      </w:r>
    </w:p>
    <w:p w:rsidR="00E27ED4" w:rsidRDefault="00E27ED4">
      <w:pPr>
        <w:pStyle w:val="hembetr"/>
      </w:pPr>
      <w:r>
        <w:t xml:space="preserve"> </w:t>
      </w:r>
      <w:bookmarkStart w:id="48" w:name="RESPARTI005"/>
      <w:bookmarkEnd w:id="48"/>
      <w:r>
        <w:t xml:space="preserve">6. beträffande </w:t>
      </w:r>
      <w:r>
        <w:rPr>
          <w:i/>
        </w:rPr>
        <w:t>kalenderår och körkort</w:t>
      </w:r>
    </w:p>
    <w:p w:rsidR="00E27ED4" w:rsidRDefault="00E27ED4">
      <w:pPr>
        <w:pStyle w:val="hemtext"/>
      </w:pPr>
      <w:r>
        <w:t xml:space="preserve">att riksdagen avslår motion 1998/99:T428, </w:t>
      </w:r>
      <w:bookmarkStart w:id="49" w:name="RESPARTI006"/>
      <w:bookmarkEnd w:id="49"/>
    </w:p>
    <w:p w:rsidR="00E27ED4" w:rsidRDefault="00E27ED4">
      <w:pPr>
        <w:pStyle w:val="hembetr"/>
      </w:pPr>
      <w:r>
        <w:t xml:space="preserve">7. beträffande </w:t>
      </w:r>
      <w:r>
        <w:rPr>
          <w:i/>
        </w:rPr>
        <w:t>utbildning för förare av utryckningsfordon</w:t>
      </w:r>
    </w:p>
    <w:p w:rsidR="00E27ED4" w:rsidRDefault="00E27ED4">
      <w:pPr>
        <w:pStyle w:val="hemtext"/>
      </w:pPr>
      <w:r>
        <w:t>att riksdagen  avslår motion 1998/99:T431,</w:t>
      </w:r>
    </w:p>
    <w:p w:rsidR="00E27ED4" w:rsidRDefault="00E27ED4">
      <w:pPr>
        <w:pStyle w:val="hembetr"/>
      </w:pPr>
      <w:r>
        <w:t xml:space="preserve"> </w:t>
      </w:r>
      <w:bookmarkStart w:id="50" w:name="RESPARTI007"/>
      <w:bookmarkEnd w:id="50"/>
      <w:r>
        <w:t xml:space="preserve">8. beträffande </w:t>
      </w:r>
      <w:r>
        <w:rPr>
          <w:i/>
        </w:rPr>
        <w:t>sänkning av nuvarande ålderskrav för hjälmanvän</w:t>
      </w:r>
      <w:r>
        <w:rPr>
          <w:i/>
        </w:rPr>
        <w:t>d</w:t>
      </w:r>
      <w:r>
        <w:rPr>
          <w:i/>
        </w:rPr>
        <w:t>ning vid färd på moped</w:t>
      </w:r>
    </w:p>
    <w:p w:rsidR="00E27ED4" w:rsidRDefault="00E27ED4">
      <w:pPr>
        <w:pStyle w:val="hemtext"/>
      </w:pPr>
      <w:r>
        <w:t>att riksdagen  avslår motion 1998/99:T409,</w:t>
      </w:r>
    </w:p>
    <w:p w:rsidR="00E27ED4" w:rsidRDefault="00E27ED4">
      <w:pPr>
        <w:pStyle w:val="hembetr"/>
      </w:pPr>
      <w:r>
        <w:t xml:space="preserve"> </w:t>
      </w:r>
      <w:bookmarkStart w:id="51" w:name="RESPARTI008"/>
      <w:bookmarkEnd w:id="51"/>
      <w:r>
        <w:t xml:space="preserve">9. beträffande </w:t>
      </w:r>
      <w:r>
        <w:rPr>
          <w:i/>
        </w:rPr>
        <w:t>barns användande av cykelhjälm</w:t>
      </w:r>
    </w:p>
    <w:p w:rsidR="00E27ED4" w:rsidRDefault="00E27ED4">
      <w:pPr>
        <w:pStyle w:val="hemtext"/>
      </w:pPr>
      <w:r>
        <w:t>att riksdagen avslår motion 1998/99:415,</w:t>
      </w:r>
    </w:p>
    <w:p w:rsidR="00E27ED4" w:rsidRDefault="00E27ED4">
      <w:pPr>
        <w:pStyle w:val="hembetr"/>
      </w:pPr>
      <w:r>
        <w:t xml:space="preserve"> </w:t>
      </w:r>
      <w:bookmarkStart w:id="52" w:name="RESPARTI009"/>
      <w:bookmarkEnd w:id="52"/>
      <w:r>
        <w:t xml:space="preserve">10. beträffande </w:t>
      </w:r>
      <w:r>
        <w:rPr>
          <w:i/>
        </w:rPr>
        <w:t>passagerare på cykel</w:t>
      </w:r>
    </w:p>
    <w:p w:rsidR="00E27ED4" w:rsidRDefault="00E27ED4">
      <w:pPr>
        <w:pStyle w:val="hemtext"/>
      </w:pPr>
      <w:r>
        <w:t xml:space="preserve">att riksdagen  avslår motion 1998/99:T411, </w:t>
      </w:r>
      <w:bookmarkStart w:id="53" w:name="RESPARTI010"/>
      <w:bookmarkEnd w:id="53"/>
    </w:p>
    <w:p w:rsidR="00E27ED4" w:rsidRDefault="00E27ED4">
      <w:pPr>
        <w:pStyle w:val="hembetr"/>
      </w:pPr>
      <w:r>
        <w:t xml:space="preserve">11. beträffande </w:t>
      </w:r>
      <w:r>
        <w:rPr>
          <w:i/>
        </w:rPr>
        <w:t>förenklade regler för s.k. snömopeder</w:t>
      </w:r>
    </w:p>
    <w:p w:rsidR="00E27ED4" w:rsidRDefault="00E27ED4">
      <w:pPr>
        <w:pStyle w:val="hemtext"/>
      </w:pPr>
      <w:r>
        <w:t xml:space="preserve">att riksdagen avslår motion 1998/99:T413, </w:t>
      </w:r>
      <w:bookmarkStart w:id="54" w:name="RESPARTI011"/>
      <w:bookmarkEnd w:id="54"/>
    </w:p>
    <w:p w:rsidR="00E27ED4" w:rsidRDefault="00E27ED4">
      <w:pPr>
        <w:pStyle w:val="hembetr"/>
      </w:pPr>
      <w:r>
        <w:t xml:space="preserve">12. beträffande </w:t>
      </w:r>
      <w:r>
        <w:rPr>
          <w:i/>
        </w:rPr>
        <w:t>krav på användning av vinterdäck</w:t>
      </w:r>
    </w:p>
    <w:p w:rsidR="00E27ED4" w:rsidRDefault="00E27ED4">
      <w:pPr>
        <w:pStyle w:val="hemtext"/>
      </w:pPr>
      <w:r>
        <w:t xml:space="preserve">att riksdagen  avslår motionerna 1998/99:T425 och 1998/99:T426, </w:t>
      </w:r>
      <w:bookmarkStart w:id="55" w:name="RESPARTI012"/>
      <w:bookmarkEnd w:id="55"/>
    </w:p>
    <w:p w:rsidR="00E27ED4" w:rsidRDefault="00E27ED4">
      <w:pPr>
        <w:pStyle w:val="hembetr"/>
      </w:pPr>
      <w:r>
        <w:t xml:space="preserve">13. beträffande </w:t>
      </w:r>
      <w:r>
        <w:rPr>
          <w:i/>
        </w:rPr>
        <w:t>höjning av högsta tillåtna hastighet på motorvägar</w:t>
      </w:r>
    </w:p>
    <w:p w:rsidR="00E27ED4" w:rsidRDefault="00E27ED4">
      <w:pPr>
        <w:pStyle w:val="hemtext"/>
      </w:pPr>
      <w:r>
        <w:t xml:space="preserve">att riksdagen avslår motionerna 1998/99:T202 yrkande 2, 1998/99: T404 och 1998/99:T427, </w:t>
      </w:r>
      <w:bookmarkStart w:id="56" w:name="RESPARTI013"/>
      <w:bookmarkEnd w:id="56"/>
    </w:p>
    <w:p w:rsidR="00E27ED4" w:rsidRDefault="00E27ED4">
      <w:pPr>
        <w:pStyle w:val="hembetr"/>
      </w:pPr>
      <w:r>
        <w:t xml:space="preserve">14. beträffande </w:t>
      </w:r>
      <w:r>
        <w:rPr>
          <w:i/>
        </w:rPr>
        <w:t>bestämmelser om hastighetsgränser</w:t>
      </w:r>
    </w:p>
    <w:p w:rsidR="00E27ED4" w:rsidRDefault="00E27ED4">
      <w:pPr>
        <w:pStyle w:val="hemtext"/>
      </w:pPr>
      <w:r>
        <w:t xml:space="preserve">att riksdagen avslår motionerna 1998/99:T223 yrkande 23 i denna del och  1998/99:T405,  </w:t>
      </w:r>
      <w:bookmarkStart w:id="57" w:name="RESPARTI014"/>
      <w:bookmarkEnd w:id="57"/>
    </w:p>
    <w:p w:rsidR="00E27ED4" w:rsidRDefault="00E27ED4">
      <w:pPr>
        <w:pStyle w:val="hembetr"/>
      </w:pPr>
      <w:r>
        <w:t xml:space="preserve">15. beträffande </w:t>
      </w:r>
      <w:r>
        <w:rPr>
          <w:i/>
        </w:rPr>
        <w:t>högersväng vid rödljus m.m.</w:t>
      </w:r>
    </w:p>
    <w:p w:rsidR="00E27ED4" w:rsidRDefault="00E27ED4">
      <w:pPr>
        <w:pStyle w:val="hemtext"/>
      </w:pPr>
      <w:r>
        <w:t xml:space="preserve">att riksdagen  avslår motion 1998/99:T223 yrkande 23 i denna del och motion 1998/99:T403, </w:t>
      </w:r>
      <w:bookmarkStart w:id="58" w:name="RESPARTI015"/>
      <w:bookmarkEnd w:id="58"/>
    </w:p>
    <w:p w:rsidR="00E27ED4" w:rsidRDefault="00E27ED4">
      <w:pPr>
        <w:pStyle w:val="hembetr"/>
      </w:pPr>
      <w:r>
        <w:t xml:space="preserve">16. beträffande </w:t>
      </w:r>
      <w:r>
        <w:rPr>
          <w:i/>
        </w:rPr>
        <w:t>obligatorisk användning av handsfree-utrustning vid mobiltelefonsamtal under bilkörning</w:t>
      </w:r>
    </w:p>
    <w:p w:rsidR="00E27ED4" w:rsidRDefault="00E27ED4">
      <w:pPr>
        <w:pStyle w:val="hemtext"/>
      </w:pPr>
      <w:r>
        <w:t xml:space="preserve">att riksdagen avslår motion 1998/99:T430, </w:t>
      </w:r>
      <w:bookmarkStart w:id="59" w:name="RESPARTI016"/>
      <w:bookmarkEnd w:id="59"/>
    </w:p>
    <w:p w:rsidR="00E27ED4" w:rsidRDefault="00E27ED4">
      <w:pPr>
        <w:pStyle w:val="hembetr"/>
      </w:pPr>
      <w:r>
        <w:t xml:space="preserve">17. beträffande </w:t>
      </w:r>
      <w:r>
        <w:rPr>
          <w:i/>
        </w:rPr>
        <w:t>reflexmaterial för vägmärken</w:t>
      </w:r>
    </w:p>
    <w:p w:rsidR="00E27ED4" w:rsidRDefault="00E27ED4">
      <w:pPr>
        <w:pStyle w:val="hemtext"/>
      </w:pPr>
      <w:r>
        <w:t xml:space="preserve">att riksdagen avslår motion 1998/99:T406, </w:t>
      </w:r>
      <w:bookmarkStart w:id="60" w:name="RESPARTI017"/>
      <w:bookmarkEnd w:id="60"/>
    </w:p>
    <w:p w:rsidR="00E27ED4" w:rsidRDefault="00E27ED4">
      <w:pPr>
        <w:pStyle w:val="hembetr"/>
      </w:pPr>
      <w:r>
        <w:t xml:space="preserve">18. beträffande </w:t>
      </w:r>
      <w:r>
        <w:rPr>
          <w:i/>
        </w:rPr>
        <w:t>flyttning av fordon i vissa fall</w:t>
      </w:r>
    </w:p>
    <w:p w:rsidR="00E27ED4" w:rsidRDefault="00E27ED4">
      <w:pPr>
        <w:pStyle w:val="hemtext"/>
      </w:pPr>
      <w:r>
        <w:t xml:space="preserve">att riksdagen avslår motionerna 1998/99:T416 och 1998/99:T421, </w:t>
      </w:r>
      <w:bookmarkStart w:id="61" w:name="RESPARTI018"/>
      <w:bookmarkEnd w:id="61"/>
    </w:p>
    <w:p w:rsidR="00E27ED4" w:rsidRDefault="00E27ED4">
      <w:pPr>
        <w:pStyle w:val="hembetr"/>
      </w:pPr>
      <w:r>
        <w:t xml:space="preserve">19. beträffande </w:t>
      </w:r>
      <w:r>
        <w:rPr>
          <w:i/>
        </w:rPr>
        <w:t>uppgift på körkort om körkortshavarens födelseland</w:t>
      </w:r>
    </w:p>
    <w:p w:rsidR="00E27ED4" w:rsidRDefault="00E27ED4">
      <w:pPr>
        <w:pStyle w:val="hemtext"/>
      </w:pPr>
      <w:r>
        <w:t>att riksdagen avslår motionerna 1998/99:T417 och 1998/99:Sf608 y</w:t>
      </w:r>
      <w:r>
        <w:t>r</w:t>
      </w:r>
      <w:r>
        <w:t xml:space="preserve">kande 8, </w:t>
      </w:r>
      <w:bookmarkStart w:id="62" w:name="RESPARTI019"/>
      <w:bookmarkEnd w:id="62"/>
    </w:p>
    <w:p w:rsidR="00E27ED4" w:rsidRDefault="00E27ED4">
      <w:pPr>
        <w:pStyle w:val="hembetr"/>
      </w:pPr>
      <w:r>
        <w:t xml:space="preserve">20. beträffande </w:t>
      </w:r>
      <w:r>
        <w:rPr>
          <w:i/>
        </w:rPr>
        <w:t>åtgärder mot obetalda felparkeringsavgifter</w:t>
      </w:r>
    </w:p>
    <w:p w:rsidR="00E27ED4" w:rsidRDefault="00E27ED4">
      <w:pPr>
        <w:pStyle w:val="hemtext"/>
      </w:pPr>
      <w:r>
        <w:t xml:space="preserve">att riksdagen avslår motion 1998/99:T418, </w:t>
      </w:r>
      <w:bookmarkStart w:id="63" w:name="RESPARTI020"/>
      <w:bookmarkEnd w:id="63"/>
    </w:p>
    <w:p w:rsidR="00E27ED4" w:rsidRDefault="00E27ED4">
      <w:pPr>
        <w:pStyle w:val="hembetr"/>
      </w:pPr>
      <w:r>
        <w:t xml:space="preserve">21. beträffande </w:t>
      </w:r>
      <w:r>
        <w:rPr>
          <w:i/>
        </w:rPr>
        <w:t>förbättrad kontroll av direktimporterade bilar</w:t>
      </w:r>
    </w:p>
    <w:p w:rsidR="00E27ED4" w:rsidRDefault="00E27ED4">
      <w:pPr>
        <w:pStyle w:val="hemtext"/>
      </w:pPr>
      <w:r>
        <w:t xml:space="preserve">att riksdagen avslår motion 1998/99:T420, </w:t>
      </w:r>
      <w:bookmarkStart w:id="64" w:name="RESPARTI021"/>
      <w:bookmarkEnd w:id="64"/>
    </w:p>
    <w:p w:rsidR="00E27ED4" w:rsidRDefault="00E27ED4">
      <w:pPr>
        <w:pStyle w:val="hembetr"/>
      </w:pPr>
      <w:r>
        <w:t xml:space="preserve">22. beträffande </w:t>
      </w:r>
      <w:r>
        <w:rPr>
          <w:i/>
        </w:rPr>
        <w:t>nationalitetsmärke</w:t>
      </w:r>
    </w:p>
    <w:p w:rsidR="00E27ED4" w:rsidRDefault="00E27ED4">
      <w:pPr>
        <w:pStyle w:val="hemtext"/>
      </w:pPr>
      <w:r>
        <w:t xml:space="preserve">att riksdagen avslår motion 1998/99:K215 yrkande 2, </w:t>
      </w:r>
      <w:bookmarkStart w:id="65" w:name="RESPARTI022"/>
      <w:bookmarkEnd w:id="65"/>
    </w:p>
    <w:p w:rsidR="00E27ED4" w:rsidRDefault="00E27ED4">
      <w:pPr>
        <w:pStyle w:val="hembetr"/>
      </w:pPr>
      <w:r>
        <w:t xml:space="preserve">23. beträffande </w:t>
      </w:r>
      <w:r>
        <w:rPr>
          <w:i/>
        </w:rPr>
        <w:t>busstrafik i miljözoner</w:t>
      </w:r>
    </w:p>
    <w:p w:rsidR="00E27ED4" w:rsidRDefault="00E27ED4">
      <w:pPr>
        <w:pStyle w:val="hemtext"/>
      </w:pPr>
      <w:r>
        <w:t xml:space="preserve">att riksdagen avslår motion 1998/99:Sk708 yrkande 1. </w:t>
      </w:r>
      <w:bookmarkStart w:id="66" w:name="RESPARTI023"/>
      <w:bookmarkEnd w:id="66"/>
    </w:p>
    <w:p w:rsidR="00E27ED4" w:rsidRDefault="00E27ED4">
      <w:pPr>
        <w:pStyle w:val="hemtext"/>
      </w:pPr>
      <w:bookmarkStart w:id="67" w:name="Nästa_Hpunkt"/>
      <w:bookmarkEnd w:id="67"/>
    </w:p>
    <w:p w:rsidR="00E27ED4" w:rsidRDefault="00E27ED4">
      <w:pPr>
        <w:pStyle w:val="Stockholm"/>
      </w:pPr>
      <w:r>
        <w:t>Stockholm den 13 april 1999</w:t>
      </w:r>
    </w:p>
    <w:p w:rsidR="00E27ED4" w:rsidRDefault="00E27ED4">
      <w:pPr>
        <w:pStyle w:val="Vgnar"/>
      </w:pPr>
      <w:r>
        <w:t>På trafikutskottets vägnar</w:t>
      </w:r>
    </w:p>
    <w:p w:rsidR="00E27ED4" w:rsidRDefault="00E27ED4">
      <w:pPr>
        <w:pStyle w:val="Ordfnamn"/>
      </w:pPr>
      <w:bookmarkStart w:id="68" w:name="Ordförande"/>
      <w:bookmarkEnd w:id="68"/>
      <w:r>
        <w:t xml:space="preserve">Monica Öhman </w:t>
      </w:r>
    </w:p>
    <w:p w:rsidR="00E27ED4" w:rsidRDefault="00E27ED4">
      <w:pPr>
        <w:pStyle w:val="Deltagare"/>
        <w:spacing w:before="123"/>
      </w:pPr>
      <w:bookmarkStart w:id="69" w:name="Deltagare"/>
      <w:bookmarkEnd w:id="69"/>
    </w:p>
    <w:p w:rsidR="00E27ED4" w:rsidRDefault="00E27ED4">
      <w:pPr>
        <w:pStyle w:val="Deltagare"/>
        <w:spacing w:before="123"/>
      </w:pPr>
      <w:r>
        <w:t>I beslutet har deltagit: Monica Öhman (s), Sven Bergström (c), Jarl Lander (s), Hans Stenberg (s), Karin Svensson Smith (v), Johnny Gylling (kd), Tom Heyman (m), Krister Örnfjäder (s), Lars Björkman (m), Inger Segelström (s), Stig Eriksson (v), Tuve Skånberg (kd), Birgitta Wistrand (m), Mikael J</w:t>
      </w:r>
      <w:r>
        <w:t>o</w:t>
      </w:r>
      <w:r>
        <w:t>hansson (mp), Kenth Skårvik (fp), Claes-Göran Brandin (s) och Jan-Evert       Rådhström (m).</w:t>
      </w:r>
    </w:p>
    <w:p w:rsidR="00E27ED4" w:rsidRDefault="00E27ED4">
      <w:pPr>
        <w:pStyle w:val="Innehll"/>
      </w:pPr>
    </w:p>
    <w:p w:rsidR="00E27ED4" w:rsidRDefault="00E27ED4">
      <w:pPr>
        <w:pStyle w:val="Innehll"/>
      </w:pPr>
      <w:r>
        <w:br w:type="page"/>
        <w:t>Innehållsförteckning</w:t>
      </w:r>
    </w:p>
    <w:p w:rsidR="00E27ED4" w:rsidRDefault="00E27ED4">
      <w:pPr>
        <w:pStyle w:val="Innehll1"/>
        <w:rPr>
          <w:noProof/>
        </w:rPr>
      </w:pPr>
      <w:r>
        <w:rPr>
          <w:noProof/>
        </w:rPr>
        <w:t>Sammanfattning</w:t>
      </w:r>
      <w:r>
        <w:rPr>
          <w:noProof/>
        </w:rPr>
        <w:tab/>
        <w:t>1</w:t>
      </w:r>
    </w:p>
    <w:p w:rsidR="00E27ED4" w:rsidRDefault="00E27ED4">
      <w:pPr>
        <w:pStyle w:val="Innehll1"/>
        <w:rPr>
          <w:noProof/>
        </w:rPr>
      </w:pPr>
      <w:r>
        <w:rPr>
          <w:noProof/>
        </w:rPr>
        <w:t>Motioner väckta under den allmänna motionstiden hösten 1998</w:t>
      </w:r>
      <w:r>
        <w:rPr>
          <w:noProof/>
        </w:rPr>
        <w:tab/>
        <w:t>2</w:t>
      </w:r>
    </w:p>
    <w:p w:rsidR="00E27ED4" w:rsidRDefault="00E27ED4">
      <w:pPr>
        <w:pStyle w:val="Innehll1"/>
        <w:rPr>
          <w:noProof/>
        </w:rPr>
      </w:pPr>
      <w:r>
        <w:rPr>
          <w:noProof/>
        </w:rPr>
        <w:t>Utskottet</w:t>
      </w:r>
      <w:r>
        <w:rPr>
          <w:noProof/>
        </w:rPr>
        <w:tab/>
        <w:t>4</w:t>
      </w:r>
    </w:p>
    <w:p w:rsidR="00E27ED4" w:rsidRDefault="00E27ED4">
      <w:pPr>
        <w:pStyle w:val="Innehll2"/>
        <w:rPr>
          <w:noProof/>
        </w:rPr>
      </w:pPr>
      <w:r>
        <w:rPr>
          <w:noProof/>
        </w:rPr>
        <w:t>1 Ärendet</w:t>
      </w:r>
      <w:r>
        <w:rPr>
          <w:noProof/>
        </w:rPr>
        <w:tab/>
        <w:t>4</w:t>
      </w:r>
    </w:p>
    <w:p w:rsidR="00E27ED4" w:rsidRDefault="00E27ED4">
      <w:pPr>
        <w:pStyle w:val="Innehll2"/>
        <w:rPr>
          <w:noProof/>
        </w:rPr>
      </w:pPr>
      <w:r>
        <w:rPr>
          <w:noProof/>
        </w:rPr>
        <w:t>2 Övergripande trafiksäkerhetsfrågor</w:t>
      </w:r>
      <w:r>
        <w:rPr>
          <w:noProof/>
        </w:rPr>
        <w:tab/>
        <w:t>5</w:t>
      </w:r>
    </w:p>
    <w:p w:rsidR="00E27ED4" w:rsidRDefault="00E27ED4">
      <w:pPr>
        <w:pStyle w:val="Innehll3"/>
        <w:rPr>
          <w:noProof/>
        </w:rPr>
      </w:pPr>
      <w:r>
        <w:rPr>
          <w:noProof/>
        </w:rPr>
        <w:t>2.1 Riksdagsbeslut  under åren 1982–1998 om mål för trafik-säkerhetsarbetet m.m.</w:t>
      </w:r>
      <w:r>
        <w:rPr>
          <w:noProof/>
        </w:rPr>
        <w:tab/>
        <w:t>5</w:t>
      </w:r>
    </w:p>
    <w:p w:rsidR="00E27ED4" w:rsidRDefault="00E27ED4">
      <w:pPr>
        <w:pStyle w:val="Innehll3"/>
        <w:rPr>
          <w:noProof/>
        </w:rPr>
      </w:pPr>
      <w:r>
        <w:rPr>
          <w:noProof/>
        </w:rPr>
        <w:t>2.2 Trafiksäkerhetsarbetets  inriktning enligt  det nationella trafiksäkerhetsprogrammet för åren 1995–2000</w:t>
      </w:r>
      <w:r>
        <w:rPr>
          <w:noProof/>
        </w:rPr>
        <w:tab/>
        <w:t>7</w:t>
      </w:r>
    </w:p>
    <w:p w:rsidR="00E27ED4" w:rsidRDefault="00E27ED4">
      <w:pPr>
        <w:pStyle w:val="Innehll3"/>
        <w:rPr>
          <w:noProof/>
        </w:rPr>
      </w:pPr>
      <w:r>
        <w:rPr>
          <w:noProof/>
        </w:rPr>
        <w:t>2.3 Några uppgifter om trafiksäkerhetsutvecklingen</w:t>
      </w:r>
      <w:r>
        <w:rPr>
          <w:noProof/>
        </w:rPr>
        <w:tab/>
        <w:t>7</w:t>
      </w:r>
    </w:p>
    <w:p w:rsidR="00E27ED4" w:rsidRDefault="00E27ED4">
      <w:pPr>
        <w:pStyle w:val="Innehll3"/>
        <w:rPr>
          <w:noProof/>
        </w:rPr>
      </w:pPr>
      <w:r>
        <w:rPr>
          <w:noProof/>
        </w:rPr>
        <w:t>2.4 Vägverkets utvärdering av trafiksäkerhetsarbetets resultat</w:t>
      </w:r>
      <w:r>
        <w:rPr>
          <w:noProof/>
        </w:rPr>
        <w:tab/>
        <w:t>9</w:t>
      </w:r>
    </w:p>
    <w:p w:rsidR="00E27ED4" w:rsidRDefault="00E27ED4">
      <w:pPr>
        <w:pStyle w:val="Innehll3"/>
        <w:rPr>
          <w:noProof/>
        </w:rPr>
      </w:pPr>
      <w:r>
        <w:rPr>
          <w:noProof/>
        </w:rPr>
        <w:t>2.5 Regeringens uppdrag till Vägverket att omprioritera trafiksäkerhetsarbetet</w:t>
      </w:r>
      <w:r>
        <w:rPr>
          <w:noProof/>
        </w:rPr>
        <w:tab/>
        <w:t>10</w:t>
      </w:r>
    </w:p>
    <w:p w:rsidR="00E27ED4" w:rsidRDefault="00E27ED4">
      <w:pPr>
        <w:pStyle w:val="Innehll3"/>
        <w:rPr>
          <w:noProof/>
        </w:rPr>
      </w:pPr>
      <w:r>
        <w:rPr>
          <w:noProof/>
        </w:rPr>
        <w:t>2.6 Vägverkets redovisning av uppdraget</w:t>
      </w:r>
      <w:r>
        <w:rPr>
          <w:noProof/>
        </w:rPr>
        <w:tab/>
        <w:t>11</w:t>
      </w:r>
    </w:p>
    <w:p w:rsidR="00E27ED4" w:rsidRDefault="00E27ED4">
      <w:pPr>
        <w:pStyle w:val="Innehll3"/>
        <w:rPr>
          <w:noProof/>
        </w:rPr>
      </w:pPr>
      <w:r>
        <w:rPr>
          <w:noProof/>
        </w:rPr>
        <w:t>2.7 Motionsyrkanden om vissa övergripande trafiksäkerhets-frågor</w:t>
      </w:r>
      <w:r>
        <w:rPr>
          <w:noProof/>
        </w:rPr>
        <w:tab/>
        <w:t>11</w:t>
      </w:r>
    </w:p>
    <w:p w:rsidR="00E27ED4" w:rsidRDefault="00E27ED4">
      <w:pPr>
        <w:pStyle w:val="Innehll3"/>
        <w:rPr>
          <w:noProof/>
        </w:rPr>
      </w:pPr>
      <w:r>
        <w:rPr>
          <w:noProof/>
        </w:rPr>
        <w:t>2.8 Utskottets ställningstagande</w:t>
      </w:r>
      <w:r>
        <w:rPr>
          <w:noProof/>
        </w:rPr>
        <w:tab/>
        <w:t>12</w:t>
      </w:r>
    </w:p>
    <w:p w:rsidR="00E27ED4" w:rsidRDefault="00E27ED4">
      <w:pPr>
        <w:pStyle w:val="Innehll2"/>
        <w:rPr>
          <w:noProof/>
        </w:rPr>
      </w:pPr>
      <w:r>
        <w:rPr>
          <w:noProof/>
        </w:rPr>
        <w:t>3 Återstående motionsyrkanden om trafiksäkerhet</w:t>
      </w:r>
      <w:r>
        <w:rPr>
          <w:noProof/>
        </w:rPr>
        <w:tab/>
        <w:t>14</w:t>
      </w:r>
    </w:p>
    <w:p w:rsidR="00E27ED4" w:rsidRDefault="00E27ED4">
      <w:pPr>
        <w:pStyle w:val="Innehll3"/>
        <w:rPr>
          <w:noProof/>
        </w:rPr>
      </w:pPr>
      <w:r>
        <w:rPr>
          <w:noProof/>
        </w:rPr>
        <w:t>3.1 Utbildnings- och behörighetsfrågor</w:t>
      </w:r>
      <w:r>
        <w:rPr>
          <w:noProof/>
        </w:rPr>
        <w:tab/>
        <w:t>14</w:t>
      </w:r>
    </w:p>
    <w:p w:rsidR="00E27ED4" w:rsidRDefault="00E27ED4">
      <w:pPr>
        <w:pStyle w:val="Innehll3"/>
        <w:rPr>
          <w:noProof/>
        </w:rPr>
      </w:pPr>
      <w:r>
        <w:rPr>
          <w:noProof/>
        </w:rPr>
        <w:t>3.2 Fordons- och  utrustningsfrågor</w:t>
      </w:r>
      <w:r>
        <w:rPr>
          <w:noProof/>
        </w:rPr>
        <w:tab/>
        <w:t>17</w:t>
      </w:r>
    </w:p>
    <w:p w:rsidR="00E27ED4" w:rsidRDefault="00E27ED4">
      <w:pPr>
        <w:pStyle w:val="Innehll3"/>
        <w:rPr>
          <w:noProof/>
        </w:rPr>
      </w:pPr>
      <w:r>
        <w:rPr>
          <w:noProof/>
        </w:rPr>
        <w:t>3.3 Trafikföreskrifter, vägmärken och trafiksignaler</w:t>
      </w:r>
      <w:r>
        <w:rPr>
          <w:noProof/>
        </w:rPr>
        <w:tab/>
        <w:t>20</w:t>
      </w:r>
    </w:p>
    <w:p w:rsidR="00E27ED4" w:rsidRDefault="00E27ED4">
      <w:pPr>
        <w:pStyle w:val="Innehll2"/>
        <w:rPr>
          <w:noProof/>
        </w:rPr>
      </w:pPr>
      <w:r>
        <w:rPr>
          <w:noProof/>
        </w:rPr>
        <w:t>4 Motionsyrkanden om övriga frågor</w:t>
      </w:r>
      <w:r>
        <w:rPr>
          <w:noProof/>
        </w:rPr>
        <w:tab/>
        <w:t>24</w:t>
      </w:r>
    </w:p>
    <w:p w:rsidR="00E27ED4" w:rsidRDefault="00E27ED4">
      <w:pPr>
        <w:pStyle w:val="Innehll3"/>
        <w:rPr>
          <w:noProof/>
        </w:rPr>
      </w:pPr>
      <w:r>
        <w:rPr>
          <w:noProof/>
        </w:rPr>
        <w:t>4.1 Flyttning av fordon i vissa fall</w:t>
      </w:r>
      <w:r>
        <w:rPr>
          <w:noProof/>
        </w:rPr>
        <w:tab/>
        <w:t>24</w:t>
      </w:r>
    </w:p>
    <w:p w:rsidR="00E27ED4" w:rsidRDefault="00E27ED4">
      <w:pPr>
        <w:pStyle w:val="Innehll3"/>
        <w:rPr>
          <w:noProof/>
        </w:rPr>
      </w:pPr>
      <w:r>
        <w:rPr>
          <w:noProof/>
        </w:rPr>
        <w:t>4.2 Uppgift på körkort om körkortshavarens födelseland</w:t>
      </w:r>
      <w:r>
        <w:rPr>
          <w:noProof/>
        </w:rPr>
        <w:tab/>
        <w:t>24</w:t>
      </w:r>
    </w:p>
    <w:p w:rsidR="00E27ED4" w:rsidRDefault="00E27ED4">
      <w:pPr>
        <w:pStyle w:val="Innehll3"/>
        <w:rPr>
          <w:noProof/>
        </w:rPr>
      </w:pPr>
      <w:r>
        <w:rPr>
          <w:noProof/>
        </w:rPr>
        <w:t>4.3 Åtgärder mot obetalda felparkeringsavgifter</w:t>
      </w:r>
      <w:r>
        <w:rPr>
          <w:noProof/>
        </w:rPr>
        <w:tab/>
        <w:t>25</w:t>
      </w:r>
    </w:p>
    <w:p w:rsidR="00E27ED4" w:rsidRDefault="00E27ED4">
      <w:pPr>
        <w:pStyle w:val="Innehll3"/>
        <w:rPr>
          <w:noProof/>
        </w:rPr>
      </w:pPr>
      <w:r>
        <w:rPr>
          <w:noProof/>
        </w:rPr>
        <w:t>4.4 Förbättrad kontroll av direktimporterade bilar</w:t>
      </w:r>
      <w:r>
        <w:rPr>
          <w:noProof/>
        </w:rPr>
        <w:tab/>
        <w:t>26</w:t>
      </w:r>
    </w:p>
    <w:p w:rsidR="00E27ED4" w:rsidRDefault="00E27ED4">
      <w:pPr>
        <w:pStyle w:val="Innehll3"/>
        <w:rPr>
          <w:noProof/>
        </w:rPr>
      </w:pPr>
      <w:r>
        <w:rPr>
          <w:noProof/>
        </w:rPr>
        <w:t>4.5 Nationalitetsmärke</w:t>
      </w:r>
      <w:r>
        <w:rPr>
          <w:noProof/>
        </w:rPr>
        <w:tab/>
        <w:t>26</w:t>
      </w:r>
    </w:p>
    <w:p w:rsidR="00E27ED4" w:rsidRDefault="00E27ED4">
      <w:pPr>
        <w:pStyle w:val="Innehll3"/>
        <w:rPr>
          <w:noProof/>
        </w:rPr>
      </w:pPr>
      <w:r>
        <w:rPr>
          <w:noProof/>
        </w:rPr>
        <w:t>4.6 Busstrafik i miljözoner</w:t>
      </w:r>
      <w:r>
        <w:rPr>
          <w:noProof/>
        </w:rPr>
        <w:tab/>
        <w:t>27</w:t>
      </w:r>
    </w:p>
    <w:p w:rsidR="00E27ED4" w:rsidRDefault="00E27ED4">
      <w:pPr>
        <w:pStyle w:val="Innehll2"/>
        <w:rPr>
          <w:noProof/>
        </w:rPr>
      </w:pPr>
      <w:r>
        <w:rPr>
          <w:noProof/>
        </w:rPr>
        <w:t>Hemställan</w:t>
      </w:r>
      <w:r>
        <w:rPr>
          <w:noProof/>
        </w:rPr>
        <w:tab/>
        <w:t>28</w:t>
      </w:r>
    </w:p>
    <w:p w:rsidR="00E27ED4" w:rsidRDefault="00E27ED4">
      <w:pPr>
        <w:pStyle w:val="Normaltindrag"/>
      </w:pPr>
    </w:p>
    <w:p w:rsidR="00E27ED4" w:rsidRDefault="00E27ED4">
      <w:pPr>
        <w:pStyle w:val="Normaltindrag"/>
      </w:pPr>
    </w:p>
    <w:p w:rsidR="00E27ED4" w:rsidRDefault="00E27ED4">
      <w:pPr>
        <w:pStyle w:val="Normaltindrag"/>
      </w:pPr>
    </w:p>
    <w:p w:rsidR="00E27ED4" w:rsidRDefault="00E27ED4">
      <w:pPr>
        <w:pStyle w:val="Normaltindrag"/>
      </w:pPr>
    </w:p>
    <w:p w:rsidR="00E27ED4" w:rsidRDefault="00E27ED4">
      <w:pPr>
        <w:pStyle w:val="Normaltindrag"/>
      </w:pPr>
    </w:p>
    <w:p w:rsidR="00E27ED4" w:rsidRDefault="00E27ED4">
      <w:pPr>
        <w:pStyle w:val="Tryckort"/>
        <w:framePr w:wrap="around"/>
      </w:pPr>
      <w:r>
        <w:t>Elanders Gotab, Stockholm  1999</w:t>
      </w:r>
    </w:p>
    <w:p w:rsidR="00E27ED4" w:rsidRDefault="00E27ED4">
      <w:pPr>
        <w:pStyle w:val="Normaltindrag"/>
      </w:pPr>
    </w:p>
    <w:sectPr w:rsidR="00E27ED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7ED4" w:rsidRDefault="00E27ED4">
      <w:pPr>
        <w:spacing w:before="0" w:line="240" w:lineRule="auto"/>
      </w:pPr>
      <w:r>
        <w:separator/>
      </w:r>
    </w:p>
  </w:endnote>
  <w:endnote w:type="continuationSeparator" w:id="0">
    <w:p w:rsidR="00E27ED4" w:rsidRDefault="00E27E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D4" w:rsidRDefault="00E27ED4">
    <w:pPr>
      <w:pStyle w:val="SidfotH"/>
      <w:framePr w:wrap="around"/>
    </w:pPr>
    <w:r>
      <w:fldChar w:fldCharType="begin" w:fldLock="1"/>
    </w:r>
    <w:r>
      <w:instrText xml:space="preserve"> P</w:instrText>
    </w:r>
    <w:r>
      <w:instrText>A</w:instrText>
    </w:r>
    <w:r>
      <w:instrText xml:space="preserve">GE </w:instrText>
    </w:r>
    <w:r>
      <w:fldChar w:fldCharType="separate"/>
    </w:r>
    <w:r>
      <w:rPr>
        <w:noProof/>
      </w:rPr>
      <w:t>27</w:t>
    </w:r>
    <w:r>
      <w:fldChar w:fldCharType="end"/>
    </w:r>
  </w:p>
  <w:p w:rsidR="00E27ED4" w:rsidRDefault="00E27E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D4" w:rsidRDefault="00E27ED4">
    <w:pPr>
      <w:pStyle w:val="SidfotH"/>
      <w:framePr w:wrap="around"/>
    </w:pPr>
    <w:r>
      <w:fldChar w:fldCharType="begin" w:fldLock="1"/>
    </w:r>
    <w:r>
      <w:instrText xml:space="preserve"> PAGE </w:instrText>
    </w:r>
    <w:r>
      <w:fldChar w:fldCharType="separate"/>
    </w:r>
    <w:r>
      <w:rPr>
        <w:noProof/>
      </w:rPr>
      <w:t>28</w:t>
    </w:r>
    <w:r>
      <w:fldChar w:fldCharType="end"/>
    </w:r>
  </w:p>
  <w:p w:rsidR="00E27ED4" w:rsidRDefault="00E27E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7ED4" w:rsidRDefault="00E27ED4">
      <w:pPr>
        <w:spacing w:before="0" w:line="240" w:lineRule="auto"/>
      </w:pPr>
      <w:r>
        <w:separator/>
      </w:r>
    </w:p>
  </w:footnote>
  <w:footnote w:type="continuationSeparator" w:id="0">
    <w:p w:rsidR="00E27ED4" w:rsidRDefault="00E27E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D4" w:rsidRDefault="00E27ED4">
    <w:pPr>
      <w:pStyle w:val="SidhuvudKant"/>
      <w:framePr w:w="1985" w:h="2743" w:hRule="exact" w:wrap="around" w:vAnchor="page" w:hAnchor="page" w:x="7372" w:y="568" w:anchorLock="0"/>
      <w:rPr>
        <w:noProof/>
      </w:rPr>
    </w:pPr>
    <w:r>
      <w:rPr>
        <w:noProof/>
      </w:rPr>
      <w:t>1998/99:TU9</w:t>
    </w:r>
  </w:p>
  <w:p w:rsidR="00E27ED4" w:rsidRDefault="00E27ED4">
    <w:pPr>
      <w:pStyle w:val="SidhuvudKantBilaga"/>
      <w:framePr w:w="1985" w:h="2743" w:hRule="exact" w:wrap="around" w:vAnchor="page" w:hAnchor="page" w:x="7372" w:y="568" w:anchorLock="0"/>
      <w:rPr>
        <w:noProof/>
      </w:rPr>
    </w:pPr>
  </w:p>
  <w:p w:rsidR="00E27ED4" w:rsidRDefault="00E27ED4">
    <w:pPr>
      <w:pStyle w:val="SidhuvudKant"/>
      <w:framePr w:w="1985" w:h="2743" w:hRule="exact" w:wrap="around" w:vAnchor="page" w:hAnchor="page" w:x="7372" w:y="568" w:anchorLock="0"/>
    </w:pPr>
  </w:p>
  <w:p w:rsidR="00E27ED4" w:rsidRDefault="00E27E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7ED4" w:rsidRDefault="00E27ED4">
    <w:pPr>
      <w:pStyle w:val="SidhuvudKant"/>
      <w:framePr w:w="1985" w:h="2743" w:hRule="exact" w:wrap="around" w:vAnchor="page" w:hAnchor="page" w:x="7372" w:y="568" w:anchorLock="0"/>
      <w:rPr>
        <w:noProof/>
      </w:rPr>
    </w:pPr>
    <w:r>
      <w:rPr>
        <w:noProof/>
      </w:rPr>
      <w:t>1998/99:TU9</w:t>
    </w:r>
  </w:p>
  <w:p w:rsidR="00E27ED4" w:rsidRDefault="00E27ED4">
    <w:pPr>
      <w:pStyle w:val="SidhuvudKantBilaga"/>
      <w:framePr w:w="1985" w:h="2743" w:hRule="exact" w:wrap="around" w:vAnchor="page" w:hAnchor="page" w:x="7372" w:y="568" w:anchorLock="0"/>
      <w:rPr>
        <w:noProof/>
      </w:rPr>
    </w:pPr>
  </w:p>
  <w:p w:rsidR="00E27ED4" w:rsidRDefault="00E27ED4">
    <w:pPr>
      <w:pStyle w:val="SidhuvudKant"/>
      <w:framePr w:w="1985" w:h="2743" w:hRule="exact" w:wrap="around" w:vAnchor="page" w:hAnchor="page" w:x="7372" w:y="568" w:anchorLock="0"/>
    </w:pPr>
  </w:p>
  <w:p w:rsidR="00E27ED4" w:rsidRDefault="00E27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F5E"/>
    <w:multiLevelType w:val="singleLevel"/>
    <w:tmpl w:val="62502DA4"/>
    <w:lvl w:ilvl="0">
      <w:numFmt w:val="bullet"/>
      <w:lvlText w:val="–"/>
      <w:lvlJc w:val="left"/>
      <w:pPr>
        <w:tabs>
          <w:tab w:val="num" w:pos="530"/>
        </w:tabs>
        <w:ind w:left="530" w:hanging="360"/>
      </w:pPr>
      <w:rPr>
        <w:rFonts w:hint="default"/>
      </w:rPr>
    </w:lvl>
  </w:abstractNum>
  <w:abstractNum w:abstractNumId="1" w15:restartNumberingAfterBreak="0">
    <w:nsid w:val="48151F2C"/>
    <w:multiLevelType w:val="singleLevel"/>
    <w:tmpl w:val="62502DA4"/>
    <w:lvl w:ilvl="0">
      <w:numFmt w:val="bullet"/>
      <w:lvlText w:val="–"/>
      <w:lvlJc w:val="left"/>
      <w:pPr>
        <w:tabs>
          <w:tab w:val="num" w:pos="530"/>
        </w:tabs>
        <w:ind w:left="530" w:hanging="360"/>
      </w:pPr>
      <w:rPr>
        <w:rFonts w:hint="default"/>
      </w:rPr>
    </w:lvl>
  </w:abstractNum>
  <w:abstractNum w:abstractNumId="2" w15:restartNumberingAfterBreak="0">
    <w:nsid w:val="4F0E1762"/>
    <w:multiLevelType w:val="singleLevel"/>
    <w:tmpl w:val="62502DA4"/>
    <w:lvl w:ilvl="0">
      <w:numFmt w:val="bullet"/>
      <w:lvlText w:val="–"/>
      <w:lvlJc w:val="left"/>
      <w:pPr>
        <w:tabs>
          <w:tab w:val="num" w:pos="530"/>
        </w:tabs>
        <w:ind w:left="530" w:hanging="360"/>
      </w:pPr>
      <w:rPr>
        <w:rFonts w:hint="default"/>
      </w:rPr>
    </w:lvl>
  </w:abstractNum>
  <w:abstractNum w:abstractNumId="3" w15:restartNumberingAfterBreak="0">
    <w:nsid w:val="6876346F"/>
    <w:multiLevelType w:val="singleLevel"/>
    <w:tmpl w:val="62502DA4"/>
    <w:lvl w:ilvl="0">
      <w:numFmt w:val="bullet"/>
      <w:lvlText w:val="–"/>
      <w:lvlJc w:val="left"/>
      <w:pPr>
        <w:tabs>
          <w:tab w:val="num" w:pos="530"/>
        </w:tabs>
        <w:ind w:left="530" w:hanging="360"/>
      </w:pPr>
      <w:rPr>
        <w:rFonts w:hint="default"/>
      </w:rPr>
    </w:lvl>
  </w:abstractNum>
  <w:abstractNum w:abstractNumId="4" w15:restartNumberingAfterBreak="0">
    <w:nsid w:val="6A657EDE"/>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34301958">
    <w:abstractNumId w:val="2"/>
  </w:num>
  <w:num w:numId="2" w16cid:durableId="652414882">
    <w:abstractNumId w:val="1"/>
  </w:num>
  <w:num w:numId="3" w16cid:durableId="1991981167">
    <w:abstractNumId w:val="0"/>
  </w:num>
  <w:num w:numId="4" w16cid:durableId="862940302">
    <w:abstractNumId w:val="4"/>
  </w:num>
  <w:num w:numId="5" w16cid:durableId="1653751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9899"/>
  </w:docVars>
  <w:rsids>
    <w:rsidRoot w:val="00040AB2"/>
    <w:rsid w:val="00040AB2"/>
    <w:rsid w:val="000D6DCA"/>
    <w:rsid w:val="00E27E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D12E7-E730-4D42-B849-EFE31B8F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11471</Words>
  <Characters>68713</Characters>
  <Application>Microsoft Office Word</Application>
  <DocSecurity>4</DocSecurity>
  <Lines>1402</Lines>
  <Paragraphs>507</Paragraphs>
  <ScaleCrop>false</ScaleCrop>
  <HeadingPairs>
    <vt:vector size="2" baseType="variant">
      <vt:variant>
        <vt:lpstr>Title</vt:lpstr>
      </vt:variant>
      <vt:variant>
        <vt:i4>1</vt:i4>
      </vt:variant>
    </vt:vector>
  </HeadingPairs>
  <TitlesOfParts>
    <vt:vector size="1" baseType="lpstr">
      <vt:lpstr>Trafikutskottets betänkande</vt:lpstr>
    </vt:vector>
  </TitlesOfParts>
  <Company>Riksdagen</Company>
  <LinksUpToDate>false</LinksUpToDate>
  <CharactersWithSpaces>79677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1999-04-16T07:38:00Z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TU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