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2A82D7" w14:textId="77777777">
      <w:pPr>
        <w:pStyle w:val="Normalutanindragellerluft"/>
      </w:pPr>
      <w:bookmarkStart w:name="_Toc106800475" w:id="0"/>
      <w:bookmarkStart w:name="_Toc106801300" w:id="1"/>
    </w:p>
    <w:p w:rsidRPr="009B062B" w:rsidR="00AF30DD" w:rsidP="007525FC" w:rsidRDefault="003A73FB"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alias w:val="Yrkande 1"/>
        <w:tag w:val="8b0c6211-cdc7-4f31-9c6e-064ff03ca7ef"/>
        <w:id w:val="523139108"/>
        <w:lock w:val="sdtLocked"/>
      </w:sdtPr>
      <w:sdtEndPr/>
      <w:sdtContent>
        <w:p w:rsidR="00A97B59" w:rsidRDefault="003A73FB" w14:paraId="5B70C08A" w14:textId="77777777">
          <w:pPr>
            <w:pStyle w:val="Frslagstext"/>
          </w:pPr>
          <w:r>
            <w:t>Riksdagen ställer sig bakom det som anförs i motionen om att inte sänka straffmyndighetsåldern till 13 år, ens vid vissa typer av brott, och tillkännager detta för regeringen.</w:t>
          </w:r>
        </w:p>
      </w:sdtContent>
    </w:sdt>
    <w:sdt>
      <w:sdtPr>
        <w:alias w:val="Yrkande 2"/>
        <w:tag w:val="03e2d759-0c6a-4b47-ad40-f3197135ab0b"/>
        <w:id w:val="462623547"/>
        <w:lock w:val="sdtLocked"/>
      </w:sdtPr>
      <w:sdtEndPr/>
      <w:sdtContent>
        <w:p w:rsidR="00A97B59" w:rsidRDefault="003A73FB" w14:paraId="25D59533" w14:textId="77777777">
          <w:pPr>
            <w:pStyle w:val="Frslagstext"/>
          </w:pPr>
          <w:r>
            <w:t>Riksdagen ställer sig bakom det som anförs i motionen om att inte införa barnfängelser och tillkännager detta för regeringen.</w:t>
          </w:r>
        </w:p>
      </w:sdtContent>
    </w:sdt>
    <w:bookmarkStart w:name="MotionsStart" w:id="2"/>
    <w:bookmarkStart w:name="_Toc106800476" w:id="3"/>
    <w:bookmarkStart w:name="_Toc106801301" w:id="4"/>
    <w:bookmarkEnd w:id="2"/>
    <w:p w:rsidRPr="00687028" w:rsidR="00F83E39" w:rsidP="00687028" w:rsidRDefault="003A73FB" w14:paraId="03852E81" w14:textId="77777777">
      <w:pPr>
        <w:pStyle w:val="Rubrik1"/>
      </w:pPr>
      <w:sdt>
        <w:sdtPr>
          <w:alias w:val="CC_Motivering_Rubrik"/>
          <w:tag w:val="CC_Motivering_Rubrik"/>
          <w:id w:val="1433397530"/>
          <w:lock w:val="sdtLocked"/>
          <w:placeholder>
            <w:docPart w:val="697C29DB015049F497AD189B4BB01BD7"/>
          </w:placeholder>
          <w:text/>
        </w:sdtPr>
        <w:sdtEndPr/>
        <w:sdtContent>
          <w:r w:rsidRPr="00687028" w:rsidR="006D79C9">
            <w:t>Motivering</w:t>
          </w:r>
        </w:sdtContent>
      </w:sdt>
      <w:bookmarkEnd w:id="3"/>
      <w:bookmarkEnd w:id="4"/>
    </w:p>
    <w:p w:rsidRPr="00C374E1" w:rsidR="00C374E1" w:rsidP="00C374E1" w:rsidRDefault="00C374E1" w14:paraId="6BEEABDD" w14:textId="77777777">
      <w:pPr>
        <w:pStyle w:val="Normalutanindragellerluft"/>
        <w:spacing w:before="0" w:line="240" w:lineRule="auto"/>
      </w:pPr>
    </w:p>
    <w:p w:rsidRPr="00687028" w:rsidR="00687028" w:rsidP="00687028" w:rsidRDefault="00687028" w14:paraId="6274A1F7" w14:textId="06E060AF">
      <w:pPr>
        <w:pStyle w:val="Rubrik2"/>
        <w:spacing w:before="0"/>
      </w:pPr>
      <w:r w:rsidRPr="00687028">
        <w:t xml:space="preserve">Sänk inte straffmyndighetsåldern </w:t>
      </w:r>
    </w:p>
    <w:p w:rsidR="00691C7E" w:rsidP="007525FC" w:rsidRDefault="00E82822" w14:paraId="57E7D61C" w14:textId="4510274B">
      <w:pPr>
        <w:pStyle w:val="Normalutanindragellerluft"/>
      </w:pPr>
      <w:r>
        <w:t xml:space="preserve">2023 granskades Sverige i FN:s </w:t>
      </w:r>
      <w:r w:rsidRPr="00A77E53">
        <w:t>barnrättskommitté</w:t>
      </w:r>
      <w:r w:rsidRPr="00A77E53" w:rsidR="00A77E53">
        <w:t xml:space="preserve"> (se CRC/C/SWE/CO/6-7)</w:t>
      </w:r>
      <w:r w:rsidRPr="00A77E53">
        <w:t>. I granskningen gjordes väldigt klart att en sänkning av straff</w:t>
      </w:r>
      <w:r w:rsidRPr="00A77E53" w:rsidR="006E649B">
        <w:t>myndighet</w:t>
      </w:r>
      <w:r w:rsidRPr="00A77E53">
        <w:t xml:space="preserve">såldern strider mot FN:s konvention om barns rättigheter, </w:t>
      </w:r>
      <w:r w:rsidR="00EB2A96">
        <w:t>b</w:t>
      </w:r>
      <w:r w:rsidRPr="00A77E53">
        <w:t xml:space="preserve">arnkonventionen. Kommittén skrev bland annat: </w:t>
      </w:r>
      <w:r w:rsidRPr="00A77E53" w:rsidR="001840E3">
        <w:t>”</w:t>
      </w:r>
      <w:r w:rsidRPr="00A77E53">
        <w:t>Kommittén är djupt oroad över de steg som</w:t>
      </w:r>
      <w:r w:rsidRPr="00E82822">
        <w:t xml:space="preserve"> för närvarande tas för att sänka straffmyndighetsåldern,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w:rsidR="00E82822" w:rsidP="007525FC" w:rsidRDefault="00BB4DB2" w14:paraId="5145CD4F" w14:textId="4566869F">
      <w:r>
        <w:lastRenderedPageBreak/>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aktivt främja icke-rättsliga åtgärder såsom alternativ hantering, medling och rådgivning samt evidensbaserade terapeutiska tjänster för barn som anklagas för brott 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w:rsidR="00C649B8" w:rsidP="007525FC" w:rsidRDefault="002D4C93" w14:paraId="5A62ADC8" w14:textId="7575E984">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r w:rsidRPr="00EB2A96" w:rsidR="00EB2A96">
        <w:t xml:space="preserve"> </w:t>
      </w:r>
      <w:r w:rsidR="00C649B8">
        <w:t>(SOU 2025:11), presenterades var kritiken massiv från berörda civilsamhällesorganisationer och andra aktörer. Barnombudsmannen, Barnrättsbyrån, B</w:t>
      </w:r>
      <w:r w:rsidR="00EB2A96">
        <w:t>ris</w:t>
      </w:r>
      <w:r w:rsidR="00C649B8">
        <w:t xml:space="preserve">, Brå, Brottsofferjouren, Civil Rights Defenders, Diskrimineringsombudsmannen, Domstolsverket, Fackförbundet ST, Funktionsrätt Sverige, Institutet för mänskliga rättigheter, Rädda </w:t>
      </w:r>
      <w:r w:rsidR="00EB2A96">
        <w:t>B</w:t>
      </w:r>
      <w:r w:rsidR="00C649B8">
        <w:t xml:space="preserve">arnen, Seko, Akademikerförbundet SSR, Socialstyrelsen, Sis, Skolverket, Fryshuset, Stiftelsen Allmänna Barnhuset, Sveriges </w:t>
      </w:r>
      <w:r w:rsidR="00EB2A96">
        <w:t>a</w:t>
      </w:r>
      <w:r w:rsidR="00C649B8">
        <w:t>dvokatsamfund</w:t>
      </w:r>
      <w:r w:rsidR="00EB2A96">
        <w:t xml:space="preserve"> och</w:t>
      </w:r>
      <w:r w:rsidR="00C649B8">
        <w:t xml:space="preserve"> Unicef Sverige avstyrker. Flera av dessa remissinstanser uppger att förslaget om en sänkning är oförenlig</w:t>
      </w:r>
      <w:r w:rsidR="00EB2A96">
        <w:t>t</w:t>
      </w:r>
      <w:r w:rsidR="00C649B8">
        <w:t xml:space="preserve">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lastRenderedPageBreak/>
        <w:t xml:space="preserve">Institutet för mänskliga rättigheter kallar förslaget för </w:t>
      </w:r>
      <w:r w:rsidR="001756CC">
        <w:t>”</w:t>
      </w:r>
      <w:r w:rsidRPr="00C44CCB" w:rsidR="00C44CCB">
        <w:t>ett radikalt brott mot en lång svensk tradition att med utgångspunkt i kunskap om barns utveckling arbeta långsiktigt med förslag som är förankrade i barns rättigheter och kunskap om vad som är verkningsfulla åtgärder”.</w:t>
      </w:r>
    </w:p>
    <w:p w:rsidR="00691C7E" w:rsidP="007525FC" w:rsidRDefault="00C649B8" w14:paraId="141CFC92" w14:textId="41035706">
      <w:r>
        <w:t>Även bland remissinstanser som inte rakt av avstyrker förslaget är många tydliga med att förslaget om sänkt straff</w:t>
      </w:r>
      <w:r w:rsidR="00945B17">
        <w:t>myndighets</w:t>
      </w:r>
      <w:r>
        <w:t>ålder inte bör genomföras. Polismyndigheten anser att en differentierad straff</w:t>
      </w:r>
      <w:r w:rsidR="00945B17">
        <w:t>myndighets</w:t>
      </w:r>
      <w:r>
        <w:t>ålder skulle orsaka betydande praktiska svårigheter i deras verksamhet. De ser även en risk att ännu yngre barn än idag involveras i brottslighet. Kriminalvården uppger att de inte är rustade för att ta hand om så unga barn som 14</w:t>
      </w:r>
      <w:r w:rsidR="001756CC">
        <w:t>-</w:t>
      </w:r>
      <w:r>
        <w:t>år</w:t>
      </w:r>
      <w:r w:rsidR="001756CC">
        <w:t>ingar</w:t>
      </w:r>
      <w:r>
        <w:t xml:space="preserve">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w:rsidR="008D04ED" w:rsidP="007525FC" w:rsidRDefault="008F496F" w14:paraId="6FF0B946" w14:textId="48398A02">
      <w:r>
        <w:t xml:space="preserve">I utredningen fanns också åtta särskilda yttranden, bland annat från Sara Stolper, senior åklagare på Åklagarmyndigheten. Hon påpekade bland annat att en sänkning inte är en träffsäker åtgärd, eftersom brottsligheten bland unga minskar generellt och bara ett litet antal barn begår allvarliga brott. Dessutom menade hon att en sänkning kommer </w:t>
      </w:r>
      <w:r w:rsidR="001756CC">
        <w:t xml:space="preserve">att </w:t>
      </w:r>
      <w:r>
        <w:t>leda till att brottsligheten trycks ner ytterligare i åldrarna</w:t>
      </w:r>
      <w:r w:rsidR="001756CC">
        <w:t>;</w:t>
      </w:r>
      <w:r>
        <w:t xml:space="preserve"> redan idag engageras barn som är yngre än 14 år.</w:t>
      </w:r>
      <w:r w:rsidR="0023273E">
        <w:t xml:space="preserve"> </w:t>
      </w:r>
    </w:p>
    <w:p w:rsidRPr="008D04ED" w:rsidR="00687028" w:rsidP="008D04ED" w:rsidRDefault="00687028" w14:paraId="0DF7179B" w14:textId="00163B61">
      <w:pPr>
        <w:pStyle w:val="Rubrik2"/>
      </w:pPr>
      <w:r w:rsidRPr="008D04ED">
        <w:t xml:space="preserve">Inför inte barnfängelser </w:t>
      </w:r>
    </w:p>
    <w:p w:rsidR="00945B17" w:rsidP="007525FC" w:rsidRDefault="00945B17" w14:paraId="00EA4717" w14:textId="370EC089">
      <w:pPr>
        <w:pStyle w:val="Normalutanindragellerluft"/>
      </w:pPr>
      <w:r w:rsidRPr="00945B17">
        <w:t>Ungdomsfängelser strider inte i sig mot barnkonventionen. FN:s barnrättskommitté har däremot uppmanat alla stater som har barnfängelser att avskaffa dessa på grund av omfattningen och graden av barns lidande vid frihetsberövande och inspärrning (se punkt 82</w:t>
      </w:r>
      <w:r w:rsidR="00461D59">
        <w:t>–</w:t>
      </w:r>
      <w:r w:rsidRPr="00945B17">
        <w:t xml:space="preserve">83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w:rsidR="009544FC" w:rsidP="007525FC" w:rsidRDefault="00945B17" w14:paraId="155BB94E" w14:textId="7346457B">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w:t>
      </w:r>
      <w:r w:rsidRPr="00945B17">
        <w:lastRenderedPageBreak/>
        <w:t xml:space="preserve">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det uppdrag som Kriminalvården redan </w:t>
      </w:r>
      <w:r>
        <w:t>tidigare fick</w:t>
      </w:r>
      <w:r w:rsidRPr="00945B17">
        <w:t xml:space="preserve">, ska ungdomsavdelningarna däremot inrättas på befintliga anstalter för vuxna. Kriminalvården </w:t>
      </w:r>
      <w:r w:rsidR="00461D59">
        <w:t>utsåg</w:t>
      </w:r>
      <w:r w:rsidRPr="00945B17">
        <w:t xml:space="preserve"> i februari 2025 åtta befintliga anstalter där lokalerna ska anpassas till ett verksamhetsinnehåll för barn och unga. </w:t>
      </w:r>
    </w:p>
    <w:p w:rsidRPr="00945B17" w:rsidR="00945B17" w:rsidP="007525FC" w:rsidRDefault="00945B17" w14:paraId="6B32A384" w14:textId="2881186E">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 xml:space="preserve">och sjukvård och en rehabiliterande anstaltsmiljö (se punkt 95 CRC/C/GC/24). Flera </w:t>
      </w:r>
      <w:r w:rsidR="009544FC">
        <w:t>aktörer, bland andra</w:t>
      </w:r>
      <w:r w:rsidRPr="00945B17">
        <w:t xml:space="preserve"> Barnrättsbyrån, Barnombudsmannen, Unicef Sverige, Institutet för mänskliga rättigheter och Jämställdhetsmyndigheten</w:t>
      </w:r>
      <w:r w:rsidR="006F40CA">
        <w:t>,</w:t>
      </w:r>
      <w:r w:rsidRPr="00945B17">
        <w:t xml:space="preserve"> menar att Kriminalvården inte har kapacitet att tillgodose dessa rättigheter. Några kapacitetsbrister som nämns är att</w:t>
      </w:r>
      <w:r w:rsidR="009544FC">
        <w:t xml:space="preserve"> </w:t>
      </w:r>
      <w:r w:rsidRPr="00945B17">
        <w:t xml:space="preserve">Kriminalvården står inför en stor expansion och redan idag har utmaningar med bland annat platsbrist och kompetensförsörjning. Den korta tidsplanen, att särskilda enheter för unga ska tas i drift redan </w:t>
      </w:r>
      <w:r w:rsidR="006F40CA">
        <w:t xml:space="preserve">den </w:t>
      </w:r>
      <w:r w:rsidRPr="00945B17">
        <w:t>1</w:t>
      </w:r>
      <w:r w:rsidR="006F40CA">
        <w:t> </w:t>
      </w:r>
      <w:r w:rsidRPr="00945B17">
        <w:t xml:space="preserve">juli 2026 istället för </w:t>
      </w:r>
      <w:r w:rsidR="006F40CA">
        <w:t xml:space="preserve">i </w:t>
      </w:r>
      <w:r w:rsidRPr="00945B17">
        <w:t xml:space="preserve">januari 2028 som utredningen föreslog, anses också kunna innebära bristande kvalitet i vårdinnehållet,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skolpliktiga barn. I Kriminalvårdens egen delredovisning från februari 2025 menar man att det inte kommer att vara möjligt att redan den 1</w:t>
      </w:r>
      <w:r w:rsidR="006F40CA">
        <w:t> </w:t>
      </w:r>
      <w:r w:rsidRPr="00945B17">
        <w:t>juli 2026 erbjuda en i alla delar fullt ut anpassad och ändamålsenlig verksamhet.</w:t>
      </w:r>
    </w:p>
    <w:p w:rsidR="00945B17" w:rsidP="007525FC" w:rsidRDefault="00945B17" w14:paraId="2C368314" w14:textId="5317061D">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Kriminalvården ska kunna bedriva fjärr- och distansundervisning</w:t>
      </w:r>
      <w:r w:rsidR="004B1C3F">
        <w:t>;</w:t>
      </w:r>
      <w:r w:rsidRPr="00945B17">
        <w:t xml:space="preserve"> de ser framför sig att myndigheten ska erbjuda en form av hybridlösning där när-</w:t>
      </w:r>
      <w:r w:rsidR="004B1C3F">
        <w:t>,</w:t>
      </w:r>
      <w:r w:rsidRPr="00945B17">
        <w:t xml:space="preserve"> fjärr- och distansundervisning kombineras. Regeringen har också gett en utredare i uppdrag att </w:t>
      </w:r>
      <w:r w:rsidRPr="00945B17">
        <w:lastRenderedPageBreak/>
        <w:t xml:space="preserve">föreslå nödvändiga lagändringar för att </w:t>
      </w:r>
      <w:r w:rsidRPr="00945B17" w:rsidR="004B1C3F">
        <w:t>rätt</w:t>
      </w:r>
      <w:r w:rsidR="004B1C3F">
        <w:t>en</w:t>
      </w:r>
      <w:r w:rsidRPr="00945B17" w:rsidR="004B1C3F">
        <w:t xml:space="preserve"> till utbildning</w:t>
      </w:r>
      <w:r w:rsidRPr="00945B17" w:rsidR="004B1C3F">
        <w:t xml:space="preserve"> </w:t>
      </w:r>
      <w:r w:rsidR="004B1C3F">
        <w:t xml:space="preserve">för </w:t>
      </w:r>
      <w:r w:rsidRPr="00945B17">
        <w:t>barn och unga som döms till fängelse ska kunna tillgodoses</w:t>
      </w:r>
      <w:r w:rsidR="004B1C3F">
        <w:t>;</w:t>
      </w:r>
      <w:r w:rsidRPr="00945B17">
        <w:t xml:space="preserve"> utredningen ska presenteras senast </w:t>
      </w:r>
      <w:r w:rsidR="004B1C3F">
        <w:t xml:space="preserve">den </w:t>
      </w:r>
      <w:r w:rsidRPr="00945B17">
        <w:t>15 december 2025.</w:t>
      </w:r>
      <w:r w:rsidR="00A73997">
        <w:t xml:space="preserve"> Det är 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w:t>
      </w:r>
      <w:r w:rsidR="004B1C3F">
        <w:t xml:space="preserve">sig </w:t>
      </w:r>
      <w:r w:rsidR="00A73997">
        <w:t>på S</w:t>
      </w:r>
      <w:r w:rsidR="004B1C3F">
        <w:t>is</w:t>
      </w:r>
      <w:r w:rsidR="00A73997">
        <w:t xml:space="preserve"> har stora utmaningar när det gäller att klara utbildningen</w:t>
      </w:r>
      <w:r w:rsidR="00EF27B9">
        <w:t>,</w:t>
      </w:r>
      <w:r w:rsidR="00A73997">
        <w:t xml:space="preserve"> som där bedrivs på plats. En stor majoritet av de intagna barnen har </w:t>
      </w:r>
      <w:r w:rsidR="00EF27B9">
        <w:t>redan innan de kom in på S</w:t>
      </w:r>
      <w:r w:rsidR="004B1C3F">
        <w:t>is</w:t>
      </w:r>
      <w:r w:rsidR="00EF27B9">
        <w:t xml:space="preserve"> haft svårigheter med att klara skolan. </w:t>
      </w:r>
    </w:p>
    <w:p w:rsidR="00945B17" w:rsidP="007525FC" w:rsidRDefault="00945B17" w14:paraId="5B01ACC1" w14:textId="5E8611A1">
      <w:r w:rsidRPr="00945B17">
        <w:t>Ungdomsfängelser kan också innebära en särskilt stor risk för att flickors rättigheter kränks, vilket även utredningen påpekar. De flickor som avtjänar sluten ungdomsvård idag är få, endast 0</w:t>
      </w:r>
      <w:r w:rsidR="004B1C3F">
        <w:t>–</w:t>
      </w:r>
      <w:r w:rsidRPr="00945B17">
        <w:t xml:space="preserve">4 flickor per år. Utredningen lägger fram olika förslag på hur Kriminalvårdens verksamhet bättre kan organiseras för att flickor under 18 år som döms till fängelse ska få sina rättigheter tillgodosedda. Utredningen bedömer dock att även om dessa förslag beaktas, så </w:t>
      </w:r>
      <w:r w:rsidR="004B1C3F">
        <w:t>”</w:t>
      </w:r>
      <w:r w:rsidRPr="00945B17">
        <w:t>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w:t>
      </w:r>
      <w:r w:rsidR="004B1C3F">
        <w:t xml:space="preserve">att </w:t>
      </w:r>
      <w:r w:rsidRPr="00945B17">
        <w:t>fyllas av intagna som är över 18 år.</w:t>
      </w:r>
    </w:p>
    <w:p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947A9F64C37348E7A3E2FD470A6D8B3E"/>
        </w:placeholder>
      </w:sdtPr>
      <w:sdtEndPr/>
      <w:sdtContent>
        <w:p w:rsidR="007525FC" w:rsidP="00A11FB7" w:rsidRDefault="007525FC" w14:paraId="5EBB6F96" w14:textId="77777777"/>
        <w:p w:rsidR="007525FC" w:rsidP="00A11FB7" w:rsidRDefault="003A73FB" w14:paraId="296219E1" w14:textId="59D44EC8"/>
      </w:sdtContent>
    </w:sdt>
    <w:tbl>
      <w:tblPr>
        <w:tblW w:w="5000" w:type="pct"/>
        <w:tblLook w:val="04A0" w:firstRow="1" w:lastRow="0" w:firstColumn="1" w:lastColumn="0" w:noHBand="0" w:noVBand="1"/>
        <w:tblCaption w:val="underskrifter"/>
      </w:tblPr>
      <w:tblGrid>
        <w:gridCol w:w="4252"/>
        <w:gridCol w:w="4252"/>
      </w:tblGrid>
      <w:tr w:rsidR="00A97B59" w14:paraId="570A1F9A" w14:textId="77777777">
        <w:trPr>
          <w:cantSplit/>
        </w:trPr>
        <w:tc>
          <w:tcPr>
            <w:tcW w:w="50" w:type="pct"/>
            <w:vAlign w:val="bottom"/>
          </w:tcPr>
          <w:p w:rsidR="00A97B59" w:rsidRDefault="003A73FB" w14:paraId="7E31DAB0" w14:textId="77777777">
            <w:pPr>
              <w:pStyle w:val="Underskrifter"/>
              <w:spacing w:after="0"/>
            </w:pPr>
            <w:r>
              <w:t>Ulrika Westerlund (MP)</w:t>
            </w:r>
          </w:p>
        </w:tc>
        <w:tc>
          <w:tcPr>
            <w:tcW w:w="50" w:type="pct"/>
            <w:vAlign w:val="bottom"/>
          </w:tcPr>
          <w:p w:rsidR="00A97B59" w:rsidRDefault="00A97B59" w14:paraId="599F804E" w14:textId="77777777">
            <w:pPr>
              <w:pStyle w:val="Underskrifter"/>
              <w:spacing w:after="0"/>
            </w:pPr>
          </w:p>
        </w:tc>
      </w:tr>
      <w:tr w:rsidR="00A97B59" w14:paraId="0FAB3079" w14:textId="77777777">
        <w:trPr>
          <w:cantSplit/>
        </w:trPr>
        <w:tc>
          <w:tcPr>
            <w:tcW w:w="50" w:type="pct"/>
            <w:vAlign w:val="bottom"/>
          </w:tcPr>
          <w:p w:rsidR="00A97B59" w:rsidRDefault="003A73FB" w14:paraId="3A6B4D08" w14:textId="77777777">
            <w:pPr>
              <w:pStyle w:val="Underskrifter"/>
              <w:spacing w:after="0"/>
            </w:pPr>
            <w:r>
              <w:t>Jan Riise (MP)</w:t>
            </w:r>
          </w:p>
        </w:tc>
        <w:tc>
          <w:tcPr>
            <w:tcW w:w="50" w:type="pct"/>
            <w:vAlign w:val="bottom"/>
          </w:tcPr>
          <w:p w:rsidR="00A97B59" w:rsidRDefault="003A73FB" w14:paraId="41770FF0" w14:textId="77777777">
            <w:pPr>
              <w:pStyle w:val="Underskrifter"/>
              <w:spacing w:after="0"/>
            </w:pPr>
            <w:r>
              <w:t>Annika Hirvonen (MP)</w:t>
            </w:r>
          </w:p>
        </w:tc>
      </w:tr>
      <w:tr w:rsidR="00A97B59" w14:paraId="7AA242D0" w14:textId="77777777">
        <w:trPr>
          <w:cantSplit/>
        </w:trPr>
        <w:tc>
          <w:tcPr>
            <w:tcW w:w="50" w:type="pct"/>
            <w:vAlign w:val="bottom"/>
          </w:tcPr>
          <w:p w:rsidR="00A97B59" w:rsidRDefault="003A73FB" w14:paraId="356F53F8" w14:textId="77777777">
            <w:pPr>
              <w:pStyle w:val="Underskrifter"/>
              <w:spacing w:after="0"/>
            </w:pPr>
            <w:r>
              <w:t>Camilla Hansén (MP)</w:t>
            </w:r>
          </w:p>
        </w:tc>
        <w:tc>
          <w:tcPr>
            <w:tcW w:w="50" w:type="pct"/>
            <w:vAlign w:val="bottom"/>
          </w:tcPr>
          <w:p w:rsidR="00A97B59" w:rsidRDefault="003A73FB" w14:paraId="0AF52BE9" w14:textId="77777777">
            <w:pPr>
              <w:pStyle w:val="Underskrifter"/>
              <w:spacing w:after="0"/>
            </w:pPr>
            <w:r>
              <w:t>Mats Berglund (MP)</w:t>
            </w:r>
          </w:p>
        </w:tc>
      </w:tr>
      <w:tr w:rsidR="00A97B59" w14:paraId="4A53345B" w14:textId="77777777">
        <w:trPr>
          <w:cantSplit/>
        </w:trPr>
        <w:tc>
          <w:tcPr>
            <w:tcW w:w="50" w:type="pct"/>
            <w:vAlign w:val="bottom"/>
          </w:tcPr>
          <w:p w:rsidR="00A97B59" w:rsidRDefault="003A73FB" w14:paraId="3DEA161B" w14:textId="77777777">
            <w:pPr>
              <w:pStyle w:val="Underskrifter"/>
              <w:spacing w:after="0"/>
            </w:pPr>
            <w:r>
              <w:t>Nils Seye Larsen (MP)</w:t>
            </w:r>
          </w:p>
        </w:tc>
        <w:tc>
          <w:tcPr>
            <w:tcW w:w="50" w:type="pct"/>
            <w:vAlign w:val="bottom"/>
          </w:tcPr>
          <w:p w:rsidR="00A97B59" w:rsidRDefault="00A97B59" w14:paraId="585EDD0E" w14:textId="77777777">
            <w:pPr>
              <w:pStyle w:val="Underskrifter"/>
              <w:spacing w:after="0"/>
            </w:pPr>
          </w:p>
        </w:tc>
      </w:tr>
    </w:tbl>
    <w:p w:rsidRPr="008E0FE2" w:rsidR="004801AC" w:rsidP="00DF3554" w:rsidRDefault="004801AC" w14:paraId="425E0B0D" w14:textId="3387A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62F9" w14:textId="77777777" w:rsidR="003A73FB" w:rsidRDefault="003A73FB" w:rsidP="000C1CAD">
      <w:pPr>
        <w:spacing w:line="240" w:lineRule="auto"/>
      </w:pPr>
      <w:r>
        <w:separator/>
      </w:r>
    </w:p>
  </w:endnote>
  <w:endnote w:type="continuationSeparator" w:id="0">
    <w:p w14:paraId="619C460C" w14:textId="77777777" w:rsidR="003A73FB" w:rsidRDefault="003A7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42D1" w14:textId="77777777" w:rsidR="003A73FB" w:rsidRDefault="003A73FB" w:rsidP="000C1CAD">
      <w:pPr>
        <w:spacing w:line="240" w:lineRule="auto"/>
      </w:pPr>
      <w:r>
        <w:separator/>
      </w:r>
    </w:p>
  </w:footnote>
  <w:footnote w:type="continuationSeparator" w:id="0">
    <w:p w14:paraId="7A96C404" w14:textId="77777777" w:rsidR="003A73FB" w:rsidRDefault="003A73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4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DB8525" wp14:editId="2A8FA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E1D09C" w14:textId="27A038BB" w:rsidR="00262EA3" w:rsidRDefault="003A73FB" w:rsidP="008103B5">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DB8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14:paraId="4A422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4B" w14:textId="77777777" w:rsidR="00262EA3" w:rsidRDefault="00262EA3" w:rsidP="008563AC">
    <w:pPr>
      <w:jc w:val="right"/>
    </w:pPr>
  </w:p>
  <w:p w14:paraId="62F55D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745" w14:textId="77777777" w:rsidR="00262EA3" w:rsidRDefault="003A73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4DF12" wp14:editId="32BEB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40A1C" w14:textId="35A6969B" w:rsidR="00262EA3" w:rsidRDefault="003A73FB" w:rsidP="00A314CF">
    <w:pPr>
      <w:pStyle w:val="FSHNormal"/>
      <w:spacing w:before="40"/>
    </w:pPr>
    <w:sdt>
      <w:sdtPr>
        <w:alias w:val="CC_Noformat_Motionstyp"/>
        <w:tag w:val="CC_Noformat_Motionstyp"/>
        <w:id w:val="1162973129"/>
        <w:lock w:val="sdtContentLocked"/>
        <w15:appearance w15:val="hidden"/>
        <w:text/>
      </w:sdtPr>
      <w:sdtEndPr/>
      <w:sdtContent>
        <w:r w:rsidR="00A11FB7">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14:paraId="5C64980E" w14:textId="77777777" w:rsidR="00262EA3" w:rsidRPr="008227B3" w:rsidRDefault="003A73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A40A8" w14:textId="762E5565" w:rsidR="00262EA3" w:rsidRPr="008227B3" w:rsidRDefault="003A73FB" w:rsidP="00B37A37">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rsidR="00A11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FB7">
          <w:t>:3530</w:t>
        </w:r>
      </w:sdtContent>
    </w:sdt>
  </w:p>
  <w:p w14:paraId="61FF3243" w14:textId="60DA0827" w:rsidR="00262EA3" w:rsidRDefault="003A73FB" w:rsidP="00E03A3D">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rsidR="00A11FB7">
          <w:t>av Ulrika Westerlund m.fl. (MP)</w:t>
        </w:r>
      </w:sdtContent>
    </w:sdt>
  </w:p>
  <w:sdt>
    <w:sdtPr>
      <w:alias w:val="CC_Noformat_Rubtext"/>
      <w:tag w:val="CC_Noformat_Rubtext"/>
      <w:id w:val="-218060500"/>
      <w:lock w:val="sdtLocked"/>
      <w:placeholder>
        <w:docPart w:val="34E5A85B6B3249C285CF0639E626C1E2"/>
      </w:placeholder>
      <w:text/>
    </w:sdtPr>
    <w:sdtEndPr/>
    <w:sdtContent>
      <w:p w14:paraId="16382E40" w14:textId="613868C1" w:rsidR="00262EA3" w:rsidRDefault="008D04ED" w:rsidP="00283E0F">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14:paraId="045315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2970691">
    <w:abstractNumId w:val="9"/>
  </w:num>
  <w:num w:numId="2" w16cid:durableId="561252756">
    <w:abstractNumId w:val="8"/>
  </w:num>
  <w:num w:numId="3" w16cid:durableId="219679604">
    <w:abstractNumId w:val="17"/>
  </w:num>
  <w:num w:numId="4" w16cid:durableId="1592735752">
    <w:abstractNumId w:val="15"/>
  </w:num>
  <w:num w:numId="5" w16cid:durableId="1203907250">
    <w:abstractNumId w:val="18"/>
  </w:num>
  <w:num w:numId="6" w16cid:durableId="1398432216">
    <w:abstractNumId w:val="19"/>
  </w:num>
  <w:num w:numId="7" w16cid:durableId="92633894">
    <w:abstractNumId w:val="12"/>
  </w:num>
  <w:num w:numId="8" w16cid:durableId="219482119">
    <w:abstractNumId w:val="13"/>
  </w:num>
  <w:num w:numId="9" w16cid:durableId="958799723">
    <w:abstractNumId w:val="16"/>
  </w:num>
  <w:num w:numId="10" w16cid:durableId="1097871839">
    <w:abstractNumId w:val="23"/>
  </w:num>
  <w:num w:numId="11" w16cid:durableId="1978608061">
    <w:abstractNumId w:val="22"/>
  </w:num>
  <w:num w:numId="12" w16cid:durableId="703020717">
    <w:abstractNumId w:val="22"/>
  </w:num>
  <w:num w:numId="13" w16cid:durableId="176962532">
    <w:abstractNumId w:val="3"/>
  </w:num>
  <w:num w:numId="14" w16cid:durableId="851652317">
    <w:abstractNumId w:val="2"/>
  </w:num>
  <w:num w:numId="15" w16cid:durableId="480195575">
    <w:abstractNumId w:val="1"/>
  </w:num>
  <w:num w:numId="16" w16cid:durableId="388922865">
    <w:abstractNumId w:val="0"/>
  </w:num>
  <w:num w:numId="17" w16cid:durableId="2062553955">
    <w:abstractNumId w:val="7"/>
  </w:num>
  <w:num w:numId="18" w16cid:durableId="679549608">
    <w:abstractNumId w:val="6"/>
  </w:num>
  <w:num w:numId="19" w16cid:durableId="1531990516">
    <w:abstractNumId w:val="5"/>
  </w:num>
  <w:num w:numId="20" w16cid:durableId="696003080">
    <w:abstractNumId w:val="4"/>
  </w:num>
  <w:num w:numId="21" w16cid:durableId="147482957">
    <w:abstractNumId w:val="22"/>
  </w:num>
  <w:num w:numId="22" w16cid:durableId="1878396419">
    <w:abstractNumId w:val="22"/>
  </w:num>
  <w:num w:numId="23" w16cid:durableId="800346778">
    <w:abstractNumId w:val="22"/>
  </w:num>
  <w:num w:numId="24" w16cid:durableId="556821756">
    <w:abstractNumId w:val="22"/>
  </w:num>
  <w:num w:numId="25" w16cid:durableId="1883978009">
    <w:abstractNumId w:val="22"/>
  </w:num>
  <w:num w:numId="26" w16cid:durableId="1229195912">
    <w:abstractNumId w:val="23"/>
  </w:num>
  <w:num w:numId="27" w16cid:durableId="1778914129">
    <w:abstractNumId w:val="23"/>
  </w:num>
  <w:num w:numId="28" w16cid:durableId="1721397560">
    <w:abstractNumId w:val="23"/>
  </w:num>
  <w:num w:numId="29" w16cid:durableId="1855463196">
    <w:abstractNumId w:val="23"/>
  </w:num>
  <w:num w:numId="30" w16cid:durableId="311103646">
    <w:abstractNumId w:val="22"/>
  </w:num>
  <w:num w:numId="31" w16cid:durableId="215050174">
    <w:abstractNumId w:val="22"/>
  </w:num>
  <w:num w:numId="32" w16cid:durableId="2056807037">
    <w:abstractNumId w:val="23"/>
  </w:num>
  <w:num w:numId="33" w16cid:durableId="1710493229">
    <w:abstractNumId w:val="22"/>
  </w:num>
  <w:num w:numId="34" w16cid:durableId="2101297289">
    <w:abstractNumId w:val="19"/>
  </w:num>
  <w:num w:numId="35" w16cid:durableId="948126943">
    <w:abstractNumId w:val="19"/>
    <w:lvlOverride w:ilvl="0">
      <w:startOverride w:val="1"/>
    </w:lvlOverride>
  </w:num>
  <w:num w:numId="36" w16cid:durableId="1428573525">
    <w:abstractNumId w:val="20"/>
  </w:num>
  <w:num w:numId="37" w16cid:durableId="1353074973">
    <w:abstractNumId w:val="19"/>
    <w:lvlOverride w:ilvl="0">
      <w:startOverride w:val="1"/>
    </w:lvlOverride>
  </w:num>
  <w:num w:numId="38" w16cid:durableId="1578132618">
    <w:abstractNumId w:val="14"/>
  </w:num>
  <w:num w:numId="39" w16cid:durableId="986739534">
    <w:abstractNumId w:val="11"/>
  </w:num>
  <w:num w:numId="40" w16cid:durableId="1845822931">
    <w:abstractNumId w:val="21"/>
  </w:num>
  <w:num w:numId="41" w16cid:durableId="160537987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CC"/>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FB"/>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59"/>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C3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CA"/>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B5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9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697C29DB015049F497AD189B4BB01BD7"/>
        <w:category>
          <w:name w:val="Allmänt"/>
          <w:gallery w:val="placeholder"/>
        </w:category>
        <w:types>
          <w:type w:val="bbPlcHdr"/>
        </w:types>
        <w:behaviors>
          <w:behavior w:val="content"/>
        </w:behaviors>
        <w:guid w:val="{D4ED93F0-6169-47D5-9856-203D97E5DB4B}"/>
      </w:docPartPr>
      <w:docPartBody>
        <w:p w:rsidR="0048654C" w:rsidRDefault="004E095C">
          <w:pPr>
            <w:pStyle w:val="697C29DB015049F497AD189B4BB01BD7"/>
          </w:pPr>
          <w:r w:rsidRPr="005A0A93">
            <w:rPr>
              <w:rStyle w:val="Platshllartext"/>
            </w:rPr>
            <w:t>Motivering</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7A9F64C37348E7A3E2FD470A6D8B3E"/>
        <w:category>
          <w:name w:val="Allmänt"/>
          <w:gallery w:val="placeholder"/>
        </w:category>
        <w:types>
          <w:type w:val="bbPlcHdr"/>
        </w:types>
        <w:behaviors>
          <w:behavior w:val="content"/>
        </w:behaviors>
        <w:guid w:val="{9D95AFB1-7D13-4D4C-A7E1-272C97A71EA1}"/>
      </w:docPartPr>
      <w:docPartBody>
        <w:p w:rsidR="00CA3F52" w:rsidRDefault="00CA3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6973C4"/>
    <w:rsid w:val="00B34DD6"/>
    <w:rsid w:val="00CA3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1A983" w:themeColor="accent2" w:themeTint="99"/>
    </w:rPr>
  </w:style>
  <w:style w:type="paragraph" w:customStyle="1" w:styleId="C14EE1E2AB0D4408A6D99A72E0ABCE02">
    <w:name w:val="C14EE1E2AB0D4408A6D99A72E0ABCE02"/>
  </w:style>
  <w:style w:type="paragraph" w:customStyle="1" w:styleId="A6504CCBEB6E459694D0B78D68F6C01E">
    <w:name w:val="A6504CCBEB6E459694D0B78D68F6C01E"/>
  </w:style>
  <w:style w:type="paragraph" w:customStyle="1" w:styleId="697C29DB015049F497AD189B4BB01BD7">
    <w:name w:val="697C29DB015049F497AD189B4BB01BD7"/>
  </w:style>
  <w:style w:type="paragraph" w:customStyle="1" w:styleId="47F35D882A7F4B8BBBBC673C163A5F8F">
    <w:name w:val="47F35D882A7F4B8BBBBC673C163A5F8F"/>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BFDD5-1C06-4ECF-9896-C24663FAD7C6}"/>
</file>

<file path=customXml/itemProps2.xml><?xml version="1.0" encoding="utf-8"?>
<ds:datastoreItem xmlns:ds="http://schemas.openxmlformats.org/officeDocument/2006/customXml" ds:itemID="{74E22D55-CB63-4B7E-9E48-1F408879E5C1}"/>
</file>

<file path=customXml/itemProps3.xml><?xml version="1.0" encoding="utf-8"?>
<ds:datastoreItem xmlns:ds="http://schemas.openxmlformats.org/officeDocument/2006/customXml" ds:itemID="{232BE0C3-47CE-4FE1-9A92-1E5089995D81}"/>
</file>

<file path=docProps/app.xml><?xml version="1.0" encoding="utf-8"?>
<Properties xmlns="http://schemas.openxmlformats.org/officeDocument/2006/extended-properties" xmlns:vt="http://schemas.openxmlformats.org/officeDocument/2006/docPropsVTypes">
  <Template>Normal</Template>
  <TotalTime>22</TotalTime>
  <Pages>5</Pages>
  <Words>1551</Words>
  <Characters>9602</Characters>
  <Application>Microsoft Office Word</Application>
  <DocSecurity>0</DocSecurity>
  <Lines>154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