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78500B" w:rsidRPr="001D6560">
        <w:tblPrEx>
          <w:tblCellMar>
            <w:top w:w="0" w:type="dxa"/>
            <w:bottom w:w="0" w:type="dxa"/>
          </w:tblCellMar>
        </w:tblPrEx>
        <w:tc>
          <w:tcPr>
            <w:tcW w:w="2268" w:type="dxa"/>
          </w:tcPr>
          <w:p w:rsidR="0078500B" w:rsidRPr="001D6560" w:rsidRDefault="0078500B">
            <w:pPr>
              <w:framePr w:w="4400" w:h="1644" w:wrap="notBeside" w:vAnchor="page" w:hAnchor="page" w:x="6573" w:y="721"/>
              <w:rPr>
                <w:rFonts w:ascii="TradeGothic" w:hAnsi="TradeGothic"/>
                <w:i/>
                <w:sz w:val="18"/>
              </w:rPr>
            </w:pPr>
          </w:p>
        </w:tc>
        <w:tc>
          <w:tcPr>
            <w:tcW w:w="2347" w:type="dxa"/>
            <w:gridSpan w:val="2"/>
          </w:tcPr>
          <w:p w:rsidR="0078500B" w:rsidRPr="001D6560" w:rsidRDefault="0078500B">
            <w:pPr>
              <w:framePr w:w="4400" w:h="1644" w:wrap="notBeside" w:vAnchor="page" w:hAnchor="page" w:x="6573" w:y="721"/>
              <w:rPr>
                <w:rFonts w:ascii="TradeGothic" w:hAnsi="TradeGothic"/>
                <w:i/>
                <w:sz w:val="18"/>
              </w:rPr>
            </w:pPr>
          </w:p>
        </w:tc>
      </w:tr>
      <w:tr w:rsidR="0078500B" w:rsidRPr="001D6560">
        <w:tblPrEx>
          <w:tblCellMar>
            <w:top w:w="0" w:type="dxa"/>
            <w:bottom w:w="0" w:type="dxa"/>
          </w:tblCellMar>
        </w:tblPrEx>
        <w:trPr>
          <w:cantSplit/>
        </w:trPr>
        <w:tc>
          <w:tcPr>
            <w:tcW w:w="4615" w:type="dxa"/>
            <w:gridSpan w:val="3"/>
          </w:tcPr>
          <w:p w:rsidR="0078500B" w:rsidRPr="001D6560" w:rsidRDefault="0078500B">
            <w:pPr>
              <w:framePr w:w="4400" w:h="1644" w:wrap="notBeside" w:vAnchor="page" w:hAnchor="page" w:x="6573" w:y="721"/>
              <w:rPr>
                <w:rFonts w:ascii="TradeGothic" w:hAnsi="TradeGothic"/>
                <w:b/>
                <w:sz w:val="22"/>
              </w:rPr>
            </w:pPr>
            <w:r w:rsidRPr="001D6560">
              <w:rPr>
                <w:rFonts w:ascii="TradeGothic" w:hAnsi="TradeGothic"/>
                <w:b/>
                <w:sz w:val="22"/>
              </w:rPr>
              <w:t>Rådspromemoria</w:t>
            </w:r>
          </w:p>
        </w:tc>
      </w:tr>
      <w:tr w:rsidR="0078500B" w:rsidRPr="001D6560">
        <w:tblPrEx>
          <w:tblCellMar>
            <w:top w:w="0" w:type="dxa"/>
            <w:bottom w:w="0" w:type="dxa"/>
          </w:tblCellMar>
        </w:tblPrEx>
        <w:tc>
          <w:tcPr>
            <w:tcW w:w="3402" w:type="dxa"/>
            <w:gridSpan w:val="2"/>
          </w:tcPr>
          <w:p w:rsidR="0078500B" w:rsidRPr="001D6560" w:rsidRDefault="0078500B">
            <w:pPr>
              <w:framePr w:w="4400" w:h="1644" w:wrap="notBeside" w:vAnchor="page" w:hAnchor="page" w:x="6573" w:y="721"/>
            </w:pPr>
          </w:p>
        </w:tc>
        <w:tc>
          <w:tcPr>
            <w:tcW w:w="1213" w:type="dxa"/>
          </w:tcPr>
          <w:p w:rsidR="0078500B" w:rsidRPr="001D6560" w:rsidRDefault="0078500B">
            <w:pPr>
              <w:framePr w:w="4400" w:h="1644" w:wrap="notBeside" w:vAnchor="page" w:hAnchor="page" w:x="6573" w:y="721"/>
            </w:pPr>
          </w:p>
        </w:tc>
      </w:tr>
      <w:tr w:rsidR="0078500B" w:rsidRPr="001D6560">
        <w:tblPrEx>
          <w:tblCellMar>
            <w:top w:w="0" w:type="dxa"/>
            <w:bottom w:w="0" w:type="dxa"/>
          </w:tblCellMar>
        </w:tblPrEx>
        <w:tc>
          <w:tcPr>
            <w:tcW w:w="2268" w:type="dxa"/>
          </w:tcPr>
          <w:p w:rsidR="0078500B" w:rsidRPr="001D6560" w:rsidRDefault="00227C83">
            <w:pPr>
              <w:framePr w:w="4400" w:h="1644" w:wrap="notBeside" w:vAnchor="page" w:hAnchor="page" w:x="6573" w:y="721"/>
            </w:pPr>
            <w:r w:rsidRPr="001D6560">
              <w:t>2009</w:t>
            </w:r>
            <w:r w:rsidR="0078500B" w:rsidRPr="001D6560">
              <w:t>-0</w:t>
            </w:r>
            <w:r w:rsidRPr="001D6560">
              <w:t>2-04</w:t>
            </w:r>
          </w:p>
        </w:tc>
        <w:tc>
          <w:tcPr>
            <w:tcW w:w="2347" w:type="dxa"/>
            <w:gridSpan w:val="2"/>
          </w:tcPr>
          <w:p w:rsidR="0078500B" w:rsidRPr="001D6560" w:rsidRDefault="0078500B">
            <w:pPr>
              <w:framePr w:w="4400" w:h="1644" w:wrap="notBeside" w:vAnchor="page" w:hAnchor="page" w:x="6573" w:y="721"/>
            </w:pPr>
          </w:p>
        </w:tc>
      </w:tr>
      <w:tr w:rsidR="0078500B" w:rsidRPr="001D6560">
        <w:tblPrEx>
          <w:tblCellMar>
            <w:top w:w="0" w:type="dxa"/>
            <w:bottom w:w="0" w:type="dxa"/>
          </w:tblCellMar>
        </w:tblPrEx>
        <w:tc>
          <w:tcPr>
            <w:tcW w:w="2268" w:type="dxa"/>
          </w:tcPr>
          <w:p w:rsidR="0078500B" w:rsidRPr="001D6560" w:rsidRDefault="0078500B">
            <w:pPr>
              <w:framePr w:w="4400" w:h="1644" w:wrap="notBeside" w:vAnchor="page" w:hAnchor="page" w:x="6573" w:y="721"/>
            </w:pPr>
          </w:p>
        </w:tc>
        <w:tc>
          <w:tcPr>
            <w:tcW w:w="2347" w:type="dxa"/>
            <w:gridSpan w:val="2"/>
          </w:tcPr>
          <w:p w:rsidR="0078500B" w:rsidRPr="001D6560" w:rsidRDefault="0078500B">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78500B" w:rsidRPr="001D6560">
        <w:tblPrEx>
          <w:tblCellMar>
            <w:top w:w="0" w:type="dxa"/>
            <w:bottom w:w="0" w:type="dxa"/>
          </w:tblCellMar>
        </w:tblPrEx>
        <w:trPr>
          <w:trHeight w:val="284"/>
        </w:trPr>
        <w:tc>
          <w:tcPr>
            <w:tcW w:w="4911" w:type="dxa"/>
          </w:tcPr>
          <w:p w:rsidR="0078500B" w:rsidRPr="001D6560" w:rsidRDefault="0078500B">
            <w:pPr>
              <w:pStyle w:val="Avsndare"/>
              <w:framePr w:h="2483" w:wrap="notBeside" w:x="1504"/>
              <w:rPr>
                <w:b/>
                <w:i w:val="0"/>
                <w:sz w:val="22"/>
              </w:rPr>
            </w:pPr>
            <w:r w:rsidRPr="001D6560">
              <w:rPr>
                <w:b/>
                <w:i w:val="0"/>
                <w:sz w:val="22"/>
              </w:rPr>
              <w:t>Näringsdepartementet</w:t>
            </w:r>
          </w:p>
        </w:tc>
      </w:tr>
      <w:tr w:rsidR="0078500B" w:rsidRPr="001D6560">
        <w:tblPrEx>
          <w:tblCellMar>
            <w:top w:w="0" w:type="dxa"/>
            <w:bottom w:w="0" w:type="dxa"/>
          </w:tblCellMar>
        </w:tblPrEx>
        <w:trPr>
          <w:trHeight w:val="284"/>
        </w:trPr>
        <w:tc>
          <w:tcPr>
            <w:tcW w:w="4911" w:type="dxa"/>
          </w:tcPr>
          <w:p w:rsidR="0078500B" w:rsidRPr="001D6560" w:rsidRDefault="0078500B">
            <w:pPr>
              <w:pStyle w:val="Avsndare"/>
              <w:framePr w:h="2483" w:wrap="notBeside" w:x="1504"/>
              <w:rPr>
                <w:bCs/>
                <w:iCs/>
              </w:rPr>
            </w:pPr>
          </w:p>
        </w:tc>
      </w:tr>
      <w:tr w:rsidR="0078500B" w:rsidRPr="001D6560">
        <w:tblPrEx>
          <w:tblCellMar>
            <w:top w:w="0" w:type="dxa"/>
            <w:bottom w:w="0" w:type="dxa"/>
          </w:tblCellMar>
        </w:tblPrEx>
        <w:trPr>
          <w:trHeight w:val="284"/>
        </w:trPr>
        <w:tc>
          <w:tcPr>
            <w:tcW w:w="4911" w:type="dxa"/>
          </w:tcPr>
          <w:p w:rsidR="0078500B" w:rsidRPr="001D6560" w:rsidRDefault="0078500B">
            <w:pPr>
              <w:pStyle w:val="Avsndare"/>
              <w:framePr w:h="2483" w:wrap="notBeside" w:x="1504"/>
              <w:rPr>
                <w:bCs/>
                <w:iCs/>
              </w:rPr>
            </w:pPr>
          </w:p>
        </w:tc>
      </w:tr>
      <w:tr w:rsidR="0078500B" w:rsidRPr="001D6560">
        <w:tblPrEx>
          <w:tblCellMar>
            <w:top w:w="0" w:type="dxa"/>
            <w:bottom w:w="0" w:type="dxa"/>
          </w:tblCellMar>
        </w:tblPrEx>
        <w:trPr>
          <w:trHeight w:val="284"/>
        </w:trPr>
        <w:tc>
          <w:tcPr>
            <w:tcW w:w="4911" w:type="dxa"/>
          </w:tcPr>
          <w:p w:rsidR="0078500B" w:rsidRPr="001D6560" w:rsidRDefault="0078500B">
            <w:pPr>
              <w:pStyle w:val="Avsndare"/>
              <w:framePr w:h="2483" w:wrap="notBeside" w:x="1504"/>
              <w:rPr>
                <w:bCs/>
                <w:iCs/>
              </w:rPr>
            </w:pPr>
          </w:p>
        </w:tc>
      </w:tr>
      <w:tr w:rsidR="0078500B" w:rsidRPr="001D6560">
        <w:tblPrEx>
          <w:tblCellMar>
            <w:top w:w="0" w:type="dxa"/>
            <w:bottom w:w="0" w:type="dxa"/>
          </w:tblCellMar>
        </w:tblPrEx>
        <w:trPr>
          <w:trHeight w:val="284"/>
        </w:trPr>
        <w:tc>
          <w:tcPr>
            <w:tcW w:w="4911" w:type="dxa"/>
          </w:tcPr>
          <w:p w:rsidR="0078500B" w:rsidRPr="001D6560" w:rsidRDefault="0078500B">
            <w:pPr>
              <w:pStyle w:val="Avsndare"/>
              <w:framePr w:h="2483" w:wrap="notBeside" w:x="1504"/>
              <w:rPr>
                <w:bCs/>
                <w:iCs/>
              </w:rPr>
            </w:pPr>
          </w:p>
        </w:tc>
      </w:tr>
      <w:tr w:rsidR="0078500B" w:rsidRPr="001D6560">
        <w:tblPrEx>
          <w:tblCellMar>
            <w:top w:w="0" w:type="dxa"/>
            <w:bottom w:w="0" w:type="dxa"/>
          </w:tblCellMar>
        </w:tblPrEx>
        <w:trPr>
          <w:trHeight w:val="284"/>
        </w:trPr>
        <w:tc>
          <w:tcPr>
            <w:tcW w:w="4911" w:type="dxa"/>
          </w:tcPr>
          <w:p w:rsidR="0078500B" w:rsidRPr="001D6560" w:rsidRDefault="0078500B">
            <w:pPr>
              <w:pStyle w:val="Avsndare"/>
              <w:framePr w:h="2483" w:wrap="notBeside" w:x="1504"/>
              <w:rPr>
                <w:bCs/>
                <w:iCs/>
              </w:rPr>
            </w:pPr>
          </w:p>
        </w:tc>
      </w:tr>
      <w:tr w:rsidR="0078500B" w:rsidRPr="001D6560">
        <w:tblPrEx>
          <w:tblCellMar>
            <w:top w:w="0" w:type="dxa"/>
            <w:bottom w:w="0" w:type="dxa"/>
          </w:tblCellMar>
        </w:tblPrEx>
        <w:trPr>
          <w:trHeight w:val="284"/>
        </w:trPr>
        <w:tc>
          <w:tcPr>
            <w:tcW w:w="4911" w:type="dxa"/>
          </w:tcPr>
          <w:p w:rsidR="0078500B" w:rsidRPr="001D6560" w:rsidRDefault="0078500B">
            <w:pPr>
              <w:pStyle w:val="Avsndare"/>
              <w:framePr w:h="2483" w:wrap="notBeside" w:x="1504"/>
              <w:rPr>
                <w:bCs/>
                <w:iCs/>
              </w:rPr>
            </w:pPr>
          </w:p>
        </w:tc>
      </w:tr>
      <w:tr w:rsidR="0078500B" w:rsidRPr="001D6560">
        <w:tblPrEx>
          <w:tblCellMar>
            <w:top w:w="0" w:type="dxa"/>
            <w:bottom w:w="0" w:type="dxa"/>
          </w:tblCellMar>
        </w:tblPrEx>
        <w:trPr>
          <w:trHeight w:val="284"/>
        </w:trPr>
        <w:tc>
          <w:tcPr>
            <w:tcW w:w="4911" w:type="dxa"/>
          </w:tcPr>
          <w:p w:rsidR="0078500B" w:rsidRPr="001D6560" w:rsidRDefault="0078500B">
            <w:pPr>
              <w:pStyle w:val="Avsndare"/>
              <w:framePr w:h="2483" w:wrap="notBeside" w:x="1504"/>
              <w:rPr>
                <w:bCs/>
                <w:iCs/>
              </w:rPr>
            </w:pPr>
          </w:p>
        </w:tc>
      </w:tr>
      <w:tr w:rsidR="0078500B" w:rsidRPr="001D6560">
        <w:tblPrEx>
          <w:tblCellMar>
            <w:top w:w="0" w:type="dxa"/>
            <w:bottom w:w="0" w:type="dxa"/>
          </w:tblCellMar>
        </w:tblPrEx>
        <w:trPr>
          <w:trHeight w:val="284"/>
        </w:trPr>
        <w:tc>
          <w:tcPr>
            <w:tcW w:w="4911" w:type="dxa"/>
          </w:tcPr>
          <w:p w:rsidR="0078500B" w:rsidRPr="001D6560" w:rsidRDefault="0078500B">
            <w:pPr>
              <w:pStyle w:val="Avsndare"/>
              <w:framePr w:h="2483" w:wrap="notBeside" w:x="1504"/>
              <w:rPr>
                <w:bCs/>
                <w:iCs/>
              </w:rPr>
            </w:pPr>
          </w:p>
        </w:tc>
      </w:tr>
    </w:tbl>
    <w:p w:rsidR="0078500B" w:rsidRPr="001D6560" w:rsidRDefault="0078500B">
      <w:pPr>
        <w:framePr w:w="4400" w:h="2523" w:wrap="notBeside" w:vAnchor="page" w:hAnchor="page" w:x="6453" w:y="2445"/>
        <w:ind w:left="142"/>
        <w:rPr>
          <w:b/>
        </w:rPr>
      </w:pPr>
    </w:p>
    <w:p w:rsidR="0078500B" w:rsidRPr="001D6560" w:rsidRDefault="0078500B">
      <w:pPr>
        <w:pStyle w:val="RKrubrik"/>
        <w:pBdr>
          <w:bottom w:val="single" w:sz="6" w:space="1" w:color="auto"/>
        </w:pBdr>
      </w:pPr>
      <w:bookmarkStart w:id="0" w:name="bRubrik"/>
      <w:bookmarkEnd w:id="0"/>
      <w:r w:rsidRPr="001D6560">
        <w:t>Rådets möte (</w:t>
      </w:r>
      <w:r w:rsidR="00720227" w:rsidRPr="001D6560">
        <w:t>energi</w:t>
      </w:r>
      <w:r w:rsidRPr="001D6560">
        <w:t xml:space="preserve">) den </w:t>
      </w:r>
      <w:r w:rsidR="00720227" w:rsidRPr="001D6560">
        <w:t>19 februari 2009</w:t>
      </w:r>
    </w:p>
    <w:p w:rsidR="0078500B" w:rsidRPr="001D6560" w:rsidRDefault="0078500B">
      <w:pPr>
        <w:pStyle w:val="RKnormal"/>
      </w:pPr>
    </w:p>
    <w:p w:rsidR="0078500B" w:rsidRPr="001D6560" w:rsidRDefault="00720227">
      <w:pPr>
        <w:pStyle w:val="RKnormal"/>
      </w:pPr>
      <w:r w:rsidRPr="001D6560">
        <w:t>Dagordningspunkt 4 a</w:t>
      </w:r>
    </w:p>
    <w:p w:rsidR="0078500B" w:rsidRPr="001D6560" w:rsidRDefault="0078500B">
      <w:pPr>
        <w:pStyle w:val="RKnormal"/>
      </w:pPr>
    </w:p>
    <w:p w:rsidR="0078500B" w:rsidRPr="001D6560" w:rsidRDefault="0078500B">
      <w:pPr>
        <w:pStyle w:val="RKnormal"/>
      </w:pPr>
      <w:r w:rsidRPr="001D6560">
        <w:t>Rubrik:</w:t>
      </w:r>
      <w:r w:rsidR="00720227" w:rsidRPr="001D6560">
        <w:t xml:space="preserve"> </w:t>
      </w:r>
      <w:r w:rsidR="00B91E6B" w:rsidRPr="001D6560">
        <w:t xml:space="preserve">Förslag till rådets direktiv om en skyldighet för medlemsstaterna att inneha minimilager av råolja och/eller petroleumprodukter </w:t>
      </w:r>
    </w:p>
    <w:p w:rsidR="0078500B" w:rsidRPr="001D6560" w:rsidRDefault="0078500B">
      <w:pPr>
        <w:pStyle w:val="RKnormal"/>
      </w:pPr>
    </w:p>
    <w:p w:rsidR="0078500B" w:rsidRPr="001D6560" w:rsidRDefault="0078500B">
      <w:pPr>
        <w:pStyle w:val="RKnormal"/>
      </w:pPr>
      <w:r w:rsidRPr="001D6560">
        <w:t>Dokument:</w:t>
      </w:r>
      <w:r w:rsidR="00227C83" w:rsidRPr="001D6560">
        <w:t xml:space="preserve"> 5532/1/09 ENER 22 REV 1 </w:t>
      </w:r>
    </w:p>
    <w:p w:rsidR="00227C83" w:rsidRPr="001D6560" w:rsidRDefault="00227C83" w:rsidP="00227C83">
      <w:pPr>
        <w:spacing w:line="240" w:lineRule="auto"/>
        <w:ind w:left="1134" w:firstLine="142"/>
      </w:pPr>
      <w:r w:rsidRPr="001D6560">
        <w:t>15910/08 ENER 393</w:t>
      </w:r>
    </w:p>
    <w:p w:rsidR="0078500B" w:rsidRPr="001D6560" w:rsidRDefault="0078500B" w:rsidP="00227C83">
      <w:pPr>
        <w:pStyle w:val="RKnormal"/>
        <w:tabs>
          <w:tab w:val="clear" w:pos="2835"/>
          <w:tab w:val="left" w:pos="1276"/>
        </w:tabs>
      </w:pPr>
    </w:p>
    <w:p w:rsidR="0078500B" w:rsidRPr="001D6560" w:rsidRDefault="0078500B">
      <w:pPr>
        <w:pStyle w:val="RKnormal"/>
      </w:pPr>
      <w:r w:rsidRPr="001D6560">
        <w:t xml:space="preserve">Tidigare dokument: Fakta-PM </w:t>
      </w:r>
      <w:r w:rsidR="00227C83" w:rsidRPr="001D6560">
        <w:t>N-d</w:t>
      </w:r>
      <w:r w:rsidRPr="001D6560">
        <w:t xml:space="preserve">ep </w:t>
      </w:r>
      <w:r w:rsidR="00227C83" w:rsidRPr="001D6560">
        <w:t>2008</w:t>
      </w:r>
      <w:r w:rsidRPr="001D6560">
        <w:t>/</w:t>
      </w:r>
      <w:r w:rsidR="00227C83" w:rsidRPr="001D6560">
        <w:t>09:FPM56</w:t>
      </w:r>
    </w:p>
    <w:p w:rsidR="0078500B" w:rsidRPr="001D6560" w:rsidRDefault="0078500B">
      <w:pPr>
        <w:pStyle w:val="RKnormal"/>
      </w:pPr>
    </w:p>
    <w:p w:rsidR="0078500B" w:rsidRPr="001D6560" w:rsidRDefault="00227C83">
      <w:pPr>
        <w:pStyle w:val="RKnormal"/>
      </w:pPr>
      <w:r w:rsidRPr="001D6560">
        <w:t xml:space="preserve">Ej </w:t>
      </w:r>
      <w:r w:rsidR="0078500B" w:rsidRPr="001D6560">
        <w:t xml:space="preserve">behandlad </w:t>
      </w:r>
      <w:r w:rsidRPr="001D6560">
        <w:t xml:space="preserve">tidigare </w:t>
      </w:r>
      <w:r w:rsidR="0078500B" w:rsidRPr="001D6560">
        <w:t>med EU-nämnden</w:t>
      </w:r>
    </w:p>
    <w:p w:rsidR="0078500B" w:rsidRPr="001D6560" w:rsidRDefault="0078500B">
      <w:pPr>
        <w:pStyle w:val="RKrubrik"/>
      </w:pPr>
      <w:r w:rsidRPr="001D6560">
        <w:t>Bakgrund</w:t>
      </w:r>
    </w:p>
    <w:p w:rsidR="0078500B" w:rsidRPr="001D6560" w:rsidRDefault="0078500B">
      <w:pPr>
        <w:pStyle w:val="RKnormal"/>
      </w:pPr>
    </w:p>
    <w:p w:rsidR="006A4412" w:rsidRPr="001D6560" w:rsidRDefault="00227C83" w:rsidP="00227C83">
      <w:r w:rsidRPr="001D6560">
        <w:rPr>
          <w:szCs w:val="19"/>
        </w:rPr>
        <w:t>Direktivförslaget ingår som en del i den andra strategiska energiöversynen från den 13 november 2008</w:t>
      </w:r>
      <w:r w:rsidR="00CE30CD" w:rsidRPr="001D6560">
        <w:rPr>
          <w:szCs w:val="19"/>
        </w:rPr>
        <w:t xml:space="preserve"> och avser att ersätta det regelverk </w:t>
      </w:r>
      <w:r w:rsidR="00413BDA" w:rsidRPr="001D6560">
        <w:rPr>
          <w:szCs w:val="19"/>
        </w:rPr>
        <w:t xml:space="preserve">som </w:t>
      </w:r>
      <w:r w:rsidR="006A4412" w:rsidRPr="001D6560">
        <w:rPr>
          <w:szCs w:val="19"/>
        </w:rPr>
        <w:t xml:space="preserve">utgår från ett direktiv </w:t>
      </w:r>
      <w:r w:rsidR="00413BDA" w:rsidRPr="001D6560">
        <w:rPr>
          <w:szCs w:val="19"/>
        </w:rPr>
        <w:t xml:space="preserve">från 1968. </w:t>
      </w:r>
      <w:r w:rsidR="006E328B" w:rsidRPr="001D6560">
        <w:rPr>
          <w:szCs w:val="19"/>
        </w:rPr>
        <w:t xml:space="preserve">År 2002 avvisade både </w:t>
      </w:r>
      <w:r w:rsidR="00E57CF4" w:rsidRPr="001D6560">
        <w:rPr>
          <w:szCs w:val="19"/>
        </w:rPr>
        <w:t xml:space="preserve">rådet och Europaparlamentet </w:t>
      </w:r>
      <w:r w:rsidR="006E328B" w:rsidRPr="001D6560">
        <w:rPr>
          <w:szCs w:val="19"/>
        </w:rPr>
        <w:t xml:space="preserve">ett </w:t>
      </w:r>
      <w:r w:rsidR="00E57CF4" w:rsidRPr="001D6560">
        <w:rPr>
          <w:szCs w:val="19"/>
        </w:rPr>
        <w:t xml:space="preserve">förslag om nytt </w:t>
      </w:r>
      <w:r w:rsidR="006E328B" w:rsidRPr="001D6560">
        <w:rPr>
          <w:szCs w:val="19"/>
        </w:rPr>
        <w:t>oljelagrings</w:t>
      </w:r>
      <w:r w:rsidR="00E57CF4" w:rsidRPr="001D6560">
        <w:rPr>
          <w:szCs w:val="19"/>
        </w:rPr>
        <w:t>direktiv</w:t>
      </w:r>
      <w:r w:rsidR="00CE30CD" w:rsidRPr="001D6560">
        <w:rPr>
          <w:szCs w:val="19"/>
        </w:rPr>
        <w:t xml:space="preserve"> som såväl rådet som Europaparlamentet ansåg var alltför långtgående</w:t>
      </w:r>
      <w:r w:rsidR="00E57CF4" w:rsidRPr="001D6560">
        <w:rPr>
          <w:szCs w:val="19"/>
        </w:rPr>
        <w:t>. Det nu aktuella f</w:t>
      </w:r>
      <w:r w:rsidRPr="001D6560">
        <w:t xml:space="preserve">örslaget </w:t>
      </w:r>
      <w:r w:rsidR="006E328B" w:rsidRPr="001D6560">
        <w:t xml:space="preserve">har </w:t>
      </w:r>
      <w:r w:rsidR="00CE30CD" w:rsidRPr="001D6560">
        <w:t xml:space="preserve">så här långt endast </w:t>
      </w:r>
      <w:r w:rsidRPr="001D6560">
        <w:t>presentera</w:t>
      </w:r>
      <w:r w:rsidR="00CE30CD" w:rsidRPr="001D6560">
        <w:t xml:space="preserve">ts och diskuterats övergripande i </w:t>
      </w:r>
      <w:r w:rsidRPr="001D6560">
        <w:t>rådsarbetsgruppen för energi</w:t>
      </w:r>
      <w:r w:rsidR="006E328B" w:rsidRPr="001D6560">
        <w:t xml:space="preserve">. </w:t>
      </w:r>
      <w:r w:rsidRPr="001D6560">
        <w:t xml:space="preserve">Förslaget är nu föremål för en första policydebatt vid TTE-rådet den 19 februari 2009. </w:t>
      </w:r>
    </w:p>
    <w:p w:rsidR="006A4412" w:rsidRPr="001D6560" w:rsidRDefault="006A4412" w:rsidP="00227C83"/>
    <w:p w:rsidR="00227C83" w:rsidRPr="001D6560" w:rsidRDefault="0095282A" w:rsidP="00227C83">
      <w:pPr>
        <w:rPr>
          <w:szCs w:val="19"/>
        </w:rPr>
      </w:pPr>
      <w:r w:rsidRPr="001D6560">
        <w:rPr>
          <w:szCs w:val="19"/>
        </w:rPr>
        <w:t xml:space="preserve">TTE-rådets policydebatt </w:t>
      </w:r>
      <w:r w:rsidR="006E328B" w:rsidRPr="001D6560">
        <w:rPr>
          <w:szCs w:val="19"/>
        </w:rPr>
        <w:t xml:space="preserve">har </w:t>
      </w:r>
      <w:r w:rsidRPr="001D6560">
        <w:rPr>
          <w:szCs w:val="19"/>
        </w:rPr>
        <w:t xml:space="preserve">att </w:t>
      </w:r>
      <w:r w:rsidR="00EC70D1" w:rsidRPr="001D6560">
        <w:rPr>
          <w:szCs w:val="19"/>
        </w:rPr>
        <w:t xml:space="preserve">hantera två frågor. Den första gäller om </w:t>
      </w:r>
      <w:r w:rsidRPr="001D6560">
        <w:rPr>
          <w:szCs w:val="19"/>
        </w:rPr>
        <w:t xml:space="preserve">de föreslagna åtgärderna </w:t>
      </w:r>
      <w:r w:rsidR="00863281" w:rsidRPr="001D6560">
        <w:rPr>
          <w:szCs w:val="19"/>
        </w:rPr>
        <w:t xml:space="preserve">är </w:t>
      </w:r>
      <w:r w:rsidR="00863281" w:rsidRPr="001D6560">
        <w:rPr>
          <w:szCs w:val="19"/>
          <w:u w:val="single"/>
        </w:rPr>
        <w:t>tillräckliga</w:t>
      </w:r>
      <w:r w:rsidR="00863281" w:rsidRPr="001D6560">
        <w:rPr>
          <w:szCs w:val="19"/>
        </w:rPr>
        <w:t xml:space="preserve"> och </w:t>
      </w:r>
      <w:r w:rsidR="00863281" w:rsidRPr="001D6560">
        <w:rPr>
          <w:szCs w:val="19"/>
          <w:u w:val="single"/>
        </w:rPr>
        <w:t>proportionerliga</w:t>
      </w:r>
      <w:r w:rsidR="00863281" w:rsidRPr="001D6560">
        <w:rPr>
          <w:szCs w:val="19"/>
        </w:rPr>
        <w:t xml:space="preserve"> för att säkerställa målet om säkerhet i oljetillförseln. Den andra frågan gäller om förslaget är väl utformat för att hantera en situation där </w:t>
      </w:r>
      <w:r w:rsidR="00863281" w:rsidRPr="001D6560">
        <w:rPr>
          <w:szCs w:val="19"/>
          <w:u w:val="single"/>
        </w:rPr>
        <w:t xml:space="preserve">EU eller </w:t>
      </w:r>
      <w:r w:rsidR="00C96A74" w:rsidRPr="001D6560">
        <w:rPr>
          <w:szCs w:val="19"/>
          <w:u w:val="single"/>
        </w:rPr>
        <w:t xml:space="preserve">IEA </w:t>
      </w:r>
      <w:r w:rsidR="00863281" w:rsidRPr="001D6560">
        <w:rPr>
          <w:szCs w:val="19"/>
          <w:u w:val="single"/>
        </w:rPr>
        <w:t>besluta</w:t>
      </w:r>
      <w:r w:rsidR="00C96A74" w:rsidRPr="001D6560">
        <w:rPr>
          <w:szCs w:val="19"/>
          <w:u w:val="single"/>
        </w:rPr>
        <w:t>t</w:t>
      </w:r>
      <w:r w:rsidR="00863281" w:rsidRPr="001D6560">
        <w:rPr>
          <w:szCs w:val="19"/>
        </w:rPr>
        <w:t xml:space="preserve"> om att ta beredskapslagren i bruk, givet den komplementära naturen hos </w:t>
      </w:r>
      <w:r w:rsidR="00C96A74" w:rsidRPr="001D6560">
        <w:rPr>
          <w:szCs w:val="19"/>
        </w:rPr>
        <w:t>dessa två organ.</w:t>
      </w:r>
      <w:r w:rsidR="00413BDA" w:rsidRPr="001D6560">
        <w:rPr>
          <w:szCs w:val="19"/>
        </w:rPr>
        <w:t xml:space="preserve"> </w:t>
      </w:r>
    </w:p>
    <w:p w:rsidR="006E328B" w:rsidRPr="001D6560" w:rsidRDefault="006E328B" w:rsidP="00227C83"/>
    <w:p w:rsidR="0078500B" w:rsidRPr="001D6560" w:rsidRDefault="0078500B">
      <w:pPr>
        <w:pStyle w:val="RKrubrik"/>
      </w:pPr>
      <w:r w:rsidRPr="001D6560">
        <w:lastRenderedPageBreak/>
        <w:t>Rättslig grund och beslutsförfarande</w:t>
      </w:r>
    </w:p>
    <w:p w:rsidR="00413BDA" w:rsidRPr="001D6560" w:rsidRDefault="00413BDA" w:rsidP="00413BDA">
      <w:pPr>
        <w:pStyle w:val="RKnormal"/>
      </w:pPr>
      <w:r w:rsidRPr="001D6560">
        <w:t>EG-fördragets artikel 100, vilket innebär att rådet beslutar enhälligt och underrättar parlamentet om sitt beslut.</w:t>
      </w:r>
    </w:p>
    <w:p w:rsidR="0078500B" w:rsidRPr="001D6560" w:rsidRDefault="0078500B">
      <w:pPr>
        <w:pStyle w:val="RKnormal"/>
      </w:pPr>
    </w:p>
    <w:p w:rsidR="0078500B" w:rsidRPr="001D6560" w:rsidRDefault="0078500B">
      <w:pPr>
        <w:pStyle w:val="RKrubrik"/>
        <w:rPr>
          <w:i/>
          <w:iCs/>
        </w:rPr>
      </w:pPr>
      <w:r w:rsidRPr="001D6560">
        <w:rPr>
          <w:i/>
          <w:iCs/>
        </w:rPr>
        <w:t>Svensk ståndpunkt</w:t>
      </w:r>
    </w:p>
    <w:p w:rsidR="00C96A74" w:rsidRPr="001D6560" w:rsidRDefault="00C96A74" w:rsidP="00C96A74">
      <w:r w:rsidRPr="001D6560">
        <w:t>Regeringen välkomnar förslagets allmänna mål beträffande beredskapslagrens storlek</w:t>
      </w:r>
      <w:r w:rsidR="006D25B2" w:rsidRPr="001D6560">
        <w:t xml:space="preserve"> liksom nödvändigheten av ett </w:t>
      </w:r>
      <w:r w:rsidR="00EC70D1" w:rsidRPr="001D6560">
        <w:t xml:space="preserve">regelverk </w:t>
      </w:r>
      <w:r w:rsidRPr="001D6560">
        <w:t xml:space="preserve">som säkerställer lagrens tillgänglighet. Regeringen välkomnar också strävan att anpassa regelverket till IEA:s </w:t>
      </w:r>
      <w:r w:rsidR="004E1201" w:rsidRPr="001D6560">
        <w:t>motsvarande regelverk</w:t>
      </w:r>
      <w:r w:rsidRPr="001D6560">
        <w:t xml:space="preserve">. </w:t>
      </w:r>
    </w:p>
    <w:p w:rsidR="00C96A74" w:rsidRPr="001D6560" w:rsidRDefault="00C96A74" w:rsidP="00C96A74"/>
    <w:p w:rsidR="00797D1F" w:rsidRPr="001D6560" w:rsidRDefault="00C96A74" w:rsidP="00C96A74">
      <w:r w:rsidRPr="001D6560">
        <w:t xml:space="preserve">Regeringen anser att nuvarande svenska system </w:t>
      </w:r>
      <w:r w:rsidR="004E1201" w:rsidRPr="001D6560">
        <w:t xml:space="preserve">fungerar väl </w:t>
      </w:r>
      <w:r w:rsidRPr="001D6560">
        <w:t>med Energimyndigheten som tillsynsmyndighet och industri</w:t>
      </w:r>
      <w:r w:rsidR="005759D9" w:rsidRPr="001D6560">
        <w:t>h</w:t>
      </w:r>
      <w:r w:rsidRPr="001D6560">
        <w:t xml:space="preserve">ållna beredskapslager </w:t>
      </w:r>
      <w:r w:rsidR="004E1201" w:rsidRPr="001D6560">
        <w:t xml:space="preserve">som är integrerade med de kommersiella lagren. Systemet </w:t>
      </w:r>
      <w:r w:rsidRPr="001D6560">
        <w:t xml:space="preserve">är kostnadseffektivt, kan övervakas, och resulterar i god tillgänglighet. Regeringen </w:t>
      </w:r>
      <w:r w:rsidR="00EC70D1" w:rsidRPr="001D6560">
        <w:t xml:space="preserve">konstaterar </w:t>
      </w:r>
      <w:r w:rsidR="004E1201" w:rsidRPr="001D6560">
        <w:t xml:space="preserve">således </w:t>
      </w:r>
      <w:r w:rsidR="00EC70D1" w:rsidRPr="001D6560">
        <w:t xml:space="preserve">att svenska systemet i stort redan uppnår </w:t>
      </w:r>
      <w:r w:rsidR="00714F52" w:rsidRPr="001D6560">
        <w:t>förslagets effektmål</w:t>
      </w:r>
      <w:r w:rsidR="006E328B" w:rsidRPr="001D6560">
        <w:t xml:space="preserve">. Samtidigt konstateras att </w:t>
      </w:r>
      <w:r w:rsidR="00EC70D1" w:rsidRPr="001D6560">
        <w:t xml:space="preserve">förslaget </w:t>
      </w:r>
      <w:r w:rsidR="006E328B" w:rsidRPr="001D6560">
        <w:t xml:space="preserve">i dess nuvarande form </w:t>
      </w:r>
      <w:r w:rsidR="000749A6" w:rsidRPr="001D6560">
        <w:t xml:space="preserve">skulle omöjliggöra </w:t>
      </w:r>
      <w:r w:rsidR="00EC70D1" w:rsidRPr="001D6560">
        <w:t xml:space="preserve">för Sverige att </w:t>
      </w:r>
      <w:r w:rsidR="006E328B" w:rsidRPr="001D6560">
        <w:t xml:space="preserve">bibehålla sitt </w:t>
      </w:r>
      <w:r w:rsidR="00EC70D1" w:rsidRPr="001D6560">
        <w:t>nuvarande system</w:t>
      </w:r>
      <w:r w:rsidR="00974C31" w:rsidRPr="001D6560">
        <w:t xml:space="preserve">. </w:t>
      </w:r>
    </w:p>
    <w:p w:rsidR="00797D1F" w:rsidRPr="001D6560" w:rsidRDefault="00797D1F" w:rsidP="00C96A74"/>
    <w:p w:rsidR="00BE2105" w:rsidRPr="001D6560" w:rsidRDefault="00567FB6" w:rsidP="00C96A74">
      <w:r w:rsidRPr="001D6560">
        <w:t xml:space="preserve">Regeringen anser </w:t>
      </w:r>
      <w:r w:rsidR="000749A6" w:rsidRPr="001D6560">
        <w:t xml:space="preserve">således </w:t>
      </w:r>
      <w:r w:rsidRPr="001D6560">
        <w:t xml:space="preserve">att </w:t>
      </w:r>
      <w:r w:rsidR="006A4412" w:rsidRPr="001D6560">
        <w:t>både den modell som föreslås och den som Sverig</w:t>
      </w:r>
      <w:r w:rsidR="006E328B" w:rsidRPr="001D6560">
        <w:t>e tillämpar idag är tillräckliga</w:t>
      </w:r>
      <w:r w:rsidR="006A4412" w:rsidRPr="001D6560">
        <w:t xml:space="preserve"> för att säkerställa </w:t>
      </w:r>
      <w:r w:rsidR="006E328B" w:rsidRPr="001D6560">
        <w:t xml:space="preserve">de mål förslaget syftar till. </w:t>
      </w:r>
      <w:r w:rsidR="006A4412" w:rsidRPr="001D6560">
        <w:t xml:space="preserve">Regeringen anser däremot </w:t>
      </w:r>
      <w:r w:rsidR="000749A6" w:rsidRPr="001D6560">
        <w:t xml:space="preserve">inte </w:t>
      </w:r>
      <w:r w:rsidR="006A4412" w:rsidRPr="001D6560">
        <w:t xml:space="preserve">att förslaget </w:t>
      </w:r>
      <w:r w:rsidRPr="001D6560">
        <w:t xml:space="preserve">är proportionerligt </w:t>
      </w:r>
      <w:r w:rsidR="00933EAF" w:rsidRPr="001D6560">
        <w:t xml:space="preserve">för </w:t>
      </w:r>
      <w:r w:rsidR="004E1201" w:rsidRPr="001D6560">
        <w:t xml:space="preserve">medlemsstater med </w:t>
      </w:r>
      <w:r w:rsidR="00714F52" w:rsidRPr="001D6560">
        <w:t xml:space="preserve">väl </w:t>
      </w:r>
      <w:r w:rsidR="004E1201" w:rsidRPr="001D6560">
        <w:t xml:space="preserve">fungerande system </w:t>
      </w:r>
      <w:r w:rsidR="006A4412" w:rsidRPr="001D6560">
        <w:t xml:space="preserve">som </w:t>
      </w:r>
      <w:r w:rsidR="006E328B" w:rsidRPr="001D6560">
        <w:t xml:space="preserve">redan </w:t>
      </w:r>
      <w:r w:rsidR="006A4412" w:rsidRPr="001D6560">
        <w:t>uppnår målen</w:t>
      </w:r>
      <w:r w:rsidR="005759D9" w:rsidRPr="001D6560">
        <w:t>. K</w:t>
      </w:r>
      <w:r w:rsidR="006A4412" w:rsidRPr="001D6560">
        <w:t xml:space="preserve">ostnaderna </w:t>
      </w:r>
      <w:r w:rsidRPr="001D6560">
        <w:t xml:space="preserve">för </w:t>
      </w:r>
      <w:r w:rsidR="006E328B" w:rsidRPr="001D6560">
        <w:t xml:space="preserve">ett system baserat på </w:t>
      </w:r>
      <w:r w:rsidRPr="001D6560">
        <w:t xml:space="preserve">fysiskt </w:t>
      </w:r>
      <w:r w:rsidR="006E328B" w:rsidRPr="001D6560">
        <w:t xml:space="preserve">skilda lager </w:t>
      </w:r>
      <w:r w:rsidR="006A4412" w:rsidRPr="001D6560">
        <w:t xml:space="preserve">och </w:t>
      </w:r>
      <w:r w:rsidRPr="001D6560">
        <w:t>inrätta</w:t>
      </w:r>
      <w:r w:rsidR="006E328B" w:rsidRPr="001D6560">
        <w:t>ndet av</w:t>
      </w:r>
      <w:r w:rsidRPr="001D6560">
        <w:t xml:space="preserve"> </w:t>
      </w:r>
      <w:r w:rsidR="006A4412" w:rsidRPr="001D6560">
        <w:t xml:space="preserve">en central lagringsenhet riskerar bli </w:t>
      </w:r>
      <w:r w:rsidR="00A80A1A" w:rsidRPr="001D6560">
        <w:t>betydande</w:t>
      </w:r>
      <w:r w:rsidR="006A4412" w:rsidRPr="001D6560">
        <w:t xml:space="preserve">. Regeringen </w:t>
      </w:r>
      <w:r w:rsidR="00CE30CD" w:rsidRPr="001D6560">
        <w:t xml:space="preserve">kommer därför i den fortsatta behandlingen verka för </w:t>
      </w:r>
      <w:r w:rsidRPr="001D6560">
        <w:t xml:space="preserve">att </w:t>
      </w:r>
      <w:r w:rsidR="006A4412" w:rsidRPr="001D6560">
        <w:t xml:space="preserve">direktivet ska tillåta </w:t>
      </w:r>
      <w:r w:rsidRPr="001D6560">
        <w:t>medlem</w:t>
      </w:r>
      <w:r w:rsidR="00974C31" w:rsidRPr="001D6560">
        <w:t xml:space="preserve">sstaterna </w:t>
      </w:r>
      <w:r w:rsidR="000749A6" w:rsidRPr="001D6560">
        <w:t xml:space="preserve">viss </w:t>
      </w:r>
      <w:r w:rsidR="00797D1F" w:rsidRPr="001D6560">
        <w:t xml:space="preserve">nationell anpassning </w:t>
      </w:r>
      <w:r w:rsidR="00A80A1A" w:rsidRPr="001D6560">
        <w:t xml:space="preserve">i valet av metoder </w:t>
      </w:r>
      <w:r w:rsidR="00797D1F" w:rsidRPr="001D6560">
        <w:t xml:space="preserve">för att uppnå </w:t>
      </w:r>
      <w:r w:rsidRPr="001D6560">
        <w:t>de väl motiverade effektmål</w:t>
      </w:r>
      <w:r w:rsidR="00797D1F" w:rsidRPr="001D6560">
        <w:t>en</w:t>
      </w:r>
      <w:r w:rsidRPr="001D6560">
        <w:t xml:space="preserve">. </w:t>
      </w:r>
    </w:p>
    <w:p w:rsidR="00BE2105" w:rsidRPr="001D6560" w:rsidRDefault="00BE2105" w:rsidP="00C96A74"/>
    <w:p w:rsidR="00BE2105" w:rsidRPr="001D6560" w:rsidRDefault="00567FB6" w:rsidP="00C96A74">
      <w:r w:rsidRPr="001D6560">
        <w:t>R</w:t>
      </w:r>
      <w:r w:rsidR="00974C31" w:rsidRPr="001D6560">
        <w:t xml:space="preserve">egeringen anser </w:t>
      </w:r>
      <w:r w:rsidR="00BE2105" w:rsidRPr="001D6560">
        <w:t>att de föreslagna mekanismerna och förhållandet till IEA i en krissituation är väl motiverade</w:t>
      </w:r>
      <w:r w:rsidR="00933EAF" w:rsidRPr="001D6560">
        <w:t xml:space="preserve"> och angelägna</w:t>
      </w:r>
      <w:r w:rsidR="00BE2105" w:rsidRPr="001D6560">
        <w:t xml:space="preserve">. Regeringen anser dock att anpassningen till IEAs regelverk kan drivas längre </w:t>
      </w:r>
      <w:r w:rsidR="006D25B2" w:rsidRPr="001D6560">
        <w:t>för att m</w:t>
      </w:r>
      <w:r w:rsidR="00A80A1A" w:rsidRPr="001D6560">
        <w:t xml:space="preserve">inska den administrativa bördan för både företag och </w:t>
      </w:r>
      <w:r w:rsidR="006D25B2" w:rsidRPr="001D6560">
        <w:t xml:space="preserve"> </w:t>
      </w:r>
      <w:r w:rsidR="00A80A1A" w:rsidRPr="001D6560">
        <w:t>offentliga organ.</w:t>
      </w:r>
    </w:p>
    <w:p w:rsidR="00BE2105" w:rsidRPr="001D6560" w:rsidRDefault="00BE2105" w:rsidP="00C96A74"/>
    <w:p w:rsidR="0078500B" w:rsidRPr="001D6560" w:rsidRDefault="0078500B">
      <w:pPr>
        <w:pStyle w:val="RKrubrik"/>
      </w:pPr>
      <w:r w:rsidRPr="001D6560">
        <w:t>Europaparlamentets inställning</w:t>
      </w:r>
    </w:p>
    <w:p w:rsidR="0078500B" w:rsidRPr="001D6560" w:rsidRDefault="00933EAF">
      <w:pPr>
        <w:pStyle w:val="RKnormal"/>
      </w:pPr>
      <w:r w:rsidRPr="001D6560">
        <w:t>Europaparlamentets inställning är</w:t>
      </w:r>
      <w:r w:rsidR="00A7573C" w:rsidRPr="001D6560">
        <w:t xml:space="preserve"> ännu</w:t>
      </w:r>
      <w:r w:rsidRPr="001D6560">
        <w:t xml:space="preserve"> inte känd.</w:t>
      </w:r>
    </w:p>
    <w:p w:rsidR="006E328B" w:rsidRPr="001D6560" w:rsidRDefault="006E328B">
      <w:pPr>
        <w:pStyle w:val="RKnormal"/>
      </w:pPr>
    </w:p>
    <w:p w:rsidR="0078500B" w:rsidRPr="001D6560" w:rsidRDefault="0078500B">
      <w:pPr>
        <w:pStyle w:val="RKrubrik"/>
        <w:rPr>
          <w:i/>
          <w:iCs/>
        </w:rPr>
      </w:pPr>
      <w:r w:rsidRPr="001D6560">
        <w:rPr>
          <w:i/>
          <w:iCs/>
        </w:rPr>
        <w:t>Förslaget</w:t>
      </w:r>
    </w:p>
    <w:p w:rsidR="00CE30CD" w:rsidRPr="001D6560" w:rsidRDefault="00A7573C">
      <w:pPr>
        <w:pStyle w:val="RKnormal"/>
      </w:pPr>
      <w:r w:rsidRPr="001D6560">
        <w:rPr>
          <w:szCs w:val="19"/>
        </w:rPr>
        <w:t xml:space="preserve">Medlemsstaterna föreslås </w:t>
      </w:r>
      <w:r w:rsidR="006E328B" w:rsidRPr="001D6560">
        <w:rPr>
          <w:szCs w:val="19"/>
        </w:rPr>
        <w:t xml:space="preserve">åläggas att </w:t>
      </w:r>
      <w:r w:rsidRPr="001D6560">
        <w:t>hålla beredskapslager motsvarande 90 dagars import eller 70 dagars konsumtion, beroende på vilken mängd som är störst. För Sverige liksom flertalet medlemsstater innebär det i stort oförändrad nivå jämfört med nu gällande lag. Förslaget innebär att varje enskilt beredskapslager ska redovisas separat</w:t>
      </w:r>
      <w:r w:rsidR="005759D9" w:rsidRPr="001D6560">
        <w:t xml:space="preserve"> och per lagringsplats. Detta </w:t>
      </w:r>
      <w:r w:rsidRPr="001D6560">
        <w:t xml:space="preserve">omöjliggör </w:t>
      </w:r>
      <w:r w:rsidR="005759D9" w:rsidRPr="001D6560">
        <w:t xml:space="preserve">troligen för Sverige att tillämpa nu gällande </w:t>
      </w:r>
      <w:r w:rsidRPr="001D6560">
        <w:t>system</w:t>
      </w:r>
      <w:r w:rsidR="005759D9" w:rsidRPr="001D6560">
        <w:t xml:space="preserve"> med </w:t>
      </w:r>
      <w:r w:rsidRPr="001D6560">
        <w:t xml:space="preserve">beredskapsvolymerna integrerade </w:t>
      </w:r>
      <w:r w:rsidR="005759D9" w:rsidRPr="001D6560">
        <w:t xml:space="preserve">i </w:t>
      </w:r>
      <w:r w:rsidRPr="001D6560">
        <w:t>de kommersiella lagren</w:t>
      </w:r>
      <w:r w:rsidR="006E328B" w:rsidRPr="001D6560">
        <w:t>, och rapportera</w:t>
      </w:r>
      <w:r w:rsidR="005759D9" w:rsidRPr="001D6560">
        <w:t>de</w:t>
      </w:r>
      <w:r w:rsidR="006E328B" w:rsidRPr="001D6560">
        <w:t xml:space="preserve"> som totalt lagrade volymer</w:t>
      </w:r>
      <w:r w:rsidRPr="001D6560">
        <w:t xml:space="preserve">. </w:t>
      </w:r>
    </w:p>
    <w:p w:rsidR="00CE30CD" w:rsidRPr="001D6560" w:rsidRDefault="00CE30CD">
      <w:pPr>
        <w:pStyle w:val="RKnormal"/>
      </w:pPr>
    </w:p>
    <w:p w:rsidR="0078500B" w:rsidRPr="001D6560" w:rsidRDefault="00A7573C">
      <w:pPr>
        <w:pStyle w:val="RKnormal"/>
      </w:pPr>
      <w:r w:rsidRPr="001D6560">
        <w:t>Vidare föreslås att medlemsstater som</w:t>
      </w:r>
      <w:r w:rsidR="006E328B" w:rsidRPr="001D6560">
        <w:t>, likt Sverige,</w:t>
      </w:r>
      <w:r w:rsidRPr="001D6560">
        <w:t xml:space="preserve"> ålägger ekonomiska aktörer lagringsskyldighet ska </w:t>
      </w:r>
      <w:r w:rsidR="006E328B" w:rsidRPr="001D6560">
        <w:t>in</w:t>
      </w:r>
      <w:r w:rsidRPr="001D6560">
        <w:t>rätta en s.k. central lagringsenhet. Denna icke-vinstdrivande organisation ska administrera beredskapslagren och är skyldig att pröva önskemål om delegering av lagringsplikt från ekonomiska aktörer från både den egna och andra medlemsstater. Lagringsenheten är skyldig att acceptera sådan delegering, d.v.s. överta lagringsplikten, från egna landets aktörer, men kan neka annat lands aktör om lagringskapacitet saknas. Lagringsenheten får inte diskriminera enskilda aktörer eller kräva högre ersättning än de</w:t>
      </w:r>
      <w:r w:rsidR="006E328B" w:rsidRPr="001D6560">
        <w:t>ss faktiska kostnad</w:t>
      </w:r>
      <w:r w:rsidRPr="001D6560">
        <w:t xml:space="preserve">. </w:t>
      </w:r>
      <w:r w:rsidRPr="001D6560">
        <w:rPr>
          <w:szCs w:val="19"/>
        </w:rPr>
        <w:t>Förslaget är i vissa delar en anpassning av EU:s regelverk till IEAs motsvarande regelverk, och i synnerhet mekanismerna för gemensamt agerande vid internationellt beslut om ibruktagande av lagren.</w:t>
      </w:r>
    </w:p>
    <w:p w:rsidR="0078500B" w:rsidRPr="001D6560" w:rsidRDefault="0078500B">
      <w:pPr>
        <w:pStyle w:val="RKrubrik"/>
        <w:rPr>
          <w:i/>
          <w:iCs/>
        </w:rPr>
      </w:pPr>
      <w:r w:rsidRPr="001D6560">
        <w:rPr>
          <w:i/>
          <w:iCs/>
        </w:rPr>
        <w:t>Gällande svenska regler och förslagets effekter på dessa</w:t>
      </w:r>
    </w:p>
    <w:p w:rsidR="0078500B" w:rsidRPr="001D6560" w:rsidRDefault="00A7573C">
      <w:pPr>
        <w:pStyle w:val="RKnormal"/>
      </w:pPr>
      <w:r w:rsidRPr="001D6560">
        <w:t xml:space="preserve">Direktivet kan få effekter på svensk lagstiftning, främst Lagen om beredskapslagring av olja och kol (Lag 1984:1 049). </w:t>
      </w:r>
      <w:r w:rsidR="002F2343" w:rsidRPr="001D6560">
        <w:t xml:space="preserve">I den händelse att en central lagringsenhet blir obligatoriskt måste troligen sådan inrättas som självständig organisation. </w:t>
      </w:r>
      <w:r w:rsidR="00584648" w:rsidRPr="001D6560">
        <w:t xml:space="preserve">Den föreslagna lagringsenheten föreslås flera uppgifter som idag sköts av de lagringspliktiga ekonomiska aktörerna. Om dessa uppgifter framgent ska hanteras av den centrala lagringsenheten krävs att detta regleras genom anvisningar till organisationen. </w:t>
      </w:r>
    </w:p>
    <w:p w:rsidR="0078500B" w:rsidRPr="001D6560" w:rsidRDefault="0078500B">
      <w:pPr>
        <w:pStyle w:val="RKrubrik"/>
      </w:pPr>
      <w:r w:rsidRPr="001D6560">
        <w:t>Ekonomiska konsekvenser</w:t>
      </w:r>
    </w:p>
    <w:p w:rsidR="0078500B" w:rsidRPr="001D6560" w:rsidRDefault="00F67D73">
      <w:pPr>
        <w:pStyle w:val="RKnormal"/>
      </w:pPr>
      <w:r w:rsidRPr="001D6560">
        <w:t>Om direktivet inte medge</w:t>
      </w:r>
      <w:r w:rsidR="00584648" w:rsidRPr="001D6560">
        <w:t>r</w:t>
      </w:r>
      <w:r w:rsidRPr="001D6560">
        <w:t xml:space="preserve"> industriellt hållna beredskapslagren som är integrerade med kommersiella lager krävs sannolikt ytterliggare lagerkapacitet</w:t>
      </w:r>
      <w:r w:rsidR="00D150C5" w:rsidRPr="001D6560">
        <w:t xml:space="preserve"> utöver den som finns i Sverige idag</w:t>
      </w:r>
      <w:r w:rsidRPr="001D6560">
        <w:t xml:space="preserve">. Kostnaden för </w:t>
      </w:r>
      <w:r w:rsidR="00D150C5" w:rsidRPr="001D6560">
        <w:t xml:space="preserve">detta </w:t>
      </w:r>
      <w:r w:rsidRPr="001D6560">
        <w:t>kan inte uppskattas</w:t>
      </w:r>
      <w:r w:rsidR="00A80A1A" w:rsidRPr="001D6560">
        <w:t xml:space="preserve"> i dagsläget</w:t>
      </w:r>
      <w:r w:rsidRPr="001D6560">
        <w:t>.</w:t>
      </w:r>
      <w:r w:rsidR="00A80A1A" w:rsidRPr="001D6560">
        <w:t xml:space="preserve"> Om Sverige tvingas inrätta en central lagringsenhet </w:t>
      </w:r>
      <w:r w:rsidR="00E57CF4" w:rsidRPr="001D6560">
        <w:t xml:space="preserve">måste sannolikt en sådan finansieras med offentliga medel. </w:t>
      </w:r>
    </w:p>
    <w:sectPr w:rsidR="0078500B" w:rsidRPr="001D6560">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31AF" w:rsidRPr="001D6560" w:rsidRDefault="000C31AF">
      <w:r w:rsidRPr="001D6560">
        <w:separator/>
      </w:r>
    </w:p>
  </w:endnote>
  <w:endnote w:type="continuationSeparator" w:id="0">
    <w:p w:rsidR="000C31AF" w:rsidRPr="001D6560" w:rsidRDefault="000C31AF">
      <w:r w:rsidRPr="001D65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31AF" w:rsidRPr="001D6560" w:rsidRDefault="000C31AF">
      <w:r w:rsidRPr="001D6560">
        <w:separator/>
      </w:r>
    </w:p>
  </w:footnote>
  <w:footnote w:type="continuationSeparator" w:id="0">
    <w:p w:rsidR="000C31AF" w:rsidRPr="001D6560" w:rsidRDefault="000C31AF">
      <w:r w:rsidRPr="001D656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25B2" w:rsidRPr="001D6560" w:rsidRDefault="006D25B2">
    <w:pPr>
      <w:pStyle w:val="Sidhuvud"/>
      <w:framePr w:wrap="around" w:vAnchor="text" w:hAnchor="margin" w:xAlign="right" w:y="1"/>
      <w:rPr>
        <w:rStyle w:val="Sidnummer"/>
      </w:rPr>
    </w:pPr>
    <w:r w:rsidRPr="001D6560">
      <w:rPr>
        <w:rStyle w:val="Sidnummer"/>
      </w:rPr>
      <w:fldChar w:fldCharType="begin" w:fldLock="1"/>
    </w:r>
    <w:r w:rsidRPr="001D6560">
      <w:rPr>
        <w:rStyle w:val="Sidnummer"/>
      </w:rPr>
      <w:instrText xml:space="preserve">PAGE  </w:instrText>
    </w:r>
    <w:r w:rsidRPr="001D6560">
      <w:rPr>
        <w:rStyle w:val="Sidnummer"/>
      </w:rPr>
      <w:fldChar w:fldCharType="separate"/>
    </w:r>
    <w:r w:rsidR="0073640A" w:rsidRPr="001D6560">
      <w:rPr>
        <w:rStyle w:val="Sidnummer"/>
      </w:rPr>
      <w:t>2</w:t>
    </w:r>
    <w:r w:rsidRPr="001D6560">
      <w:rPr>
        <w:rStyle w:val="Sidnummer"/>
      </w:rPr>
      <w:fldChar w:fldCharType="end"/>
    </w:r>
  </w:p>
  <w:p w:rsidR="006D25B2" w:rsidRPr="001D6560" w:rsidRDefault="006D25B2">
    <w:pPr>
      <w:pStyle w:val="Sidhuvud"/>
      <w:ind w:right="360"/>
    </w:pPr>
  </w:p>
  <w:p w:rsidR="006D25B2" w:rsidRPr="001D6560" w:rsidRDefault="006D25B2">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25B2" w:rsidRPr="001D6560" w:rsidRDefault="006D25B2">
    <w:pPr>
      <w:pStyle w:val="Sidhuvud"/>
      <w:framePr w:wrap="around" w:vAnchor="text" w:hAnchor="margin" w:xAlign="right" w:y="1"/>
      <w:rPr>
        <w:rStyle w:val="Sidnummer"/>
      </w:rPr>
    </w:pPr>
    <w:r w:rsidRPr="001D6560">
      <w:rPr>
        <w:rStyle w:val="Sidnummer"/>
      </w:rPr>
      <w:fldChar w:fldCharType="begin" w:fldLock="1"/>
    </w:r>
    <w:r w:rsidRPr="001D6560">
      <w:rPr>
        <w:rStyle w:val="Sidnummer"/>
      </w:rPr>
      <w:instrText xml:space="preserve">PAGE  </w:instrText>
    </w:r>
    <w:r w:rsidRPr="001D6560">
      <w:rPr>
        <w:rStyle w:val="Sidnummer"/>
      </w:rPr>
      <w:fldChar w:fldCharType="separate"/>
    </w:r>
    <w:r w:rsidR="0073640A" w:rsidRPr="001D6560">
      <w:rPr>
        <w:rStyle w:val="Sidnummer"/>
      </w:rPr>
      <w:t>3</w:t>
    </w:r>
    <w:r w:rsidRPr="001D6560">
      <w:rPr>
        <w:rStyle w:val="Sidnummer"/>
      </w:rPr>
      <w:fldChar w:fldCharType="end"/>
    </w:r>
  </w:p>
  <w:p w:rsidR="006D25B2" w:rsidRPr="001D6560" w:rsidRDefault="006D25B2">
    <w:pPr>
      <w:pStyle w:val="Sidhuvud"/>
      <w:ind w:right="360"/>
    </w:pPr>
  </w:p>
  <w:p w:rsidR="006D25B2" w:rsidRPr="001D6560" w:rsidRDefault="006D25B2">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25B2" w:rsidRPr="001D6560" w:rsidRDefault="001D6560">
    <w:pPr>
      <w:framePr w:w="2948" w:h="1321" w:hRule="exact" w:wrap="notBeside" w:vAnchor="page" w:hAnchor="page" w:x="1362" w:y="653"/>
    </w:pPr>
    <w:r w:rsidRPr="001D6560">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6D25B2" w:rsidRPr="001D6560" w:rsidRDefault="006D25B2">
    <w:pPr>
      <w:pStyle w:val="RKrubrik"/>
      <w:keepNext w:val="0"/>
      <w:tabs>
        <w:tab w:val="clear" w:pos="1134"/>
        <w:tab w:val="clear" w:pos="2835"/>
      </w:tabs>
      <w:spacing w:before="0" w:after="0" w:line="320" w:lineRule="atLeast"/>
      <w:rPr>
        <w:bCs/>
      </w:rPr>
    </w:pPr>
  </w:p>
  <w:p w:rsidR="006D25B2" w:rsidRPr="001D6560" w:rsidRDefault="006D25B2">
    <w:pPr>
      <w:rPr>
        <w:rFonts w:ascii="TradeGothic" w:hAnsi="TradeGothic"/>
        <w:b/>
        <w:bCs/>
        <w:spacing w:val="12"/>
        <w:sz w:val="22"/>
      </w:rPr>
    </w:pPr>
  </w:p>
  <w:p w:rsidR="006D25B2" w:rsidRPr="001D6560" w:rsidRDefault="006D25B2">
    <w:pPr>
      <w:pStyle w:val="RKrubrik"/>
      <w:keepNext w:val="0"/>
      <w:tabs>
        <w:tab w:val="clear" w:pos="1134"/>
        <w:tab w:val="clear" w:pos="2835"/>
      </w:tabs>
      <w:spacing w:before="0" w:after="0" w:line="320" w:lineRule="atLeast"/>
      <w:rPr>
        <w:bCs/>
      </w:rPr>
    </w:pPr>
  </w:p>
  <w:p w:rsidR="006D25B2" w:rsidRPr="001D6560" w:rsidRDefault="006D25B2">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720227"/>
    <w:rsid w:val="000749A6"/>
    <w:rsid w:val="000C31AF"/>
    <w:rsid w:val="000C7F21"/>
    <w:rsid w:val="001D6560"/>
    <w:rsid w:val="00227C83"/>
    <w:rsid w:val="002F2343"/>
    <w:rsid w:val="00413BDA"/>
    <w:rsid w:val="004E1201"/>
    <w:rsid w:val="00567FB6"/>
    <w:rsid w:val="005759D9"/>
    <w:rsid w:val="00584648"/>
    <w:rsid w:val="006A4412"/>
    <w:rsid w:val="006D25B2"/>
    <w:rsid w:val="006E328B"/>
    <w:rsid w:val="00714F52"/>
    <w:rsid w:val="00720227"/>
    <w:rsid w:val="0073640A"/>
    <w:rsid w:val="0078500B"/>
    <w:rsid w:val="00797D1F"/>
    <w:rsid w:val="007E5994"/>
    <w:rsid w:val="00863281"/>
    <w:rsid w:val="00933EAF"/>
    <w:rsid w:val="0095282A"/>
    <w:rsid w:val="00974C31"/>
    <w:rsid w:val="00A7573C"/>
    <w:rsid w:val="00A80A1A"/>
    <w:rsid w:val="00A94CA5"/>
    <w:rsid w:val="00B105CB"/>
    <w:rsid w:val="00B66786"/>
    <w:rsid w:val="00B91E6B"/>
    <w:rsid w:val="00BE2105"/>
    <w:rsid w:val="00C96A74"/>
    <w:rsid w:val="00CE30CD"/>
    <w:rsid w:val="00D150C5"/>
    <w:rsid w:val="00E57CF4"/>
    <w:rsid w:val="00EC70D1"/>
    <w:rsid w:val="00F67D73"/>
    <w:rsid w:val="00FE5C70"/>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BCB7AA29-E43F-45E1-88E4-55CE6B54A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HuvudRubrik">
    <w:name w:val="HuvudRubrik"/>
    <w:basedOn w:val="Normal"/>
    <w:rsid w:val="00227C83"/>
    <w:pPr>
      <w:suppressAutoHyphens/>
      <w:overflowPunct/>
      <w:autoSpaceDE/>
      <w:autoSpaceDN/>
      <w:adjustRightInd/>
      <w:spacing w:line="400" w:lineRule="exact"/>
      <w:textAlignment w:val="auto"/>
    </w:pPr>
    <w:rPr>
      <w:rFonts w:ascii="Times New Roman" w:hAnsi="Times New Roman"/>
      <w:sz w:val="36"/>
      <w:lang w:eastAsia="sv-SE"/>
    </w:rPr>
  </w:style>
  <w:style w:type="paragraph" w:customStyle="1" w:styleId="BetUnderLogga">
    <w:name w:val="BetUnderLogga"/>
    <w:basedOn w:val="Normal"/>
    <w:rsid w:val="00227C83"/>
    <w:pPr>
      <w:overflowPunct/>
      <w:autoSpaceDE/>
      <w:autoSpaceDN/>
      <w:adjustRightInd/>
      <w:spacing w:line="360" w:lineRule="atLeast"/>
      <w:textAlignment w:val="auto"/>
    </w:pPr>
    <w:rPr>
      <w:rFonts w:ascii="Times New Roman" w:hAnsi="Times New Roman"/>
      <w:sz w:val="22"/>
      <w:lang w:eastAsia="sv-SE"/>
    </w:rPr>
  </w:style>
  <w:style w:type="character" w:customStyle="1" w:styleId="RKnormalChar">
    <w:name w:val="RKnormal Char"/>
    <w:basedOn w:val="Standardstycketeckensnitt"/>
    <w:link w:val="RKnormal"/>
    <w:rsid w:val="00413BDA"/>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748</Words>
  <Characters>4836</Characters>
  <Application>Microsoft Office Word</Application>
  <DocSecurity>4</DocSecurity>
  <Lines>130</Lines>
  <Paragraphs>33</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2009-02-04T13:47:00Z</cp:lastPrinted>
  <dcterms:created xsi:type="dcterms:W3CDTF">2025-12-17T19:28:00Z</dcterms:created>
  <dcterms:modified xsi:type="dcterms:W3CDTF">2025-12-17T19:28:00Z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ies>
</file>