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791C400B"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5A70AC">
              <w:rPr>
                <w:b/>
                <w:sz w:val="22"/>
                <w:szCs w:val="22"/>
              </w:rPr>
              <w:t>18</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5E7E15AF"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4D031E">
              <w:rPr>
                <w:sz w:val="22"/>
                <w:szCs w:val="22"/>
              </w:rPr>
              <w:t>1</w:t>
            </w:r>
            <w:r w:rsidR="005A70AC">
              <w:rPr>
                <w:sz w:val="22"/>
                <w:szCs w:val="22"/>
              </w:rPr>
              <w:t>2</w:t>
            </w:r>
            <w:r w:rsidR="00C26F83" w:rsidRPr="00885BCB">
              <w:rPr>
                <w:sz w:val="22"/>
                <w:szCs w:val="22"/>
              </w:rPr>
              <w:t>-</w:t>
            </w:r>
            <w:r w:rsidR="005A70AC">
              <w:rPr>
                <w:sz w:val="22"/>
                <w:szCs w:val="22"/>
              </w:rPr>
              <w:t>04</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77DA3373" w:rsidR="00177FF8" w:rsidRPr="00885BCB" w:rsidRDefault="005A70AC" w:rsidP="00231475">
            <w:pPr>
              <w:rPr>
                <w:sz w:val="22"/>
                <w:szCs w:val="22"/>
              </w:rPr>
            </w:pPr>
            <w:r>
              <w:rPr>
                <w:sz w:val="22"/>
                <w:szCs w:val="22"/>
              </w:rPr>
              <w:t>08</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4D4573">
              <w:rPr>
                <w:sz w:val="22"/>
                <w:szCs w:val="22"/>
              </w:rPr>
              <w:t>09.</w:t>
            </w:r>
            <w:r w:rsidR="00455CA4">
              <w:rPr>
                <w:sz w:val="22"/>
                <w:szCs w:val="22"/>
              </w:rPr>
              <w:t>15</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A70AC" w:rsidRPr="002B19B5" w14:paraId="42CEB6EE" w14:textId="77777777" w:rsidTr="00165402">
        <w:tc>
          <w:tcPr>
            <w:tcW w:w="567" w:type="dxa"/>
          </w:tcPr>
          <w:p w14:paraId="328A4BA4" w14:textId="6322F41B" w:rsidR="005A70AC" w:rsidRPr="002B19B5" w:rsidRDefault="005A70AC" w:rsidP="00C5706E">
            <w:pPr>
              <w:tabs>
                <w:tab w:val="left" w:pos="1701"/>
              </w:tabs>
              <w:rPr>
                <w:b/>
                <w:snapToGrid w:val="0"/>
                <w:sz w:val="22"/>
                <w:szCs w:val="22"/>
              </w:rPr>
            </w:pPr>
            <w:r w:rsidRPr="002B19B5">
              <w:rPr>
                <w:b/>
                <w:snapToGrid w:val="0"/>
                <w:sz w:val="22"/>
                <w:szCs w:val="22"/>
              </w:rPr>
              <w:t xml:space="preserve">§ </w:t>
            </w:r>
            <w:r w:rsidR="004D4573">
              <w:rPr>
                <w:b/>
                <w:snapToGrid w:val="0"/>
                <w:sz w:val="22"/>
                <w:szCs w:val="22"/>
              </w:rPr>
              <w:t>1</w:t>
            </w:r>
          </w:p>
        </w:tc>
        <w:tc>
          <w:tcPr>
            <w:tcW w:w="6946" w:type="dxa"/>
            <w:gridSpan w:val="2"/>
          </w:tcPr>
          <w:p w14:paraId="09296A5A" w14:textId="1CA55879" w:rsidR="005A70AC" w:rsidRPr="002B19B5" w:rsidRDefault="005A70AC" w:rsidP="005A70AC">
            <w:pPr>
              <w:tabs>
                <w:tab w:val="left" w:pos="1701"/>
              </w:tabs>
              <w:rPr>
                <w:b/>
                <w:snapToGrid w:val="0"/>
                <w:sz w:val="22"/>
                <w:szCs w:val="22"/>
              </w:rPr>
            </w:pPr>
            <w:r w:rsidRPr="002B19B5">
              <w:rPr>
                <w:b/>
                <w:snapToGrid w:val="0"/>
                <w:sz w:val="22"/>
                <w:szCs w:val="22"/>
              </w:rPr>
              <w:t>Justering av protokoll</w:t>
            </w:r>
            <w:r w:rsidRPr="002B19B5">
              <w:rPr>
                <w:b/>
                <w:snapToGrid w:val="0"/>
                <w:sz w:val="22"/>
                <w:szCs w:val="22"/>
              </w:rPr>
              <w:br/>
            </w:r>
            <w:r w:rsidRPr="002B19B5">
              <w:rPr>
                <w:b/>
                <w:snapToGrid w:val="0"/>
                <w:sz w:val="22"/>
                <w:szCs w:val="22"/>
              </w:rPr>
              <w:br/>
            </w:r>
            <w:r w:rsidRPr="002B19B5">
              <w:rPr>
                <w:bCs/>
                <w:snapToGrid w:val="0"/>
                <w:sz w:val="22"/>
                <w:szCs w:val="22"/>
              </w:rPr>
              <w:t>Utskottet justerade protokoll 2025/26:16.</w:t>
            </w:r>
          </w:p>
          <w:p w14:paraId="7E84AC30" w14:textId="77777777" w:rsidR="005A70AC" w:rsidRPr="002B19B5" w:rsidRDefault="005A70AC" w:rsidP="0091377F">
            <w:pPr>
              <w:tabs>
                <w:tab w:val="left" w:pos="1701"/>
              </w:tabs>
              <w:rPr>
                <w:b/>
                <w:snapToGrid w:val="0"/>
                <w:sz w:val="22"/>
                <w:szCs w:val="22"/>
              </w:rPr>
            </w:pPr>
          </w:p>
        </w:tc>
      </w:tr>
      <w:tr w:rsidR="00E425CD" w:rsidRPr="00090A26" w14:paraId="7FC168ED" w14:textId="77777777" w:rsidTr="00165402">
        <w:tc>
          <w:tcPr>
            <w:tcW w:w="567" w:type="dxa"/>
          </w:tcPr>
          <w:p w14:paraId="7B12EBFE" w14:textId="27E15D2B" w:rsidR="00E425CD" w:rsidRPr="002B19B5" w:rsidRDefault="00E425CD" w:rsidP="00C5706E">
            <w:pPr>
              <w:tabs>
                <w:tab w:val="left" w:pos="1701"/>
              </w:tabs>
              <w:rPr>
                <w:b/>
                <w:snapToGrid w:val="0"/>
                <w:sz w:val="22"/>
                <w:szCs w:val="22"/>
              </w:rPr>
            </w:pPr>
            <w:r w:rsidRPr="002B19B5">
              <w:rPr>
                <w:b/>
                <w:snapToGrid w:val="0"/>
                <w:sz w:val="22"/>
                <w:szCs w:val="22"/>
              </w:rPr>
              <w:t xml:space="preserve">§ </w:t>
            </w:r>
            <w:r w:rsidR="004D4573">
              <w:rPr>
                <w:b/>
                <w:snapToGrid w:val="0"/>
                <w:sz w:val="22"/>
                <w:szCs w:val="22"/>
              </w:rPr>
              <w:t>2</w:t>
            </w:r>
          </w:p>
        </w:tc>
        <w:tc>
          <w:tcPr>
            <w:tcW w:w="6946" w:type="dxa"/>
            <w:gridSpan w:val="2"/>
          </w:tcPr>
          <w:p w14:paraId="04672892" w14:textId="5731A39D" w:rsidR="00E425CD" w:rsidRPr="002B19B5" w:rsidRDefault="00E425CD" w:rsidP="005A70AC">
            <w:pPr>
              <w:tabs>
                <w:tab w:val="left" w:pos="1701"/>
              </w:tabs>
              <w:rPr>
                <w:b/>
                <w:snapToGrid w:val="0"/>
                <w:sz w:val="22"/>
                <w:szCs w:val="22"/>
              </w:rPr>
            </w:pPr>
            <w:r w:rsidRPr="002B19B5">
              <w:rPr>
                <w:b/>
                <w:sz w:val="22"/>
                <w:szCs w:val="22"/>
              </w:rPr>
              <w:t>Utgiftsområde 23 Areella näringar, landsbygd och livsmedel (MJU2)</w:t>
            </w:r>
            <w:r w:rsidRPr="002B19B5">
              <w:rPr>
                <w:b/>
                <w:sz w:val="22"/>
                <w:szCs w:val="22"/>
              </w:rPr>
              <w:br/>
            </w:r>
          </w:p>
          <w:p w14:paraId="01B07A7F" w14:textId="503A79DD" w:rsidR="00E425CD" w:rsidRDefault="00090A26" w:rsidP="005A70AC">
            <w:pPr>
              <w:tabs>
                <w:tab w:val="left" w:pos="1701"/>
              </w:tabs>
              <w:rPr>
                <w:bCs/>
                <w:sz w:val="22"/>
                <w:szCs w:val="22"/>
              </w:rPr>
            </w:pPr>
            <w:r>
              <w:rPr>
                <w:bCs/>
                <w:sz w:val="22"/>
                <w:szCs w:val="22"/>
              </w:rPr>
              <w:t>Utskottet fortsatte beredningen av p</w:t>
            </w:r>
            <w:r w:rsidRPr="00B54E02">
              <w:rPr>
                <w:bCs/>
                <w:sz w:val="22"/>
                <w:szCs w:val="22"/>
              </w:rPr>
              <w:t>roposition 2025/26:1</w:t>
            </w:r>
            <w:r>
              <w:rPr>
                <w:bCs/>
                <w:sz w:val="22"/>
                <w:szCs w:val="22"/>
              </w:rPr>
              <w:t xml:space="preserve"> och motioner.</w:t>
            </w:r>
            <w:r w:rsidRPr="00B54E02">
              <w:rPr>
                <w:bCs/>
                <w:sz w:val="22"/>
                <w:szCs w:val="22"/>
              </w:rPr>
              <w:br/>
            </w:r>
            <w:r>
              <w:rPr>
                <w:bCs/>
                <w:sz w:val="22"/>
                <w:szCs w:val="22"/>
              </w:rPr>
              <w:br/>
              <w:t>Utskottet j</w:t>
            </w:r>
            <w:r w:rsidRPr="00B54E02">
              <w:rPr>
                <w:bCs/>
                <w:sz w:val="22"/>
                <w:szCs w:val="22"/>
              </w:rPr>
              <w:t>uster</w:t>
            </w:r>
            <w:r>
              <w:rPr>
                <w:bCs/>
                <w:sz w:val="22"/>
                <w:szCs w:val="22"/>
              </w:rPr>
              <w:t>ade betänkande 2025/</w:t>
            </w:r>
            <w:proofErr w:type="gramStart"/>
            <w:r>
              <w:rPr>
                <w:bCs/>
                <w:sz w:val="22"/>
                <w:szCs w:val="22"/>
              </w:rPr>
              <w:t>26:MJU</w:t>
            </w:r>
            <w:proofErr w:type="gramEnd"/>
            <w:r>
              <w:rPr>
                <w:bCs/>
                <w:sz w:val="22"/>
                <w:szCs w:val="22"/>
              </w:rPr>
              <w:t>2.</w:t>
            </w:r>
          </w:p>
          <w:p w14:paraId="6E620134" w14:textId="40D513A3" w:rsidR="00090A26" w:rsidRDefault="00090A26" w:rsidP="005A70AC">
            <w:pPr>
              <w:tabs>
                <w:tab w:val="left" w:pos="1701"/>
              </w:tabs>
              <w:rPr>
                <w:bCs/>
                <w:sz w:val="22"/>
                <w:szCs w:val="22"/>
              </w:rPr>
            </w:pPr>
          </w:p>
          <w:p w14:paraId="51033B35" w14:textId="47F01CF7" w:rsidR="002B19B5" w:rsidRPr="00090A26" w:rsidRDefault="00090A26" w:rsidP="005A70AC">
            <w:pPr>
              <w:tabs>
                <w:tab w:val="left" w:pos="1701"/>
              </w:tabs>
              <w:rPr>
                <w:b/>
                <w:snapToGrid w:val="0"/>
                <w:sz w:val="22"/>
                <w:szCs w:val="22"/>
              </w:rPr>
            </w:pPr>
            <w:r w:rsidRPr="00090A26">
              <w:rPr>
                <w:bCs/>
                <w:sz w:val="22"/>
                <w:szCs w:val="22"/>
              </w:rPr>
              <w:t>S-, V-, C- och MP-leda</w:t>
            </w:r>
            <w:r>
              <w:rPr>
                <w:bCs/>
                <w:sz w:val="22"/>
                <w:szCs w:val="22"/>
              </w:rPr>
              <w:t>möterna anmälde särskilda yttranden.</w:t>
            </w:r>
          </w:p>
          <w:p w14:paraId="1FF471E0" w14:textId="6A581AA6" w:rsidR="002B19B5" w:rsidRPr="00090A26" w:rsidRDefault="002B19B5" w:rsidP="005A70AC">
            <w:pPr>
              <w:tabs>
                <w:tab w:val="left" w:pos="1701"/>
              </w:tabs>
              <w:rPr>
                <w:b/>
                <w:snapToGrid w:val="0"/>
                <w:sz w:val="22"/>
                <w:szCs w:val="22"/>
              </w:rPr>
            </w:pPr>
          </w:p>
        </w:tc>
      </w:tr>
      <w:tr w:rsidR="00E425CD" w:rsidRPr="002B19B5" w14:paraId="11D67625" w14:textId="77777777" w:rsidTr="00165402">
        <w:tc>
          <w:tcPr>
            <w:tcW w:w="567" w:type="dxa"/>
          </w:tcPr>
          <w:p w14:paraId="0320B31B" w14:textId="62B2A67A" w:rsidR="00E425CD" w:rsidRPr="002B19B5" w:rsidRDefault="00E425CD" w:rsidP="00C5706E">
            <w:pPr>
              <w:tabs>
                <w:tab w:val="left" w:pos="1701"/>
              </w:tabs>
              <w:rPr>
                <w:b/>
                <w:snapToGrid w:val="0"/>
                <w:sz w:val="22"/>
                <w:szCs w:val="22"/>
              </w:rPr>
            </w:pPr>
            <w:r w:rsidRPr="002B19B5">
              <w:rPr>
                <w:b/>
                <w:snapToGrid w:val="0"/>
                <w:sz w:val="22"/>
                <w:szCs w:val="22"/>
              </w:rPr>
              <w:t xml:space="preserve">§ </w:t>
            </w:r>
            <w:r w:rsidR="004D4573">
              <w:rPr>
                <w:b/>
                <w:snapToGrid w:val="0"/>
                <w:sz w:val="22"/>
                <w:szCs w:val="22"/>
              </w:rPr>
              <w:t>3</w:t>
            </w:r>
          </w:p>
        </w:tc>
        <w:tc>
          <w:tcPr>
            <w:tcW w:w="6946" w:type="dxa"/>
            <w:gridSpan w:val="2"/>
          </w:tcPr>
          <w:p w14:paraId="1527DE72" w14:textId="04033620" w:rsidR="00E425CD" w:rsidRDefault="00E425CD" w:rsidP="005A70AC">
            <w:pPr>
              <w:tabs>
                <w:tab w:val="left" w:pos="1701"/>
              </w:tabs>
              <w:rPr>
                <w:b/>
                <w:sz w:val="22"/>
                <w:szCs w:val="22"/>
              </w:rPr>
            </w:pPr>
            <w:r w:rsidRPr="002B19B5">
              <w:rPr>
                <w:b/>
                <w:sz w:val="22"/>
                <w:szCs w:val="22"/>
              </w:rPr>
              <w:t>Förslag till Europaparlamentets och rådets beslut om ändring av beslut (EU) 2015/1814 vad gäller reserven för marknadsstabilitet för byggnads- och vägtransportsektorerna samt ytterligare sektorer</w:t>
            </w:r>
          </w:p>
          <w:p w14:paraId="0A402340" w14:textId="5FBF934C" w:rsidR="002B19B5" w:rsidRDefault="002B19B5" w:rsidP="005A70AC">
            <w:pPr>
              <w:tabs>
                <w:tab w:val="left" w:pos="1701"/>
              </w:tabs>
              <w:rPr>
                <w:b/>
                <w:sz w:val="22"/>
                <w:szCs w:val="22"/>
              </w:rPr>
            </w:pPr>
          </w:p>
          <w:p w14:paraId="558705F9" w14:textId="77777777" w:rsidR="005551CD" w:rsidRPr="002333F9" w:rsidRDefault="005551CD" w:rsidP="005551CD">
            <w:pPr>
              <w:tabs>
                <w:tab w:val="left" w:pos="1701"/>
              </w:tabs>
              <w:rPr>
                <w:bCs/>
                <w:sz w:val="22"/>
                <w:szCs w:val="22"/>
              </w:rPr>
            </w:pPr>
            <w:r w:rsidRPr="002333F9">
              <w:rPr>
                <w:bCs/>
                <w:sz w:val="22"/>
                <w:szCs w:val="22"/>
              </w:rPr>
              <w:t xml:space="preserve">Utskottet inledde subsidiaritetsprövningen av </w:t>
            </w:r>
            <w:proofErr w:type="gramStart"/>
            <w:r w:rsidRPr="002333F9">
              <w:rPr>
                <w:bCs/>
                <w:sz w:val="22"/>
                <w:szCs w:val="22"/>
              </w:rPr>
              <w:t>COM(</w:t>
            </w:r>
            <w:proofErr w:type="gramEnd"/>
            <w:r w:rsidRPr="002333F9">
              <w:rPr>
                <w:bCs/>
                <w:sz w:val="22"/>
                <w:szCs w:val="22"/>
              </w:rPr>
              <w:t xml:space="preserve">2025) </w:t>
            </w:r>
            <w:r>
              <w:rPr>
                <w:bCs/>
                <w:sz w:val="22"/>
                <w:szCs w:val="22"/>
              </w:rPr>
              <w:t>738</w:t>
            </w:r>
            <w:r w:rsidRPr="002333F9">
              <w:rPr>
                <w:bCs/>
                <w:sz w:val="22"/>
                <w:szCs w:val="22"/>
              </w:rPr>
              <w:t>.</w:t>
            </w:r>
            <w:r w:rsidRPr="002333F9">
              <w:rPr>
                <w:bCs/>
                <w:sz w:val="22"/>
                <w:szCs w:val="22"/>
              </w:rPr>
              <w:br/>
            </w:r>
          </w:p>
          <w:p w14:paraId="37FD17FF" w14:textId="77777777" w:rsidR="005551CD" w:rsidRPr="002333F9" w:rsidRDefault="005551CD" w:rsidP="005551CD">
            <w:pPr>
              <w:tabs>
                <w:tab w:val="left" w:pos="1701"/>
              </w:tabs>
              <w:rPr>
                <w:bCs/>
                <w:sz w:val="22"/>
                <w:szCs w:val="22"/>
              </w:rPr>
            </w:pPr>
            <w:r w:rsidRPr="002333F9">
              <w:rPr>
                <w:bCs/>
                <w:sz w:val="22"/>
                <w:szCs w:val="22"/>
              </w:rPr>
              <w:t xml:space="preserve">Utskottet ansåg att förslaget inte strider mot subsidiaritetsprincipen. </w:t>
            </w:r>
          </w:p>
          <w:p w14:paraId="038E52C1" w14:textId="77777777" w:rsidR="005551CD" w:rsidRPr="002333F9" w:rsidRDefault="005551CD" w:rsidP="005551CD">
            <w:pPr>
              <w:tabs>
                <w:tab w:val="left" w:pos="1701"/>
              </w:tabs>
              <w:rPr>
                <w:bCs/>
                <w:sz w:val="22"/>
                <w:szCs w:val="22"/>
              </w:rPr>
            </w:pPr>
          </w:p>
          <w:p w14:paraId="5382A1D3" w14:textId="060963AC" w:rsidR="005551CD" w:rsidRPr="002B19B5" w:rsidRDefault="005551CD" w:rsidP="005551CD">
            <w:pPr>
              <w:tabs>
                <w:tab w:val="left" w:pos="1701"/>
              </w:tabs>
              <w:rPr>
                <w:b/>
                <w:sz w:val="22"/>
                <w:szCs w:val="22"/>
              </w:rPr>
            </w:pPr>
            <w:r w:rsidRPr="002333F9">
              <w:rPr>
                <w:bCs/>
                <w:sz w:val="22"/>
                <w:szCs w:val="22"/>
              </w:rPr>
              <w:t>Denna paragraf förklarades omedelbart justerad.</w:t>
            </w:r>
          </w:p>
          <w:p w14:paraId="1883C2D7" w14:textId="15BD2B03" w:rsidR="00E425CD" w:rsidRPr="002B19B5" w:rsidRDefault="00E425CD" w:rsidP="005A70AC">
            <w:pPr>
              <w:tabs>
                <w:tab w:val="left" w:pos="1701"/>
              </w:tabs>
              <w:rPr>
                <w:b/>
                <w:sz w:val="22"/>
                <w:szCs w:val="22"/>
              </w:rPr>
            </w:pPr>
          </w:p>
        </w:tc>
      </w:tr>
      <w:tr w:rsidR="005D2E63" w:rsidRPr="00B01C94" w14:paraId="04022D5C" w14:textId="77777777" w:rsidTr="00165402">
        <w:tc>
          <w:tcPr>
            <w:tcW w:w="567" w:type="dxa"/>
          </w:tcPr>
          <w:p w14:paraId="790F3247" w14:textId="607B5494"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4D4573">
              <w:rPr>
                <w:b/>
                <w:snapToGrid w:val="0"/>
                <w:sz w:val="22"/>
                <w:szCs w:val="22"/>
              </w:rPr>
              <w:t>4</w:t>
            </w:r>
          </w:p>
        </w:tc>
        <w:tc>
          <w:tcPr>
            <w:tcW w:w="6946" w:type="dxa"/>
            <w:gridSpan w:val="2"/>
          </w:tcPr>
          <w:p w14:paraId="0804990A" w14:textId="3A971553" w:rsidR="007C18E1" w:rsidRPr="00B01C94" w:rsidRDefault="00B01C94" w:rsidP="007C18E1">
            <w:pPr>
              <w:rPr>
                <w:rFonts w:eastAsiaTheme="minorHAnsi"/>
                <w:b/>
                <w:color w:val="000000"/>
                <w:sz w:val="22"/>
                <w:szCs w:val="22"/>
                <w:lang w:eastAsia="en-US"/>
              </w:rPr>
            </w:pPr>
            <w:r w:rsidRPr="001E22D1">
              <w:rPr>
                <w:rFonts w:eastAsiaTheme="minorHAnsi"/>
                <w:b/>
                <w:color w:val="000000"/>
                <w:sz w:val="22"/>
                <w:szCs w:val="22"/>
                <w:lang w:eastAsia="en-US"/>
              </w:rPr>
              <w:t>I</w:t>
            </w:r>
            <w:r w:rsidR="007C18E1" w:rsidRPr="001E22D1">
              <w:rPr>
                <w:rFonts w:eastAsiaTheme="minorHAnsi"/>
                <w:b/>
                <w:color w:val="000000"/>
                <w:sz w:val="22"/>
                <w:szCs w:val="22"/>
                <w:lang w:eastAsia="en-US"/>
              </w:rPr>
              <w:t xml:space="preserve">nformation </w:t>
            </w:r>
            <w:r w:rsidRPr="001E22D1">
              <w:rPr>
                <w:b/>
                <w:sz w:val="22"/>
                <w:szCs w:val="22"/>
              </w:rPr>
              <w:t>om Sveriges vargförvaltning</w:t>
            </w:r>
          </w:p>
          <w:p w14:paraId="666AFB81" w14:textId="77777777" w:rsidR="00B01C94" w:rsidRPr="00B01C94" w:rsidRDefault="00B01C94" w:rsidP="007C18E1">
            <w:pPr>
              <w:rPr>
                <w:rFonts w:eastAsiaTheme="minorHAnsi"/>
                <w:b/>
                <w:color w:val="000000"/>
                <w:sz w:val="22"/>
                <w:szCs w:val="22"/>
                <w:lang w:eastAsia="en-US"/>
              </w:rPr>
            </w:pPr>
          </w:p>
          <w:p w14:paraId="2DECB044" w14:textId="2B7357CD" w:rsidR="00B01C94" w:rsidRPr="00B01C94" w:rsidRDefault="007C18E1" w:rsidP="00B01C94">
            <w:pPr>
              <w:rPr>
                <w:sz w:val="22"/>
                <w:szCs w:val="22"/>
              </w:rPr>
            </w:pPr>
            <w:r w:rsidRPr="00B01C94">
              <w:rPr>
                <w:rFonts w:eastAsiaTheme="minorHAnsi"/>
                <w:bCs/>
                <w:color w:val="000000"/>
                <w:sz w:val="22"/>
                <w:szCs w:val="22"/>
                <w:lang w:eastAsia="en-US"/>
              </w:rPr>
              <w:t>På förslag av Rebecka Le Moine (MP) beslutade utskottet att</w:t>
            </w:r>
            <w:r w:rsidR="00B01C94" w:rsidRPr="00B01C94">
              <w:rPr>
                <w:i/>
                <w:iCs/>
                <w:sz w:val="22"/>
                <w:szCs w:val="22"/>
              </w:rPr>
              <w:t xml:space="preserve"> </w:t>
            </w:r>
            <w:r w:rsidR="00B01C94" w:rsidRPr="00B01C94">
              <w:rPr>
                <w:sz w:val="22"/>
                <w:szCs w:val="22"/>
              </w:rPr>
              <w:t>bjuda in landsbygdsminister Peter Kullgren till utskottet för att informera om dels regeringens dialog med EU-kommissionen rörande Sveriges rapportering av referensvärde för varg enligt artikel 17 i art- och habitatdirektivet, dels regeringens långsiktiga strategi för den svenska vargförvaltningen.</w:t>
            </w:r>
          </w:p>
          <w:p w14:paraId="5708B485" w14:textId="6C32EC74" w:rsidR="00DA2753" w:rsidRPr="00B01C94" w:rsidRDefault="00DA2753" w:rsidP="00201DCD">
            <w:pPr>
              <w:rPr>
                <w:rFonts w:eastAsiaTheme="minorHAnsi"/>
                <w:b/>
                <w:bCs/>
                <w:color w:val="000000"/>
                <w:sz w:val="22"/>
                <w:szCs w:val="22"/>
                <w:lang w:eastAsia="en-US"/>
              </w:rPr>
            </w:pPr>
          </w:p>
        </w:tc>
      </w:tr>
      <w:tr w:rsidR="004D4573" w:rsidRPr="00885BCB" w14:paraId="748DF071" w14:textId="77777777" w:rsidTr="00C5706E">
        <w:tc>
          <w:tcPr>
            <w:tcW w:w="567" w:type="dxa"/>
          </w:tcPr>
          <w:p w14:paraId="6413D68F" w14:textId="7047D54C" w:rsidR="004D4573" w:rsidRPr="00885BCB" w:rsidRDefault="004D4573" w:rsidP="00C5706E">
            <w:pPr>
              <w:tabs>
                <w:tab w:val="left" w:pos="1701"/>
              </w:tabs>
              <w:rPr>
                <w:b/>
                <w:snapToGrid w:val="0"/>
                <w:sz w:val="22"/>
                <w:szCs w:val="22"/>
              </w:rPr>
            </w:pPr>
            <w:r>
              <w:rPr>
                <w:b/>
                <w:snapToGrid w:val="0"/>
                <w:sz w:val="22"/>
                <w:szCs w:val="22"/>
              </w:rPr>
              <w:t xml:space="preserve">§ </w:t>
            </w:r>
            <w:r w:rsidR="00D158A4">
              <w:rPr>
                <w:b/>
                <w:snapToGrid w:val="0"/>
                <w:sz w:val="22"/>
                <w:szCs w:val="22"/>
              </w:rPr>
              <w:t>5</w:t>
            </w:r>
          </w:p>
        </w:tc>
        <w:tc>
          <w:tcPr>
            <w:tcW w:w="6946" w:type="dxa"/>
            <w:gridSpan w:val="2"/>
          </w:tcPr>
          <w:p w14:paraId="1A6C21BF" w14:textId="77777777" w:rsidR="007C18E1" w:rsidRPr="00885BCB" w:rsidRDefault="007C18E1" w:rsidP="007C18E1">
            <w:pPr>
              <w:rPr>
                <w:rFonts w:eastAsiaTheme="minorHAnsi"/>
                <w:bCs/>
                <w:color w:val="000000"/>
                <w:sz w:val="22"/>
                <w:szCs w:val="22"/>
                <w:lang w:eastAsia="en-US"/>
              </w:rPr>
            </w:pPr>
            <w:r w:rsidRPr="00885BCB">
              <w:rPr>
                <w:b/>
                <w:bCs/>
                <w:color w:val="000000"/>
                <w:sz w:val="22"/>
                <w:szCs w:val="22"/>
              </w:rPr>
              <w:t>Nästa sammanträde</w:t>
            </w:r>
          </w:p>
          <w:p w14:paraId="4157545C" w14:textId="77777777" w:rsidR="007C18E1" w:rsidRPr="00885BCB" w:rsidRDefault="007C18E1" w:rsidP="007C18E1">
            <w:pPr>
              <w:rPr>
                <w:rFonts w:eastAsiaTheme="minorHAnsi"/>
                <w:bCs/>
                <w:color w:val="000000"/>
                <w:sz w:val="22"/>
                <w:szCs w:val="22"/>
                <w:lang w:eastAsia="en-US"/>
              </w:rPr>
            </w:pPr>
          </w:p>
          <w:p w14:paraId="4E4C1B32" w14:textId="77777777" w:rsidR="007C18E1" w:rsidRPr="004D4573" w:rsidRDefault="007C18E1" w:rsidP="007C18E1">
            <w:pPr>
              <w:rPr>
                <w:snapToGrid w:val="0"/>
                <w:sz w:val="22"/>
                <w:szCs w:val="22"/>
              </w:rPr>
            </w:pPr>
            <w:r w:rsidRPr="00885BCB">
              <w:rPr>
                <w:snapToGrid w:val="0"/>
                <w:sz w:val="22"/>
                <w:szCs w:val="22"/>
              </w:rPr>
              <w:t>Nästa sammanträde äger rum t</w:t>
            </w:r>
            <w:r>
              <w:rPr>
                <w:snapToGrid w:val="0"/>
                <w:sz w:val="22"/>
                <w:szCs w:val="22"/>
              </w:rPr>
              <w:t>i</w:t>
            </w:r>
            <w:r w:rsidRPr="00885BCB">
              <w:rPr>
                <w:snapToGrid w:val="0"/>
                <w:sz w:val="22"/>
                <w:szCs w:val="22"/>
              </w:rPr>
              <w:t xml:space="preserve">sdagen den </w:t>
            </w:r>
            <w:r>
              <w:rPr>
                <w:snapToGrid w:val="0"/>
                <w:sz w:val="22"/>
                <w:szCs w:val="22"/>
              </w:rPr>
              <w:t>9 december</w:t>
            </w:r>
            <w:r w:rsidRPr="00885BCB">
              <w:rPr>
                <w:snapToGrid w:val="0"/>
                <w:sz w:val="22"/>
                <w:szCs w:val="22"/>
              </w:rPr>
              <w:t xml:space="preserve"> 2025 kl. </w:t>
            </w:r>
            <w:r>
              <w:rPr>
                <w:snapToGrid w:val="0"/>
                <w:sz w:val="22"/>
                <w:szCs w:val="22"/>
              </w:rPr>
              <w:t>11</w:t>
            </w:r>
            <w:r w:rsidRPr="00885BCB">
              <w:rPr>
                <w:snapToGrid w:val="0"/>
                <w:sz w:val="22"/>
                <w:szCs w:val="22"/>
              </w:rPr>
              <w:t xml:space="preserve">.00. </w:t>
            </w:r>
            <w:r w:rsidRPr="00F84571">
              <w:rPr>
                <w:rFonts w:eastAsiaTheme="minorHAnsi"/>
                <w:color w:val="000000"/>
                <w:sz w:val="22"/>
                <w:szCs w:val="22"/>
                <w:lang w:eastAsia="en-US"/>
              </w:rPr>
              <w:t xml:space="preserve"> </w:t>
            </w:r>
          </w:p>
          <w:p w14:paraId="681B2601" w14:textId="389EA517" w:rsidR="004D4573" w:rsidRDefault="004D4573" w:rsidP="002A14AC">
            <w:pPr>
              <w:rPr>
                <w:rFonts w:eastAsiaTheme="minorHAnsi"/>
                <w:bCs/>
                <w:color w:val="000000"/>
                <w:sz w:val="22"/>
                <w:szCs w:val="22"/>
                <w:lang w:eastAsia="en-US"/>
              </w:rPr>
            </w:pPr>
          </w:p>
        </w:tc>
      </w:tr>
      <w:tr w:rsidR="004D4573" w:rsidRPr="00885BCB" w14:paraId="5C94F5E6" w14:textId="77777777" w:rsidTr="00C5706E">
        <w:tc>
          <w:tcPr>
            <w:tcW w:w="567" w:type="dxa"/>
          </w:tcPr>
          <w:p w14:paraId="465D75DE" w14:textId="2DFF4A46" w:rsidR="004D4573" w:rsidRDefault="004D4573" w:rsidP="00C5706E">
            <w:pPr>
              <w:tabs>
                <w:tab w:val="left" w:pos="1701"/>
              </w:tabs>
              <w:rPr>
                <w:b/>
                <w:snapToGrid w:val="0"/>
                <w:sz w:val="22"/>
                <w:szCs w:val="22"/>
              </w:rPr>
            </w:pPr>
            <w:r>
              <w:rPr>
                <w:b/>
                <w:snapToGrid w:val="0"/>
                <w:sz w:val="22"/>
                <w:szCs w:val="22"/>
              </w:rPr>
              <w:t xml:space="preserve">§ </w:t>
            </w:r>
            <w:r w:rsidR="00D158A4">
              <w:rPr>
                <w:b/>
                <w:snapToGrid w:val="0"/>
                <w:sz w:val="22"/>
                <w:szCs w:val="22"/>
              </w:rPr>
              <w:t>6</w:t>
            </w:r>
          </w:p>
        </w:tc>
        <w:tc>
          <w:tcPr>
            <w:tcW w:w="6946" w:type="dxa"/>
            <w:gridSpan w:val="2"/>
          </w:tcPr>
          <w:p w14:paraId="1FAE7D31" w14:textId="3C890F03" w:rsidR="004D4573" w:rsidRDefault="004D4573" w:rsidP="002A14AC">
            <w:pPr>
              <w:rPr>
                <w:rFonts w:eastAsiaTheme="minorHAnsi"/>
                <w:bCs/>
                <w:color w:val="000000"/>
                <w:sz w:val="22"/>
                <w:szCs w:val="22"/>
                <w:lang w:eastAsia="en-US"/>
              </w:rPr>
            </w:pPr>
            <w:r w:rsidRPr="002B19B5">
              <w:rPr>
                <w:b/>
                <w:sz w:val="22"/>
                <w:szCs w:val="22"/>
              </w:rPr>
              <w:t>Förslag till rådets förordning om fastställande för 2026, 2027 och 2028 av fiskemöjligheterna avseende vissa fiskbestånd, i unionens vatten och, för unionsfiskefartyg, i vissa andra vatten</w:t>
            </w:r>
            <w:r w:rsidRPr="002B19B5">
              <w:rPr>
                <w:b/>
                <w:sz w:val="22"/>
                <w:szCs w:val="22"/>
              </w:rPr>
              <w:br/>
            </w:r>
          </w:p>
          <w:p w14:paraId="296ABEA1" w14:textId="77777777" w:rsidR="009D1CF0" w:rsidRPr="00E1678A" w:rsidRDefault="009D1CF0" w:rsidP="009D1CF0">
            <w:pPr>
              <w:rPr>
                <w:rFonts w:eastAsiaTheme="minorHAnsi"/>
                <w:color w:val="000000"/>
                <w:sz w:val="22"/>
                <w:szCs w:val="22"/>
                <w:lang w:eastAsia="en-US"/>
              </w:rPr>
            </w:pPr>
            <w:r w:rsidRPr="00E1678A">
              <w:rPr>
                <w:snapToGrid w:val="0"/>
                <w:sz w:val="22"/>
                <w:szCs w:val="22"/>
              </w:rPr>
              <w:t xml:space="preserve">Utskottet överlade med </w:t>
            </w:r>
            <w:r>
              <w:rPr>
                <w:snapToGrid w:val="0"/>
                <w:sz w:val="22"/>
                <w:szCs w:val="22"/>
              </w:rPr>
              <w:t>landsbygdsminister Peter Kullgren</w:t>
            </w:r>
            <w:r w:rsidRPr="00E1678A">
              <w:rPr>
                <w:snapToGrid w:val="0"/>
                <w:sz w:val="22"/>
                <w:szCs w:val="22"/>
              </w:rPr>
              <w:t>, å</w:t>
            </w:r>
            <w:r w:rsidRPr="00E1678A">
              <w:rPr>
                <w:rFonts w:eastAsiaTheme="minorHAnsi"/>
                <w:color w:val="000000"/>
                <w:sz w:val="22"/>
                <w:szCs w:val="22"/>
                <w:lang w:eastAsia="en-US"/>
              </w:rPr>
              <w:t>tföljd av medarbetare från Landsbygds- och infrastrukturdepartementet.</w:t>
            </w:r>
          </w:p>
          <w:p w14:paraId="7F1FEB92" w14:textId="77777777" w:rsidR="009D1CF0" w:rsidRPr="00E1678A" w:rsidRDefault="009D1CF0" w:rsidP="009D1CF0">
            <w:pPr>
              <w:rPr>
                <w:rFonts w:eastAsiaTheme="minorHAnsi"/>
                <w:b/>
                <w:bCs/>
                <w:color w:val="000000"/>
                <w:sz w:val="22"/>
                <w:szCs w:val="22"/>
                <w:lang w:eastAsia="en-US"/>
              </w:rPr>
            </w:pPr>
            <w:r w:rsidRPr="00E1678A">
              <w:rPr>
                <w:bCs/>
                <w:color w:val="000000"/>
                <w:sz w:val="22"/>
                <w:szCs w:val="22"/>
              </w:rPr>
              <w:t xml:space="preserve">  </w:t>
            </w:r>
          </w:p>
          <w:p w14:paraId="069D2C04" w14:textId="77777777" w:rsidR="009D1CF0" w:rsidRPr="00CA5838" w:rsidRDefault="009D1CF0" w:rsidP="009D1CF0">
            <w:pPr>
              <w:widowControl/>
              <w:tabs>
                <w:tab w:val="left" w:pos="284"/>
              </w:tabs>
              <w:rPr>
                <w:bCs/>
                <w:color w:val="000000"/>
                <w:sz w:val="22"/>
                <w:szCs w:val="22"/>
              </w:rPr>
            </w:pPr>
            <w:r w:rsidRPr="00CA5838">
              <w:rPr>
                <w:bCs/>
                <w:color w:val="000000"/>
                <w:sz w:val="22"/>
                <w:szCs w:val="22"/>
              </w:rPr>
              <w:t xml:space="preserve">Underlaget utgjordes av </w:t>
            </w:r>
            <w:proofErr w:type="gramStart"/>
            <w:r w:rsidRPr="00CA5838">
              <w:rPr>
                <w:snapToGrid w:val="0"/>
                <w:sz w:val="22"/>
                <w:szCs w:val="22"/>
              </w:rPr>
              <w:t>COM(</w:t>
            </w:r>
            <w:proofErr w:type="gramEnd"/>
            <w:r w:rsidRPr="00CA5838">
              <w:rPr>
                <w:snapToGrid w:val="0"/>
                <w:sz w:val="22"/>
                <w:szCs w:val="22"/>
              </w:rPr>
              <w:t xml:space="preserve">2025) </w:t>
            </w:r>
            <w:r>
              <w:rPr>
                <w:snapToGrid w:val="0"/>
                <w:sz w:val="22"/>
                <w:szCs w:val="22"/>
              </w:rPr>
              <w:t>662</w:t>
            </w:r>
            <w:r w:rsidRPr="00CA5838">
              <w:rPr>
                <w:snapToGrid w:val="0"/>
                <w:sz w:val="22"/>
                <w:szCs w:val="22"/>
              </w:rPr>
              <w:t xml:space="preserve"> och regeringens överläggnings-promemoria </w:t>
            </w:r>
            <w:r w:rsidRPr="00CA5838">
              <w:rPr>
                <w:bCs/>
                <w:color w:val="000000"/>
                <w:sz w:val="22"/>
                <w:szCs w:val="22"/>
              </w:rPr>
              <w:t>(</w:t>
            </w:r>
            <w:bookmarkStart w:id="0" w:name="_Hlk200623117"/>
            <w:bookmarkStart w:id="1" w:name="_Hlk215736505"/>
            <w:r w:rsidRPr="00CA5838">
              <w:rPr>
                <w:bCs/>
                <w:color w:val="000000"/>
                <w:sz w:val="22"/>
                <w:szCs w:val="22"/>
              </w:rPr>
              <w:t xml:space="preserve">dnr </w:t>
            </w:r>
            <w:r>
              <w:rPr>
                <w:bCs/>
                <w:color w:val="000000"/>
                <w:sz w:val="22"/>
                <w:szCs w:val="22"/>
              </w:rPr>
              <w:t>524</w:t>
            </w:r>
            <w:r w:rsidRPr="00F47448">
              <w:rPr>
                <w:bCs/>
                <w:color w:val="000000"/>
                <w:sz w:val="22"/>
                <w:szCs w:val="22"/>
              </w:rPr>
              <w:t>-202</w:t>
            </w:r>
            <w:r>
              <w:rPr>
                <w:bCs/>
                <w:color w:val="000000"/>
                <w:sz w:val="22"/>
                <w:szCs w:val="22"/>
              </w:rPr>
              <w:t>5</w:t>
            </w:r>
            <w:r w:rsidRPr="00F47448">
              <w:rPr>
                <w:bCs/>
                <w:color w:val="000000"/>
                <w:sz w:val="22"/>
                <w:szCs w:val="22"/>
              </w:rPr>
              <w:t>/2</w:t>
            </w:r>
            <w:bookmarkEnd w:id="0"/>
            <w:r>
              <w:rPr>
                <w:bCs/>
                <w:color w:val="000000"/>
                <w:sz w:val="22"/>
                <w:szCs w:val="22"/>
              </w:rPr>
              <w:t>6</w:t>
            </w:r>
            <w:bookmarkEnd w:id="1"/>
            <w:r w:rsidRPr="00F47448">
              <w:rPr>
                <w:bCs/>
                <w:color w:val="000000"/>
                <w:sz w:val="22"/>
                <w:szCs w:val="22"/>
              </w:rPr>
              <w:t>)</w:t>
            </w:r>
            <w:r w:rsidRPr="00CA5838">
              <w:rPr>
                <w:bCs/>
                <w:color w:val="000000"/>
                <w:sz w:val="22"/>
                <w:szCs w:val="22"/>
              </w:rPr>
              <w:t xml:space="preserve">. </w:t>
            </w:r>
          </w:p>
          <w:p w14:paraId="56AE3F30" w14:textId="77777777" w:rsidR="009D1CF0" w:rsidRPr="00CA5838" w:rsidRDefault="009D1CF0" w:rsidP="009D1CF0">
            <w:pPr>
              <w:widowControl/>
              <w:tabs>
                <w:tab w:val="left" w:pos="284"/>
              </w:tabs>
              <w:rPr>
                <w:bCs/>
                <w:color w:val="000000"/>
                <w:sz w:val="22"/>
                <w:szCs w:val="22"/>
              </w:rPr>
            </w:pPr>
          </w:p>
          <w:p w14:paraId="75BAF4F1" w14:textId="77777777" w:rsidR="009D1CF0" w:rsidRPr="00CA5838" w:rsidRDefault="009D1CF0" w:rsidP="009D1CF0">
            <w:pPr>
              <w:widowControl/>
              <w:autoSpaceDE w:val="0"/>
              <w:autoSpaceDN w:val="0"/>
              <w:adjustRightInd w:val="0"/>
              <w:rPr>
                <w:bCs/>
                <w:color w:val="000000"/>
                <w:sz w:val="22"/>
                <w:szCs w:val="22"/>
              </w:rPr>
            </w:pPr>
            <w:r>
              <w:rPr>
                <w:snapToGrid w:val="0"/>
                <w:sz w:val="22"/>
                <w:szCs w:val="22"/>
              </w:rPr>
              <w:t xml:space="preserve">Landsbygdsminister Peter Kullgren </w:t>
            </w:r>
            <w:r w:rsidRPr="00CA5838">
              <w:rPr>
                <w:snapToGrid w:val="0"/>
                <w:sz w:val="22"/>
                <w:szCs w:val="22"/>
              </w:rPr>
              <w:t>r</w:t>
            </w:r>
            <w:r w:rsidRPr="00CA5838">
              <w:rPr>
                <w:bCs/>
                <w:color w:val="000000"/>
                <w:sz w:val="22"/>
                <w:szCs w:val="22"/>
              </w:rPr>
              <w:t>edogjorde för regeringens ståndpunkt (bilaga 2).</w:t>
            </w:r>
          </w:p>
          <w:p w14:paraId="2053BFF5" w14:textId="77777777" w:rsidR="009D1CF0" w:rsidRPr="00E87D9D" w:rsidRDefault="009D1CF0" w:rsidP="009D1CF0">
            <w:pPr>
              <w:autoSpaceDE w:val="0"/>
              <w:autoSpaceDN w:val="0"/>
              <w:rPr>
                <w:snapToGrid w:val="0"/>
                <w:sz w:val="22"/>
                <w:szCs w:val="22"/>
              </w:rPr>
            </w:pPr>
          </w:p>
          <w:p w14:paraId="47F7DDF7" w14:textId="77777777" w:rsidR="009D1CF0" w:rsidRPr="00E87D9D" w:rsidRDefault="009D1CF0" w:rsidP="009D1CF0">
            <w:pPr>
              <w:rPr>
                <w:rStyle w:val="normaltextrun"/>
                <w:b/>
                <w:bCs/>
                <w:i/>
                <w:iCs/>
                <w:snapToGrid w:val="0"/>
                <w:sz w:val="22"/>
                <w:szCs w:val="22"/>
              </w:rPr>
            </w:pPr>
            <w:r w:rsidRPr="00E87D9D">
              <w:rPr>
                <w:snapToGrid w:val="0"/>
                <w:sz w:val="22"/>
                <w:szCs w:val="22"/>
              </w:rPr>
              <w:t>V- och MP-ledamöterna anmälde de</w:t>
            </w:r>
            <w:r>
              <w:rPr>
                <w:snapToGrid w:val="0"/>
                <w:sz w:val="22"/>
                <w:szCs w:val="22"/>
              </w:rPr>
              <w:t>n</w:t>
            </w:r>
            <w:r w:rsidRPr="00E87D9D">
              <w:rPr>
                <w:snapToGrid w:val="0"/>
                <w:sz w:val="22"/>
                <w:szCs w:val="22"/>
              </w:rPr>
              <w:t xml:space="preserve"> avvikande ståndpunkt som framgår av bilaga 3</w:t>
            </w:r>
            <w:r w:rsidRPr="00E87D9D">
              <w:rPr>
                <w:b/>
                <w:bCs/>
                <w:snapToGrid w:val="0"/>
                <w:sz w:val="22"/>
                <w:szCs w:val="22"/>
              </w:rPr>
              <w:t>.</w:t>
            </w:r>
          </w:p>
          <w:p w14:paraId="0B0B1CE8" w14:textId="77777777" w:rsidR="009D1CF0" w:rsidRPr="00E87D9D" w:rsidRDefault="009D1CF0" w:rsidP="009D1CF0">
            <w:pPr>
              <w:autoSpaceDE w:val="0"/>
              <w:autoSpaceDN w:val="0"/>
              <w:rPr>
                <w:snapToGrid w:val="0"/>
                <w:sz w:val="22"/>
                <w:szCs w:val="22"/>
              </w:rPr>
            </w:pPr>
          </w:p>
          <w:p w14:paraId="4460B165" w14:textId="77777777" w:rsidR="009D1CF0" w:rsidRPr="002E2D23" w:rsidRDefault="009D1CF0" w:rsidP="009D1CF0">
            <w:pPr>
              <w:autoSpaceDE w:val="0"/>
              <w:autoSpaceDN w:val="0"/>
              <w:rPr>
                <w:snapToGrid w:val="0"/>
                <w:sz w:val="22"/>
                <w:szCs w:val="22"/>
              </w:rPr>
            </w:pPr>
            <w:r w:rsidRPr="00E87D9D">
              <w:rPr>
                <w:snapToGrid w:val="0"/>
                <w:sz w:val="22"/>
                <w:szCs w:val="22"/>
              </w:rPr>
              <w:t>Ordförande konstaterade att det fanns stöd för regeringens ståndpunkt.</w:t>
            </w:r>
            <w:r>
              <w:rPr>
                <w:snapToGrid w:val="0"/>
                <w:sz w:val="22"/>
                <w:szCs w:val="22"/>
              </w:rPr>
              <w:br/>
            </w:r>
            <w:r>
              <w:rPr>
                <w:snapToGrid w:val="0"/>
                <w:sz w:val="22"/>
                <w:szCs w:val="22"/>
              </w:rPr>
              <w:br/>
              <w:t>Denna paragraf förklarades omedelbart justerad.</w:t>
            </w:r>
          </w:p>
          <w:p w14:paraId="0A7F9C1F" w14:textId="04058B22" w:rsidR="004D4573" w:rsidRDefault="004D4573" w:rsidP="002A14AC">
            <w:pPr>
              <w:rPr>
                <w:rFonts w:eastAsiaTheme="minorHAnsi"/>
                <w:bCs/>
                <w:color w:val="000000"/>
                <w:sz w:val="22"/>
                <w:szCs w:val="22"/>
                <w:lang w:eastAsia="en-US"/>
              </w:rPr>
            </w:pPr>
          </w:p>
        </w:tc>
      </w:tr>
      <w:tr w:rsidR="004D4573" w:rsidRPr="00885BCB" w14:paraId="58EC4C73" w14:textId="77777777" w:rsidTr="00C5706E">
        <w:tc>
          <w:tcPr>
            <w:tcW w:w="567" w:type="dxa"/>
          </w:tcPr>
          <w:p w14:paraId="21DF2A0F" w14:textId="335BA299" w:rsidR="004D4573" w:rsidRDefault="004D4573" w:rsidP="00C5706E">
            <w:pPr>
              <w:tabs>
                <w:tab w:val="left" w:pos="1701"/>
              </w:tabs>
              <w:rPr>
                <w:b/>
                <w:snapToGrid w:val="0"/>
                <w:sz w:val="22"/>
                <w:szCs w:val="22"/>
              </w:rPr>
            </w:pPr>
            <w:r>
              <w:rPr>
                <w:b/>
                <w:snapToGrid w:val="0"/>
                <w:sz w:val="22"/>
                <w:szCs w:val="22"/>
              </w:rPr>
              <w:t xml:space="preserve">§ </w:t>
            </w:r>
            <w:r w:rsidR="00D158A4">
              <w:rPr>
                <w:b/>
                <w:snapToGrid w:val="0"/>
                <w:sz w:val="22"/>
                <w:szCs w:val="22"/>
              </w:rPr>
              <w:t>7</w:t>
            </w:r>
          </w:p>
        </w:tc>
        <w:tc>
          <w:tcPr>
            <w:tcW w:w="6946" w:type="dxa"/>
            <w:gridSpan w:val="2"/>
          </w:tcPr>
          <w:p w14:paraId="21900E0B" w14:textId="77777777" w:rsidR="004D4573" w:rsidRPr="002B19B5" w:rsidRDefault="004D4573" w:rsidP="004D4573">
            <w:pPr>
              <w:tabs>
                <w:tab w:val="left" w:pos="1701"/>
              </w:tabs>
              <w:rPr>
                <w:b/>
                <w:snapToGrid w:val="0"/>
                <w:sz w:val="22"/>
                <w:szCs w:val="22"/>
              </w:rPr>
            </w:pPr>
            <w:r w:rsidRPr="002B19B5">
              <w:rPr>
                <w:b/>
                <w:snapToGrid w:val="0"/>
                <w:sz w:val="22"/>
                <w:szCs w:val="22"/>
              </w:rPr>
              <w:t>Jordbruks- och fiskeråd 11–12 december 2025</w:t>
            </w:r>
          </w:p>
          <w:p w14:paraId="2E778A4C" w14:textId="77777777" w:rsidR="004D4573" w:rsidRPr="002B19B5" w:rsidRDefault="004D4573" w:rsidP="004D4573">
            <w:pPr>
              <w:tabs>
                <w:tab w:val="left" w:pos="1701"/>
              </w:tabs>
              <w:rPr>
                <w:b/>
                <w:snapToGrid w:val="0"/>
                <w:sz w:val="22"/>
                <w:szCs w:val="22"/>
              </w:rPr>
            </w:pPr>
          </w:p>
          <w:p w14:paraId="3B015855" w14:textId="77777777" w:rsidR="004D4573" w:rsidRPr="002B19B5" w:rsidRDefault="004D4573" w:rsidP="004D4573">
            <w:pPr>
              <w:tabs>
                <w:tab w:val="left" w:pos="1701"/>
              </w:tabs>
              <w:rPr>
                <w:b/>
                <w:snapToGrid w:val="0"/>
                <w:sz w:val="22"/>
                <w:szCs w:val="22"/>
              </w:rPr>
            </w:pPr>
            <w:r w:rsidRPr="002B19B5">
              <w:rPr>
                <w:bCs/>
                <w:sz w:val="22"/>
                <w:szCs w:val="22"/>
              </w:rPr>
              <w:t>Landsbygdsminister Peter Kullgren</w:t>
            </w:r>
            <w:r w:rsidRPr="002B19B5">
              <w:rPr>
                <w:bCs/>
                <w:snapToGrid w:val="0"/>
                <w:sz w:val="22"/>
                <w:szCs w:val="22"/>
              </w:rPr>
              <w:t>, åtföljd av medarbetare från Landsbygds- och infrastrukturdepartementet, lämnade information inför</w:t>
            </w:r>
            <w:r w:rsidRPr="002B19B5">
              <w:rPr>
                <w:bCs/>
                <w:snapToGrid w:val="0"/>
                <w:sz w:val="22"/>
                <w:szCs w:val="22"/>
              </w:rPr>
              <w:br/>
              <w:t>Jordbruks- och fiskerådet den 11–12 december 2025.</w:t>
            </w:r>
          </w:p>
          <w:p w14:paraId="095D3CA5" w14:textId="77777777" w:rsidR="004D4573" w:rsidRDefault="004D4573"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231D20F2" w14:textId="77777777" w:rsidR="005A70AC" w:rsidRPr="00885BCB" w:rsidRDefault="005A70AC" w:rsidP="00D5250E">
            <w:pPr>
              <w:tabs>
                <w:tab w:val="left" w:pos="1701"/>
              </w:tabs>
              <w:rPr>
                <w:sz w:val="22"/>
                <w:szCs w:val="22"/>
              </w:rPr>
            </w:pPr>
          </w:p>
          <w:p w14:paraId="4135DE1A" w14:textId="5B5B6F9D"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5A70AC">
              <w:rPr>
                <w:sz w:val="22"/>
                <w:szCs w:val="22"/>
              </w:rPr>
              <w:t>11 dece</w:t>
            </w:r>
            <w:r w:rsidR="004D031E">
              <w:rPr>
                <w:sz w:val="22"/>
                <w:szCs w:val="22"/>
              </w:rPr>
              <w:t>m</w:t>
            </w:r>
            <w:r w:rsidR="00B17E2D">
              <w:rPr>
                <w:sz w:val="22"/>
                <w:szCs w:val="22"/>
              </w:rPr>
              <w:t>ber</w:t>
            </w:r>
            <w:r w:rsidR="008D7C53" w:rsidRPr="00885BCB">
              <w:rPr>
                <w:sz w:val="22"/>
                <w:szCs w:val="22"/>
              </w:rPr>
              <w:t xml:space="preserve"> </w:t>
            </w:r>
            <w:r w:rsidR="00CB71B9" w:rsidRPr="00885BCB">
              <w:rPr>
                <w:sz w:val="22"/>
                <w:szCs w:val="22"/>
              </w:rPr>
              <w:t>202</w:t>
            </w:r>
            <w:r w:rsidR="00A25410" w:rsidRPr="00885BCB">
              <w:rPr>
                <w:sz w:val="22"/>
                <w:szCs w:val="22"/>
              </w:rPr>
              <w:t>5</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7E5EB148" w:rsidR="008D7C53" w:rsidRPr="00885BCB" w:rsidRDefault="00987B08" w:rsidP="00157E3A">
            <w:pPr>
              <w:tabs>
                <w:tab w:val="left" w:pos="1701"/>
              </w:tabs>
              <w:rPr>
                <w:sz w:val="22"/>
                <w:szCs w:val="22"/>
              </w:rPr>
            </w:pPr>
            <w:r>
              <w:rPr>
                <w:sz w:val="22"/>
                <w:szCs w:val="22"/>
              </w:rPr>
              <w:t>Emma Nohrén</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0352EE86"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014B8E">
              <w:rPr>
                <w:sz w:val="22"/>
                <w:szCs w:val="22"/>
              </w:rPr>
              <w:t>18</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1BEAF829"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193778">
              <w:rPr>
                <w:sz w:val="22"/>
                <w:szCs w:val="22"/>
              </w:rPr>
              <w:t>1</w:t>
            </w:r>
            <w:r w:rsidR="004D4573">
              <w:rPr>
                <w:sz w:val="22"/>
                <w:szCs w:val="22"/>
              </w:rPr>
              <w:t>–</w:t>
            </w:r>
            <w:r w:rsidR="00D158A4">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E2A298D"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4D4573">
              <w:rPr>
                <w:sz w:val="22"/>
                <w:szCs w:val="22"/>
              </w:rPr>
              <w:t xml:space="preserve">§ </w:t>
            </w:r>
            <w:r w:rsidR="00D158A4">
              <w:rPr>
                <w:sz w:val="22"/>
                <w:szCs w:val="22"/>
              </w:rPr>
              <w:t>6</w:t>
            </w:r>
            <w:r w:rsidR="004D4573">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3D2A7FB"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D158A4">
              <w:rPr>
                <w:sz w:val="22"/>
                <w:szCs w:val="22"/>
              </w:rPr>
              <w:t>7</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5FDC4A2" w:rsidR="00136BAF" w:rsidRPr="00885BCB" w:rsidRDefault="002B19B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F566377"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4A56800"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4D4573"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3DA67CBC"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88E8A24"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BDC42D0"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70C198E"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16AC82F"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29BBE0F5"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663D2D95"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5CAD56E"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46BA5783"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40A9487"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59810D6"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5BC0B56"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34F0F25C"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5360CDC"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4A0BDEC6"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A8E7BCE"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47C7235"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446E2793"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7305324"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8D5286B"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50F0FD7B"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3F28CF4"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DDAAABE"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483931AC"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4B1656A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EF5917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55337318"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3307926C"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794B520"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1D330DE"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44890AD5"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D61AF74"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E0683A0"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70F4F5AF" w:rsidR="00136BAF" w:rsidRPr="00885BCB" w:rsidRDefault="00341607" w:rsidP="002B7AED">
            <w:pPr>
              <w:spacing w:line="256" w:lineRule="auto"/>
              <w:rPr>
                <w:sz w:val="22"/>
                <w:szCs w:val="22"/>
                <w:lang w:val="en-US" w:eastAsia="en-US"/>
              </w:rPr>
            </w:pPr>
            <w:r>
              <w:rPr>
                <w:sz w:val="22"/>
                <w:szCs w:val="22"/>
                <w:lang w:val="en-US" w:eastAsia="en-US"/>
              </w:rPr>
              <w:t>Lars Johnsson</w:t>
            </w:r>
            <w:r w:rsidRPr="00885BCB">
              <w:rPr>
                <w:sz w:val="22"/>
                <w:szCs w:val="22"/>
                <w:lang w:val="en-US"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14:paraId="07666D5E" w14:textId="58715FCD"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2EBDBF2"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2AF455D6"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0750DD2"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2BACA33"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A8DBBDE"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59FFCA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50382B8"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2A6D3EA4"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15ACFB9F"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2E1E8C92"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C08F152"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283DD1F6"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45FE69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3E1EA52A"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2CED1BCA"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2A545DD1"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6C70F47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38B315F3"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019FE808"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4DB4EF6"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95DCF03"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6E952ADC"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1FBBDB5D"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2CBB960"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9A1D5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94C5093"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2C934056"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1264EC93"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487DB317"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28180061"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44D48603"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2BFA0A68"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3BD35A9C"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28260D4A"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6D27D3ED" w:rsidR="00136BA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3647F68D" w:rsidR="00136BA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56D88E72" w:rsidR="0066010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4CDD9EF4" w:rsidR="0066010F" w:rsidRPr="00885BCB" w:rsidRDefault="004D45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01CA5DF0" w:rsidR="0066010F" w:rsidRPr="00885BCB" w:rsidRDefault="00D451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3D897EAB"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014B8E">
              <w:rPr>
                <w:sz w:val="22"/>
                <w:szCs w:val="22"/>
              </w:rPr>
              <w:t>18</w:t>
            </w:r>
          </w:p>
        </w:tc>
      </w:tr>
    </w:tbl>
    <w:p w14:paraId="3E00EF4E" w14:textId="7845698B" w:rsidR="00987069" w:rsidRPr="00885BCB" w:rsidRDefault="00987069" w:rsidP="00987069">
      <w:pPr>
        <w:widowControl/>
        <w:rPr>
          <w:sz w:val="22"/>
          <w:szCs w:val="22"/>
        </w:rPr>
      </w:pPr>
    </w:p>
    <w:p w14:paraId="2663F75D" w14:textId="77777777" w:rsidR="00A30442" w:rsidRDefault="00A30442" w:rsidP="00A30442">
      <w:pPr>
        <w:rPr>
          <w:b/>
          <w:sz w:val="22"/>
          <w:szCs w:val="22"/>
        </w:rPr>
      </w:pPr>
      <w:r w:rsidRPr="00F01A93">
        <w:rPr>
          <w:b/>
          <w:sz w:val="22"/>
          <w:szCs w:val="22"/>
        </w:rPr>
        <w:t xml:space="preserve">Överläggning den </w:t>
      </w:r>
      <w:r>
        <w:rPr>
          <w:b/>
          <w:sz w:val="22"/>
          <w:szCs w:val="22"/>
        </w:rPr>
        <w:t>4 december 2025</w:t>
      </w:r>
      <w:r w:rsidRPr="00F01A93">
        <w:rPr>
          <w:b/>
          <w:sz w:val="22"/>
          <w:szCs w:val="22"/>
        </w:rPr>
        <w:t xml:space="preserve"> om </w:t>
      </w:r>
      <w:r>
        <w:rPr>
          <w:b/>
          <w:sz w:val="22"/>
          <w:szCs w:val="22"/>
        </w:rPr>
        <w:t xml:space="preserve">förslag </w:t>
      </w:r>
      <w:r w:rsidRPr="00FD36EE">
        <w:rPr>
          <w:b/>
          <w:sz w:val="22"/>
          <w:szCs w:val="22"/>
        </w:rPr>
        <w:t>till rådets förordning om fastställande för 2026, 2027 och 2028 av fiskemöjligheterna avseende vissa fiskbestånd, i unionens vatten och, för unionsfiskefartyg, i vissa andra vatten</w:t>
      </w:r>
    </w:p>
    <w:p w14:paraId="262C5B37" w14:textId="77777777" w:rsidR="00A30442" w:rsidRDefault="00A30442" w:rsidP="00A30442">
      <w:pPr>
        <w:rPr>
          <w:b/>
          <w:sz w:val="22"/>
          <w:szCs w:val="22"/>
        </w:rPr>
      </w:pPr>
    </w:p>
    <w:p w14:paraId="0EB41DAE" w14:textId="77777777" w:rsidR="00A30442" w:rsidRDefault="00A30442" w:rsidP="00A30442">
      <w:pPr>
        <w:pStyle w:val="Brdtext"/>
        <w:rPr>
          <w:b/>
          <w:bCs/>
          <w:sz w:val="22"/>
          <w:szCs w:val="22"/>
        </w:rPr>
      </w:pPr>
      <w:r w:rsidRPr="00D575B1">
        <w:rPr>
          <w:b/>
          <w:bCs/>
          <w:sz w:val="22"/>
          <w:szCs w:val="22"/>
        </w:rPr>
        <w:t>Preliminär svensk ståndpunkt:</w:t>
      </w:r>
    </w:p>
    <w:p w14:paraId="2EE367BD" w14:textId="77777777" w:rsidR="00A30442" w:rsidRPr="009D1CF0" w:rsidRDefault="00A30442" w:rsidP="00A30442">
      <w:pPr>
        <w:widowControl/>
        <w:rPr>
          <w:sz w:val="22"/>
          <w:szCs w:val="22"/>
        </w:rPr>
      </w:pPr>
      <w:r w:rsidRPr="009D1CF0">
        <w:rPr>
          <w:sz w:val="22"/>
          <w:szCs w:val="22"/>
        </w:rPr>
        <w:t xml:space="preserve">Regeringens övergripande målsättning är att förvaltningsåtgärder ska beslutas i linje med den gemensamma fiskeripolitikens mål och principer och att kommissionen ska sträva efter dessa mål i konsultationer med tredje länder. Detta innebär bland annat att regeringen anser att det är angeläget att nå målen om beståndsstorlek över den nivå som kan ge maximal hållbar avkastning (MSY), att den gemensamma fiskeripolitikens mål om landningsskyldighet möjliggörs, att den vetenskapliga rådgivningen, försiktighetsansatsen och ekosystemansatsen utgör grunden för besluten samt att den fleråriga förvaltningsplanen för Nordsjön ska tillämpas för de bestånd som omfattas av planen. Mot bakgrund av behovet att återuppbygga flera av bestånden, anser regeringen, att Sverige bör verka för restriktivt satta fiskemöjligheter. </w:t>
      </w:r>
    </w:p>
    <w:p w14:paraId="650F9B18" w14:textId="77777777" w:rsidR="00A30442" w:rsidRPr="009D1CF0" w:rsidRDefault="00A30442" w:rsidP="00A30442">
      <w:pPr>
        <w:widowControl/>
        <w:rPr>
          <w:sz w:val="22"/>
          <w:szCs w:val="22"/>
        </w:rPr>
      </w:pPr>
    </w:p>
    <w:p w14:paraId="22BDD4F7" w14:textId="77777777" w:rsidR="00A30442" w:rsidRPr="009D1CF0" w:rsidRDefault="00A30442" w:rsidP="00A30442">
      <w:pPr>
        <w:widowControl/>
        <w:rPr>
          <w:sz w:val="22"/>
          <w:szCs w:val="22"/>
        </w:rPr>
      </w:pPr>
      <w:r w:rsidRPr="009D1CF0">
        <w:rPr>
          <w:sz w:val="22"/>
          <w:szCs w:val="22"/>
        </w:rPr>
        <w:t xml:space="preserve">Regeringen anser generellt att en stor obalans mellan fiskemöjligheter som naturligt förekommer i samma fångst bör undvikas samt att associerade åtgärder som tekniska regleringar är viktiga i syfte att undvika oönskade bifångster. Metodik för att ta fram nivåer för oundvikliga bifångster bör grundas på bästa tillgängliga vetenskapliga rådgivning. </w:t>
      </w:r>
    </w:p>
    <w:p w14:paraId="679FDB20" w14:textId="77777777" w:rsidR="00A30442" w:rsidRPr="009D1CF0" w:rsidRDefault="00A30442" w:rsidP="00A30442">
      <w:pPr>
        <w:widowControl/>
        <w:rPr>
          <w:sz w:val="22"/>
          <w:szCs w:val="22"/>
        </w:rPr>
      </w:pPr>
    </w:p>
    <w:p w14:paraId="7AA63AD4" w14:textId="77777777" w:rsidR="00A30442" w:rsidRPr="009D1CF0" w:rsidRDefault="00A30442" w:rsidP="00A30442">
      <w:pPr>
        <w:widowControl/>
        <w:rPr>
          <w:sz w:val="22"/>
          <w:szCs w:val="22"/>
        </w:rPr>
      </w:pPr>
      <w:r w:rsidRPr="009D1CF0">
        <w:rPr>
          <w:sz w:val="22"/>
          <w:szCs w:val="22"/>
        </w:rPr>
        <w:t xml:space="preserve">Regeringen stödjer kompletterande bevarandeåtgärder som är i linje med den fleråriga planen för bottenlevande arter i Nordsjön och anser att dessa åtgärder ska vara ändamålsenliga, grundas på vetenskapliga råd och inte oproportionerligt drabba småskaligt kustnära fiske som fiskar med passiva redskap. </w:t>
      </w:r>
    </w:p>
    <w:p w14:paraId="562BDFE9" w14:textId="77777777" w:rsidR="00A30442" w:rsidRPr="009D1CF0" w:rsidRDefault="00A30442" w:rsidP="00A30442">
      <w:pPr>
        <w:widowControl/>
        <w:rPr>
          <w:sz w:val="22"/>
          <w:szCs w:val="22"/>
        </w:rPr>
      </w:pPr>
    </w:p>
    <w:p w14:paraId="6C39C216" w14:textId="77777777" w:rsidR="00A30442" w:rsidRPr="009D1CF0" w:rsidRDefault="00A30442" w:rsidP="00A30442">
      <w:pPr>
        <w:widowControl/>
        <w:rPr>
          <w:sz w:val="22"/>
          <w:szCs w:val="22"/>
        </w:rPr>
      </w:pPr>
      <w:r w:rsidRPr="009D1CF0">
        <w:rPr>
          <w:sz w:val="22"/>
          <w:szCs w:val="22"/>
        </w:rPr>
        <w:t xml:space="preserve">Regeringen stödjer att TAC för havskräfta och rödspätta anpassas för att undvika bifångster av torsk och sjötunga, givet beståndssituationen för torsk i Kattegatt och Skagerrak samt tunga i Kattegatt och södra Östersjön. </w:t>
      </w:r>
    </w:p>
    <w:p w14:paraId="7ED7BB07" w14:textId="77777777" w:rsidR="00A30442" w:rsidRPr="009D1CF0" w:rsidRDefault="00A30442" w:rsidP="00A30442">
      <w:pPr>
        <w:widowControl/>
        <w:rPr>
          <w:sz w:val="22"/>
          <w:szCs w:val="22"/>
        </w:rPr>
      </w:pPr>
    </w:p>
    <w:p w14:paraId="352EF142" w14:textId="77777777" w:rsidR="00A30442" w:rsidRPr="009D1CF0" w:rsidRDefault="00A30442" w:rsidP="00A30442">
      <w:pPr>
        <w:widowControl/>
        <w:rPr>
          <w:sz w:val="22"/>
          <w:szCs w:val="22"/>
        </w:rPr>
      </w:pPr>
      <w:r w:rsidRPr="009D1CF0">
        <w:rPr>
          <w:sz w:val="22"/>
          <w:szCs w:val="22"/>
        </w:rPr>
        <w:t xml:space="preserve">Regeringen stödjer att de utkast som är tillåtna genom överlevnadsundantag till landningsskyldigheten dras av från </w:t>
      </w:r>
      <w:proofErr w:type="spellStart"/>
      <w:r w:rsidRPr="009D1CF0">
        <w:rPr>
          <w:sz w:val="22"/>
          <w:szCs w:val="22"/>
        </w:rPr>
        <w:t>TAC:er</w:t>
      </w:r>
      <w:proofErr w:type="spellEnd"/>
      <w:r w:rsidRPr="009D1CF0">
        <w:rPr>
          <w:sz w:val="22"/>
          <w:szCs w:val="22"/>
        </w:rPr>
        <w:t xml:space="preserve"> och anser att korrekt data ska används för ändamålet. </w:t>
      </w:r>
    </w:p>
    <w:p w14:paraId="64EA323D" w14:textId="77777777" w:rsidR="00A30442" w:rsidRPr="009D1CF0" w:rsidRDefault="00A30442" w:rsidP="00A30442">
      <w:pPr>
        <w:widowControl/>
        <w:rPr>
          <w:sz w:val="22"/>
          <w:szCs w:val="22"/>
        </w:rPr>
      </w:pPr>
    </w:p>
    <w:p w14:paraId="19EEDF1A" w14:textId="07963005" w:rsidR="00987069" w:rsidRPr="009D1CF0" w:rsidRDefault="00A30442" w:rsidP="00A30442">
      <w:pPr>
        <w:widowControl/>
        <w:rPr>
          <w:sz w:val="22"/>
          <w:szCs w:val="22"/>
        </w:rPr>
      </w:pPr>
      <w:r w:rsidRPr="009D1CF0">
        <w:rPr>
          <w:sz w:val="22"/>
          <w:szCs w:val="22"/>
        </w:rPr>
        <w:t xml:space="preserve">Vad gäller ål anser regeringen att bevarandeåtgärder behöver omfatta ålens hela livscykel och annan mänsklig påverkan på beståndet för att få effekt. Regeringen anser därför att ett effektivt genomförande av EU:s ålförordning bör säkerställas i hela unionen. Ansvaret för att bevara ålen behöver fördelas jämlikt bland medlemsstaterna och ge jämlika förutsättningar för ett framtida hållbart ålfiske. Regeringen ställer sig positiv till den fortsatta möjligheten att samordna förbudsperioden mellan EU:s medlemsstater inom Östersjö- och Västerhavsregionen, i regionalisering eller direkt i förordningen i syfte att främja ålens möjlighet att vandra ut ur Östersjön utan att fiskas upp på vägen. </w:t>
      </w:r>
    </w:p>
    <w:p w14:paraId="00B7EA3C" w14:textId="2AA1BC44" w:rsidR="00987069" w:rsidRPr="009D1CF0" w:rsidRDefault="00987069" w:rsidP="00987069">
      <w:pPr>
        <w:widowControl/>
        <w:rPr>
          <w:sz w:val="22"/>
          <w:szCs w:val="22"/>
        </w:rPr>
      </w:pPr>
    </w:p>
    <w:p w14:paraId="19C04696" w14:textId="0060AB38" w:rsidR="00987069" w:rsidRPr="009D1CF0" w:rsidRDefault="00987069" w:rsidP="00987069">
      <w:pPr>
        <w:widowControl/>
        <w:rPr>
          <w:sz w:val="22"/>
          <w:szCs w:val="22"/>
        </w:rPr>
      </w:pPr>
    </w:p>
    <w:p w14:paraId="17954073" w14:textId="53D64758" w:rsidR="00987069" w:rsidRPr="009D1CF0" w:rsidRDefault="00987069" w:rsidP="00987069">
      <w:pPr>
        <w:widowControl/>
        <w:rPr>
          <w:sz w:val="22"/>
          <w:szCs w:val="22"/>
        </w:rPr>
      </w:pPr>
    </w:p>
    <w:p w14:paraId="5E7BD713" w14:textId="4FF6CEF1" w:rsidR="00987069" w:rsidRPr="009D1CF0" w:rsidRDefault="00987069" w:rsidP="00987069">
      <w:pPr>
        <w:widowControl/>
        <w:rPr>
          <w:sz w:val="22"/>
          <w:szCs w:val="22"/>
        </w:rPr>
      </w:pPr>
    </w:p>
    <w:p w14:paraId="4A6DC1A0" w14:textId="6FA9FB4D" w:rsidR="00987069" w:rsidRPr="009D1CF0" w:rsidRDefault="00987069" w:rsidP="00987069">
      <w:pPr>
        <w:widowControl/>
        <w:rPr>
          <w:sz w:val="22"/>
          <w:szCs w:val="22"/>
        </w:rPr>
      </w:pPr>
    </w:p>
    <w:p w14:paraId="671AB38E" w14:textId="06672EB9" w:rsidR="00987069" w:rsidRPr="009D1CF0" w:rsidRDefault="00987069" w:rsidP="00987069">
      <w:pPr>
        <w:widowControl/>
        <w:rPr>
          <w:sz w:val="22"/>
          <w:szCs w:val="22"/>
        </w:rPr>
      </w:pPr>
    </w:p>
    <w:p w14:paraId="3F782468" w14:textId="7F198245" w:rsidR="00987069" w:rsidRPr="009D1CF0" w:rsidRDefault="00987069" w:rsidP="00987069">
      <w:pPr>
        <w:widowControl/>
        <w:rPr>
          <w:sz w:val="22"/>
          <w:szCs w:val="22"/>
        </w:rPr>
      </w:pPr>
    </w:p>
    <w:p w14:paraId="10A77EC4" w14:textId="04B6D5B0" w:rsidR="00987069" w:rsidRPr="009D1CF0" w:rsidRDefault="00987069" w:rsidP="00987069">
      <w:pPr>
        <w:widowControl/>
        <w:rPr>
          <w:sz w:val="22"/>
          <w:szCs w:val="22"/>
        </w:rPr>
      </w:pPr>
    </w:p>
    <w:p w14:paraId="7530620E" w14:textId="5C2E97DD" w:rsidR="00987069" w:rsidRPr="009D1CF0" w:rsidRDefault="00987069" w:rsidP="00987069">
      <w:pPr>
        <w:widowControl/>
        <w:rPr>
          <w:sz w:val="22"/>
          <w:szCs w:val="22"/>
        </w:rPr>
      </w:pPr>
    </w:p>
    <w:p w14:paraId="0284DEF8" w14:textId="758284CF" w:rsidR="009D1CF0" w:rsidRDefault="009D1CF0">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03522F96"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014B8E">
              <w:rPr>
                <w:sz w:val="22"/>
                <w:szCs w:val="22"/>
              </w:rPr>
              <w:t>18</w:t>
            </w:r>
          </w:p>
        </w:tc>
      </w:tr>
    </w:tbl>
    <w:p w14:paraId="1BEA0577" w14:textId="5D5DBF09" w:rsidR="00987069" w:rsidRDefault="00987069" w:rsidP="00987069">
      <w:pPr>
        <w:tabs>
          <w:tab w:val="left" w:pos="142"/>
          <w:tab w:val="left" w:pos="7655"/>
        </w:tabs>
        <w:ind w:right="-568"/>
        <w:rPr>
          <w:sz w:val="22"/>
          <w:szCs w:val="22"/>
        </w:rPr>
      </w:pPr>
    </w:p>
    <w:p w14:paraId="1066A1FA" w14:textId="77777777" w:rsidR="009D1CF0" w:rsidRDefault="009D1CF0" w:rsidP="009D1CF0">
      <w:pPr>
        <w:rPr>
          <w:b/>
          <w:sz w:val="22"/>
          <w:szCs w:val="22"/>
        </w:rPr>
      </w:pPr>
      <w:r w:rsidRPr="00FD36EE">
        <w:rPr>
          <w:b/>
          <w:sz w:val="22"/>
          <w:szCs w:val="22"/>
        </w:rPr>
        <w:t>Förslag till rådets förordning om fastställande för 2026, 2027 och 2028 av fiskemöjligheterna avseende vissa fiskbestånd, i unionens vatten och, för unionsfiskefartyg, i vissa andra vatten</w:t>
      </w:r>
    </w:p>
    <w:p w14:paraId="4C60AB0B" w14:textId="77777777" w:rsidR="009D1CF0" w:rsidRDefault="009D1CF0" w:rsidP="009D1CF0">
      <w:pPr>
        <w:rPr>
          <w:rFonts w:eastAsia="Calibri"/>
          <w:b/>
          <w:bCs/>
          <w:color w:val="000000"/>
          <w:sz w:val="22"/>
          <w:szCs w:val="22"/>
          <w:lang w:eastAsia="en-US"/>
        </w:rPr>
      </w:pPr>
    </w:p>
    <w:p w14:paraId="338E99D1" w14:textId="77777777" w:rsidR="009D1CF0" w:rsidRPr="00E87D9D" w:rsidRDefault="009D1CF0" w:rsidP="009D1CF0">
      <w:pPr>
        <w:tabs>
          <w:tab w:val="left" w:pos="1701"/>
        </w:tabs>
        <w:rPr>
          <w:b/>
          <w:bCs/>
          <w:color w:val="000000"/>
          <w:sz w:val="22"/>
          <w:szCs w:val="22"/>
        </w:rPr>
      </w:pPr>
      <w:r w:rsidRPr="00E87D9D">
        <w:rPr>
          <w:b/>
          <w:bCs/>
          <w:color w:val="000000"/>
          <w:sz w:val="22"/>
          <w:szCs w:val="22"/>
        </w:rPr>
        <w:t>V- och MP-ledamöterna anmälde följande avvikande ståndpunkt:</w:t>
      </w:r>
    </w:p>
    <w:p w14:paraId="00AFB215" w14:textId="77777777" w:rsidR="009D1CF0" w:rsidRPr="00266520" w:rsidRDefault="009D1CF0" w:rsidP="009D1CF0">
      <w:pPr>
        <w:tabs>
          <w:tab w:val="left" w:pos="1701"/>
        </w:tabs>
        <w:rPr>
          <w:b/>
          <w:bCs/>
          <w:color w:val="000000"/>
          <w:sz w:val="22"/>
          <w:szCs w:val="22"/>
          <w:highlight w:val="yellow"/>
        </w:rPr>
      </w:pPr>
    </w:p>
    <w:p w14:paraId="6F4F8A38" w14:textId="77777777" w:rsidR="009D1CF0" w:rsidRDefault="009D1CF0" w:rsidP="009D1CF0">
      <w:pPr>
        <w:rPr>
          <w:sz w:val="22"/>
          <w:szCs w:val="22"/>
        </w:rPr>
      </w:pPr>
      <w:r w:rsidRPr="00266520">
        <w:rPr>
          <w:sz w:val="22"/>
          <w:szCs w:val="22"/>
        </w:rPr>
        <w:t xml:space="preserve">Vi anser att Sverige bör verka för ett totalförbud mot ålfiske inom hela EU och för alla livsstadier under hela året, i linje med ICES rekommendationer. </w:t>
      </w:r>
    </w:p>
    <w:p w14:paraId="59768832" w14:textId="77777777" w:rsidR="009D1CF0" w:rsidRPr="00266520" w:rsidRDefault="009D1CF0" w:rsidP="009D1CF0">
      <w:pPr>
        <w:rPr>
          <w:sz w:val="22"/>
          <w:szCs w:val="22"/>
        </w:rPr>
      </w:pPr>
    </w:p>
    <w:p w14:paraId="3353C34D" w14:textId="77777777" w:rsidR="009D1CF0" w:rsidRDefault="009D1CF0" w:rsidP="009D1CF0">
      <w:pPr>
        <w:rPr>
          <w:sz w:val="22"/>
          <w:szCs w:val="22"/>
        </w:rPr>
      </w:pPr>
      <w:r w:rsidRPr="00266520">
        <w:rPr>
          <w:sz w:val="22"/>
          <w:szCs w:val="22"/>
        </w:rPr>
        <w:t>Den europeiska ålen är en akut hotad art som skulle gynnas av ett totalstopp av allt ålfiske inom hela EU. Annan dödlighet av ål orsakad av människan måste också minimeras. Med tanke på ålens akuta situation bör även andra skyddsåtgärder vidtas omgående, annars riskerar den europeiska ålen att helt försvinna.</w:t>
      </w:r>
    </w:p>
    <w:p w14:paraId="2F783259" w14:textId="77777777" w:rsidR="009D1CF0" w:rsidRPr="00266520" w:rsidRDefault="009D1CF0" w:rsidP="009D1CF0">
      <w:pPr>
        <w:rPr>
          <w:sz w:val="22"/>
          <w:szCs w:val="22"/>
        </w:rPr>
      </w:pPr>
    </w:p>
    <w:p w14:paraId="31303DD9" w14:textId="77777777" w:rsidR="009D1CF0" w:rsidRPr="00266520" w:rsidRDefault="009D1CF0" w:rsidP="009D1CF0">
      <w:pPr>
        <w:rPr>
          <w:sz w:val="22"/>
          <w:szCs w:val="22"/>
        </w:rPr>
      </w:pPr>
      <w:r w:rsidRPr="00266520">
        <w:rPr>
          <w:sz w:val="22"/>
          <w:szCs w:val="22"/>
        </w:rPr>
        <w:t xml:space="preserve">Sverige bör driva följande övergripande ståndpunkter gällande fiskemöjligheter: TAC-nivåer och kvoter bör grundas på en ekosystembaserad fiskeförvaltning med betoning på resursens bevarande och dess betydelse i ekosystemets funktion, samt på vetenskapliga fångstråd om fiskeridödlighetsnivåer. De fiskemöjligheter som omfattas av flerårsplaner bör följa intervall för MSY som fastställts i planerna. För bestånd där MSY-råd inte finns att tillgå bör förslagen grundas på försiktighetsansatsen. </w:t>
      </w:r>
    </w:p>
    <w:p w14:paraId="22C18C8B" w14:textId="77777777" w:rsidR="009D1CF0" w:rsidRPr="00DB2A28" w:rsidRDefault="009D1CF0" w:rsidP="009D1CF0">
      <w:pPr>
        <w:rPr>
          <w:b/>
          <w:bCs/>
          <w:color w:val="000000"/>
          <w:sz w:val="22"/>
          <w:szCs w:val="22"/>
          <w:highlight w:val="yellow"/>
        </w:rPr>
      </w:pPr>
    </w:p>
    <w:p w14:paraId="76397ABF" w14:textId="77777777" w:rsidR="009D1CF0" w:rsidRDefault="009D1CF0" w:rsidP="009D1CF0"/>
    <w:p w14:paraId="70769608" w14:textId="77777777" w:rsidR="009D1CF0" w:rsidRPr="00885BCB" w:rsidRDefault="009D1CF0" w:rsidP="00987069">
      <w:pPr>
        <w:tabs>
          <w:tab w:val="left" w:pos="142"/>
          <w:tab w:val="left" w:pos="7655"/>
        </w:tabs>
        <w:ind w:right="-568"/>
        <w:rPr>
          <w:sz w:val="22"/>
          <w:szCs w:val="22"/>
        </w:rPr>
      </w:pPr>
    </w:p>
    <w:sectPr w:rsidR="009D1CF0"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BB3C" w14:textId="77777777" w:rsidR="00415320" w:rsidRDefault="00415320">
      <w:r>
        <w:separator/>
      </w:r>
    </w:p>
  </w:endnote>
  <w:endnote w:type="continuationSeparator" w:id="0">
    <w:p w14:paraId="104D756D" w14:textId="77777777" w:rsidR="00415320" w:rsidRDefault="0041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6498" w14:textId="77777777" w:rsidR="00415320" w:rsidRDefault="00415320">
      <w:r>
        <w:separator/>
      </w:r>
    </w:p>
  </w:footnote>
  <w:footnote w:type="continuationSeparator" w:id="0">
    <w:p w14:paraId="4E0DE797" w14:textId="77777777" w:rsidR="00415320" w:rsidRDefault="0041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B8E"/>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5001"/>
    <w:rsid w:val="00076BDD"/>
    <w:rsid w:val="00086A67"/>
    <w:rsid w:val="00087ADB"/>
    <w:rsid w:val="00090A26"/>
    <w:rsid w:val="00091EA6"/>
    <w:rsid w:val="000A29E4"/>
    <w:rsid w:val="000A6B98"/>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3778"/>
    <w:rsid w:val="00194DBF"/>
    <w:rsid w:val="001A198D"/>
    <w:rsid w:val="001A35A0"/>
    <w:rsid w:val="001D2A3D"/>
    <w:rsid w:val="001D3FD1"/>
    <w:rsid w:val="001D7100"/>
    <w:rsid w:val="001D7BA2"/>
    <w:rsid w:val="001E1F27"/>
    <w:rsid w:val="001E22D1"/>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68EE"/>
    <w:rsid w:val="002A14AC"/>
    <w:rsid w:val="002A3C5F"/>
    <w:rsid w:val="002B19B5"/>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1607"/>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D5477"/>
    <w:rsid w:val="003E21B4"/>
    <w:rsid w:val="003E2DA5"/>
    <w:rsid w:val="003E370A"/>
    <w:rsid w:val="003E6695"/>
    <w:rsid w:val="003F5018"/>
    <w:rsid w:val="003F7963"/>
    <w:rsid w:val="0040271E"/>
    <w:rsid w:val="00402A6F"/>
    <w:rsid w:val="00405162"/>
    <w:rsid w:val="004072D7"/>
    <w:rsid w:val="00415320"/>
    <w:rsid w:val="00416E51"/>
    <w:rsid w:val="00417CF8"/>
    <w:rsid w:val="00420D39"/>
    <w:rsid w:val="004310CA"/>
    <w:rsid w:val="00440E5D"/>
    <w:rsid w:val="00451DB7"/>
    <w:rsid w:val="00455CA4"/>
    <w:rsid w:val="00461BF1"/>
    <w:rsid w:val="00463E6E"/>
    <w:rsid w:val="00464559"/>
    <w:rsid w:val="00467848"/>
    <w:rsid w:val="00470F4B"/>
    <w:rsid w:val="004763AE"/>
    <w:rsid w:val="0047654D"/>
    <w:rsid w:val="00481A80"/>
    <w:rsid w:val="00481AE3"/>
    <w:rsid w:val="00482D9A"/>
    <w:rsid w:val="00485C5B"/>
    <w:rsid w:val="004945A7"/>
    <w:rsid w:val="00496312"/>
    <w:rsid w:val="004A5400"/>
    <w:rsid w:val="004A7C15"/>
    <w:rsid w:val="004B1E7E"/>
    <w:rsid w:val="004C58F4"/>
    <w:rsid w:val="004D031E"/>
    <w:rsid w:val="004D4573"/>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5441A"/>
    <w:rsid w:val="005551CD"/>
    <w:rsid w:val="005654CA"/>
    <w:rsid w:val="00573E17"/>
    <w:rsid w:val="00573F9E"/>
    <w:rsid w:val="00575332"/>
    <w:rsid w:val="005855D5"/>
    <w:rsid w:val="005957E5"/>
    <w:rsid w:val="005A3E8B"/>
    <w:rsid w:val="005A70AC"/>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4530"/>
    <w:rsid w:val="006D5F8F"/>
    <w:rsid w:val="006E15D9"/>
    <w:rsid w:val="006F2062"/>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18E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463C"/>
    <w:rsid w:val="00856389"/>
    <w:rsid w:val="00865092"/>
    <w:rsid w:val="00865593"/>
    <w:rsid w:val="00865C85"/>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87B08"/>
    <w:rsid w:val="00994906"/>
    <w:rsid w:val="009A0C25"/>
    <w:rsid w:val="009B0833"/>
    <w:rsid w:val="009B0A47"/>
    <w:rsid w:val="009B1CDF"/>
    <w:rsid w:val="009B1EEE"/>
    <w:rsid w:val="009B38A7"/>
    <w:rsid w:val="009B45EF"/>
    <w:rsid w:val="009B5CCC"/>
    <w:rsid w:val="009C0C9D"/>
    <w:rsid w:val="009D1CF0"/>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044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1C94"/>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58A4"/>
    <w:rsid w:val="00D1794C"/>
    <w:rsid w:val="00D27454"/>
    <w:rsid w:val="00D27A57"/>
    <w:rsid w:val="00D27BCE"/>
    <w:rsid w:val="00D303F8"/>
    <w:rsid w:val="00D30A97"/>
    <w:rsid w:val="00D4511B"/>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25CD"/>
    <w:rsid w:val="00E43C72"/>
    <w:rsid w:val="00E44E30"/>
    <w:rsid w:val="00E47577"/>
    <w:rsid w:val="00E53E73"/>
    <w:rsid w:val="00E5426C"/>
    <w:rsid w:val="00E54E79"/>
    <w:rsid w:val="00E60AE8"/>
    <w:rsid w:val="00E83E35"/>
    <w:rsid w:val="00E937E1"/>
    <w:rsid w:val="00EA5C1E"/>
    <w:rsid w:val="00EB321F"/>
    <w:rsid w:val="00EB5801"/>
    <w:rsid w:val="00EC7E9B"/>
    <w:rsid w:val="00EE0BF7"/>
    <w:rsid w:val="00EE6E7B"/>
    <w:rsid w:val="00EF1B0A"/>
    <w:rsid w:val="00EF4ADF"/>
    <w:rsid w:val="00EF4B6A"/>
    <w:rsid w:val="00F06942"/>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rsid w:val="00A30442"/>
    <w:rPr>
      <w:sz w:val="24"/>
    </w:rPr>
  </w:style>
  <w:style w:type="character" w:customStyle="1" w:styleId="normaltextrun">
    <w:name w:val="normaltextrun"/>
    <w:basedOn w:val="Standardstycketeckensnitt"/>
    <w:rsid w:val="009D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339388358">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7265</Characters>
  <Application>Microsoft Office Word</Application>
  <DocSecurity>0</DocSecurity>
  <Lines>908</Lines>
  <Paragraphs>257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2025-12-09T08:43:00Z</cp:lastPrinted>
  <dcterms:created xsi:type="dcterms:W3CDTF">2025-12-09T08:44:00Z</dcterms:created>
  <dcterms:modified xsi:type="dcterms:W3CDTF">2025-12-11T07:18:00Z</dcterms:modified>
</cp:coreProperties>
</file>