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20</w:t>
            </w:r>
            <w:r w:rsidR="00723D66" w:rsidRPr="00BA38FB">
              <w:rPr>
                <w:b/>
                <w:szCs w:val="24"/>
              </w:rPr>
              <w:t>/</w:t>
            </w:r>
            <w:r w:rsidR="009D3BD1">
              <w:rPr>
                <w:b/>
                <w:szCs w:val="24"/>
              </w:rPr>
              <w:t>2</w:t>
            </w:r>
            <w:r w:rsidR="00BB1303">
              <w:rPr>
                <w:b/>
                <w:szCs w:val="24"/>
              </w:rPr>
              <w:t>1</w:t>
            </w:r>
            <w:r w:rsidR="0096348C" w:rsidRPr="00BA38FB">
              <w:rPr>
                <w:b/>
                <w:szCs w:val="24"/>
              </w:rPr>
              <w:t>:</w:t>
            </w:r>
            <w:r w:rsidR="00B5365D">
              <w:rPr>
                <w:b/>
                <w:szCs w:val="24"/>
              </w:rPr>
              <w:t>1</w:t>
            </w:r>
            <w:r w:rsidR="00BB1303">
              <w:rPr>
                <w:b/>
                <w:szCs w:val="24"/>
              </w:rPr>
              <w:t>1</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20-12-15</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B27A57" w:rsidP="0096348C">
            <w:pPr>
              <w:rPr>
                <w:szCs w:val="24"/>
              </w:rPr>
            </w:pPr>
            <w:r>
              <w:rPr>
                <w:szCs w:val="24"/>
              </w:rPr>
              <w:t>10</w:t>
            </w:r>
            <w:r w:rsidR="00B22051">
              <w:rPr>
                <w:szCs w:val="24"/>
              </w:rPr>
              <w:t>.</w:t>
            </w:r>
            <w:r w:rsidR="001B638C">
              <w:rPr>
                <w:szCs w:val="24"/>
              </w:rPr>
              <w:t>3</w:t>
            </w:r>
            <w:r w:rsidR="002108A9" w:rsidRPr="00FA08AC">
              <w:rPr>
                <w:szCs w:val="24"/>
              </w:rPr>
              <w:t>0</w:t>
            </w:r>
            <w:r w:rsidR="00615E83" w:rsidRPr="00FA08AC">
              <w:rPr>
                <w:szCs w:val="24"/>
              </w:rPr>
              <w:t>–</w:t>
            </w:r>
            <w:r w:rsidR="00921232">
              <w:rPr>
                <w:szCs w:val="24"/>
              </w:rPr>
              <w:t>11</w:t>
            </w:r>
            <w:r w:rsidR="008E2CD0">
              <w:rPr>
                <w:szCs w:val="24"/>
              </w:rPr>
              <w:t>.</w:t>
            </w:r>
            <w:r w:rsidR="00921232">
              <w:rPr>
                <w:szCs w:val="24"/>
              </w:rPr>
              <w:t>45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2F1627">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9D2BC5" w:rsidRDefault="00570CB6" w:rsidP="009D3BD1">
            <w:pPr>
              <w:tabs>
                <w:tab w:val="left" w:pos="1701"/>
              </w:tabs>
              <w:rPr>
                <w:b/>
                <w:snapToGrid w:val="0"/>
                <w:szCs w:val="24"/>
              </w:rPr>
            </w:pPr>
            <w:r>
              <w:rPr>
                <w:b/>
                <w:snapToGrid w:val="0"/>
                <w:szCs w:val="24"/>
              </w:rPr>
              <w:t xml:space="preserve">Medgivande att delta på distans </w:t>
            </w:r>
          </w:p>
          <w:p w:rsidR="00570CB6" w:rsidRDefault="00570CB6" w:rsidP="009D3BD1">
            <w:pPr>
              <w:tabs>
                <w:tab w:val="left" w:pos="1701"/>
              </w:tabs>
              <w:rPr>
                <w:b/>
                <w:snapToGrid w:val="0"/>
                <w:szCs w:val="24"/>
              </w:rPr>
            </w:pPr>
          </w:p>
          <w:p w:rsidR="0036254D" w:rsidRDefault="00570CB6" w:rsidP="009D2BC5">
            <w:pPr>
              <w:tabs>
                <w:tab w:val="left" w:pos="1701"/>
              </w:tabs>
              <w:rPr>
                <w:snapToGrid w:val="0"/>
                <w:szCs w:val="24"/>
              </w:rPr>
            </w:pPr>
            <w:r w:rsidRPr="00E839B8">
              <w:rPr>
                <w:snapToGrid w:val="0"/>
                <w:szCs w:val="24"/>
              </w:rPr>
              <w:t xml:space="preserve">Utskottet </w:t>
            </w:r>
            <w:r w:rsidRPr="00015415">
              <w:rPr>
                <w:snapToGrid w:val="0"/>
                <w:szCs w:val="24"/>
              </w:rPr>
              <w:t>medgav deltagande på distans för följande ordinarie ledamöter och suppleanter</w:t>
            </w:r>
            <w:r w:rsidRPr="007510F8">
              <w:rPr>
                <w:snapToGrid w:val="0"/>
                <w:szCs w:val="24"/>
              </w:rPr>
              <w:t xml:space="preserve">: Johan Löfstrand (S), Josefin Malmqvist (M), Elin Lundgren (S), Cecilie Tenfjord Toftby (M), Mikael Eskilandersson (SD), Leif Nysmed (S), Ola Johansson (C), Momodou Malcolm Jallow (V), Lars Beckman (M), Roger Hedlund (SD), Sanne Lennström (S), Joakim Järrebring (S), Angelica Lundberg (SD), </w:t>
            </w:r>
            <w:r w:rsidR="00E75CC6" w:rsidRPr="007510F8">
              <w:rPr>
                <w:snapToGrid w:val="0"/>
                <w:szCs w:val="24"/>
              </w:rPr>
              <w:t xml:space="preserve">Emma Hult (MP), </w:t>
            </w:r>
            <w:r w:rsidRPr="007510F8">
              <w:rPr>
                <w:snapToGrid w:val="0"/>
                <w:szCs w:val="24"/>
              </w:rPr>
              <w:t>David Josefsson (M), Ola Möller (S), Martina Johansson (C), Jon Thorbjörnsson (V), Malin Danielsson (L) och Anne-Li Sjölund (C).</w:t>
            </w:r>
          </w:p>
          <w:p w:rsidR="0036254D" w:rsidRDefault="0036254D" w:rsidP="009D2BC5">
            <w:pPr>
              <w:tabs>
                <w:tab w:val="left" w:pos="1701"/>
              </w:tabs>
              <w:rPr>
                <w:snapToGrid w:val="0"/>
                <w:szCs w:val="24"/>
              </w:rPr>
            </w:pPr>
          </w:p>
          <w:p w:rsidR="0036254D" w:rsidRDefault="0036254D" w:rsidP="009D2BC5">
            <w:pPr>
              <w:tabs>
                <w:tab w:val="left" w:pos="1701"/>
              </w:tabs>
              <w:rPr>
                <w:snapToGrid w:val="0"/>
                <w:szCs w:val="24"/>
              </w:rPr>
            </w:pPr>
            <w:r>
              <w:rPr>
                <w:snapToGrid w:val="0"/>
                <w:szCs w:val="24"/>
              </w:rPr>
              <w:t xml:space="preserve">Två </w:t>
            </w:r>
            <w:r w:rsidR="00570CB6" w:rsidRPr="00015415">
              <w:rPr>
                <w:snapToGrid w:val="0"/>
                <w:szCs w:val="24"/>
              </w:rPr>
              <w:t>tjänstemän från civilutskottets kansli</w:t>
            </w:r>
            <w:r w:rsidR="00B327BA">
              <w:rPr>
                <w:snapToGrid w:val="0"/>
                <w:szCs w:val="24"/>
              </w:rPr>
              <w:t xml:space="preserve"> </w:t>
            </w:r>
            <w:r>
              <w:rPr>
                <w:snapToGrid w:val="0"/>
                <w:szCs w:val="24"/>
              </w:rPr>
              <w:t>var uppkopplade på distans.</w:t>
            </w:r>
          </w:p>
          <w:p w:rsidR="0036254D" w:rsidRDefault="0036254D" w:rsidP="009D2BC5">
            <w:pPr>
              <w:tabs>
                <w:tab w:val="left" w:pos="1701"/>
              </w:tabs>
              <w:rPr>
                <w:snapToGrid w:val="0"/>
                <w:szCs w:val="24"/>
              </w:rPr>
            </w:pPr>
          </w:p>
          <w:p w:rsidR="009D3BD1" w:rsidRDefault="0036254D" w:rsidP="009D2BC5">
            <w:pPr>
              <w:tabs>
                <w:tab w:val="left" w:pos="1701"/>
              </w:tabs>
              <w:rPr>
                <w:snapToGrid w:val="0"/>
                <w:szCs w:val="24"/>
              </w:rPr>
            </w:pPr>
            <w:r>
              <w:rPr>
                <w:snapToGrid w:val="0"/>
                <w:szCs w:val="24"/>
              </w:rPr>
              <w:t xml:space="preserve">En tjänsteman </w:t>
            </w:r>
            <w:r w:rsidR="00F23124">
              <w:rPr>
                <w:snapToGrid w:val="0"/>
                <w:szCs w:val="24"/>
              </w:rPr>
              <w:t xml:space="preserve">från </w:t>
            </w:r>
            <w:r w:rsidR="00B327BA">
              <w:rPr>
                <w:snapToGrid w:val="0"/>
                <w:szCs w:val="24"/>
              </w:rPr>
              <w:t>EU-nämnden</w:t>
            </w:r>
            <w:r>
              <w:rPr>
                <w:snapToGrid w:val="0"/>
                <w:szCs w:val="24"/>
              </w:rPr>
              <w:t>s kansli var uppkopplad på distans under punkt 4.</w:t>
            </w:r>
          </w:p>
          <w:p w:rsidR="00937A42" w:rsidRPr="00BA38FB" w:rsidRDefault="00937A42" w:rsidP="009D2BC5">
            <w:pPr>
              <w:tabs>
                <w:tab w:val="left" w:pos="1701"/>
              </w:tabs>
              <w:rPr>
                <w:snapToGrid w:val="0"/>
                <w:szCs w:val="24"/>
              </w:rPr>
            </w:pPr>
          </w:p>
        </w:tc>
      </w:tr>
      <w:tr w:rsidR="009C56EA" w:rsidRPr="00BA38FB" w:rsidTr="002F1627">
        <w:tc>
          <w:tcPr>
            <w:tcW w:w="567" w:type="dxa"/>
          </w:tcPr>
          <w:p w:rsidR="009C56EA" w:rsidRPr="00BA38FB" w:rsidRDefault="009C56EA" w:rsidP="009C56EA">
            <w:pPr>
              <w:tabs>
                <w:tab w:val="left" w:pos="1701"/>
              </w:tabs>
              <w:rPr>
                <w:b/>
                <w:snapToGrid w:val="0"/>
                <w:szCs w:val="24"/>
              </w:rPr>
            </w:pPr>
            <w:r>
              <w:rPr>
                <w:b/>
                <w:snapToGrid w:val="0"/>
                <w:szCs w:val="24"/>
              </w:rPr>
              <w:t>§ 2</w:t>
            </w:r>
          </w:p>
        </w:tc>
        <w:tc>
          <w:tcPr>
            <w:tcW w:w="6947" w:type="dxa"/>
          </w:tcPr>
          <w:p w:rsidR="00AE6E0B" w:rsidRDefault="008F08E5" w:rsidP="00B65CD7">
            <w:pPr>
              <w:tabs>
                <w:tab w:val="left" w:pos="1701"/>
              </w:tabs>
              <w:rPr>
                <w:b/>
                <w:bCs/>
                <w:szCs w:val="24"/>
              </w:rPr>
            </w:pPr>
            <w:r>
              <w:rPr>
                <w:b/>
                <w:bCs/>
                <w:szCs w:val="24"/>
              </w:rPr>
              <w:t>Beslut om s</w:t>
            </w:r>
            <w:r w:rsidR="00D03AC8" w:rsidRPr="00D03AC8">
              <w:rPr>
                <w:b/>
                <w:bCs/>
                <w:szCs w:val="24"/>
              </w:rPr>
              <w:t>ammanträdestid</w:t>
            </w:r>
          </w:p>
          <w:p w:rsidR="00A03D34" w:rsidRPr="00A03D34" w:rsidRDefault="00A03D34" w:rsidP="00A03D34">
            <w:pPr>
              <w:pStyle w:val="Normalwebb"/>
              <w:spacing w:before="0" w:beforeAutospacing="0"/>
              <w:rPr>
                <w:rFonts w:ascii="Times New Roman" w:hAnsi="Times New Roman" w:cs="Times New Roman"/>
                <w:color w:val="222222"/>
                <w:sz w:val="24"/>
                <w:szCs w:val="24"/>
              </w:rPr>
            </w:pPr>
            <w:r>
              <w:rPr>
                <w:color w:val="222222"/>
              </w:rPr>
              <w:br/>
            </w:r>
            <w:r w:rsidRPr="00A03D34">
              <w:rPr>
                <w:rFonts w:ascii="Times New Roman" w:hAnsi="Times New Roman" w:cs="Times New Roman"/>
                <w:color w:val="222222"/>
                <w:sz w:val="24"/>
                <w:szCs w:val="24"/>
              </w:rPr>
              <w:t>Utskottet beslutade enligt 7 kap. 15 § riksdagsordningen (tilläggsbestämmelse 7.15.3) att sammanträda under arbetsplenum i kammaren.</w:t>
            </w:r>
          </w:p>
          <w:p w:rsidR="00A03D34" w:rsidRPr="00A03D34" w:rsidRDefault="00A03D34" w:rsidP="00A03D34">
            <w:pPr>
              <w:rPr>
                <w:snapToGrid w:val="0"/>
                <w:szCs w:val="24"/>
              </w:rPr>
            </w:pPr>
            <w:r w:rsidRPr="00A03D34">
              <w:rPr>
                <w:snapToGrid w:val="0"/>
                <w:szCs w:val="24"/>
              </w:rPr>
              <w:t>Denna paragraf förklarades omedelbart justerad.</w:t>
            </w:r>
            <w:r w:rsidR="008B34AC">
              <w:rPr>
                <w:snapToGrid w:val="0"/>
                <w:szCs w:val="24"/>
              </w:rPr>
              <w:t xml:space="preserve"> </w:t>
            </w:r>
          </w:p>
          <w:p w:rsidR="00307355" w:rsidRPr="00D03AC8" w:rsidRDefault="00307355" w:rsidP="00B65CD7">
            <w:pPr>
              <w:tabs>
                <w:tab w:val="left" w:pos="1701"/>
              </w:tabs>
              <w:rPr>
                <w:b/>
                <w:bCs/>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3</w:t>
            </w:r>
          </w:p>
        </w:tc>
        <w:tc>
          <w:tcPr>
            <w:tcW w:w="6947" w:type="dxa"/>
          </w:tcPr>
          <w:p w:rsidR="009D2BC5" w:rsidRDefault="009D2BC5" w:rsidP="009D2BC5">
            <w:pPr>
              <w:tabs>
                <w:tab w:val="left" w:pos="1701"/>
              </w:tabs>
              <w:rPr>
                <w:snapToGrid w:val="0"/>
                <w:szCs w:val="24"/>
              </w:rPr>
            </w:pPr>
            <w:r>
              <w:rPr>
                <w:b/>
                <w:snapToGrid w:val="0"/>
                <w:szCs w:val="24"/>
              </w:rPr>
              <w:t>Justering av protokoll</w:t>
            </w:r>
            <w:r>
              <w:rPr>
                <w:b/>
                <w:snapToGrid w:val="0"/>
                <w:szCs w:val="24"/>
              </w:rPr>
              <w:br/>
            </w:r>
            <w:r>
              <w:rPr>
                <w:b/>
                <w:snapToGrid w:val="0"/>
                <w:szCs w:val="24"/>
              </w:rPr>
              <w:br/>
            </w:r>
            <w:r>
              <w:rPr>
                <w:snapToGrid w:val="0"/>
                <w:szCs w:val="24"/>
              </w:rPr>
              <w:t>Utskottet justerade protokoll 2020/21:10.</w:t>
            </w:r>
          </w:p>
          <w:p w:rsidR="00AE6E0B" w:rsidRPr="009D2BC5" w:rsidRDefault="00AE6E0B" w:rsidP="009D2BC5">
            <w:pPr>
              <w:tabs>
                <w:tab w:val="left" w:pos="1701"/>
              </w:tabs>
              <w:rPr>
                <w:b/>
                <w:snapToGrid w:val="0"/>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4</w:t>
            </w:r>
          </w:p>
        </w:tc>
        <w:tc>
          <w:tcPr>
            <w:tcW w:w="6947" w:type="dxa"/>
          </w:tcPr>
          <w:p w:rsidR="00AE6E0B" w:rsidRDefault="00387092" w:rsidP="00B65CD7">
            <w:pPr>
              <w:tabs>
                <w:tab w:val="left" w:pos="1701"/>
              </w:tabs>
              <w:rPr>
                <w:b/>
                <w:bCs/>
                <w:szCs w:val="24"/>
              </w:rPr>
            </w:pPr>
            <w:r>
              <w:rPr>
                <w:b/>
                <w:bCs/>
                <w:szCs w:val="24"/>
              </w:rPr>
              <w:t xml:space="preserve">En </w:t>
            </w:r>
            <w:r w:rsidR="009D276E">
              <w:rPr>
                <w:b/>
                <w:bCs/>
                <w:szCs w:val="24"/>
              </w:rPr>
              <w:t xml:space="preserve">reviderad </w:t>
            </w:r>
            <w:r>
              <w:rPr>
                <w:b/>
                <w:bCs/>
                <w:szCs w:val="24"/>
              </w:rPr>
              <w:t xml:space="preserve">byggproduktförordning </w:t>
            </w:r>
          </w:p>
          <w:p w:rsidR="004B3E3A" w:rsidRDefault="004B3E3A" w:rsidP="00B65CD7">
            <w:pPr>
              <w:tabs>
                <w:tab w:val="left" w:pos="1701"/>
              </w:tabs>
              <w:rPr>
                <w:b/>
                <w:bCs/>
                <w:szCs w:val="24"/>
              </w:rPr>
            </w:pPr>
          </w:p>
          <w:p w:rsidR="008D012F" w:rsidRDefault="004B3E3A" w:rsidP="008D012F">
            <w:pPr>
              <w:tabs>
                <w:tab w:val="left" w:pos="1701"/>
              </w:tabs>
              <w:rPr>
                <w:bCs/>
                <w:szCs w:val="24"/>
              </w:rPr>
            </w:pPr>
            <w:r w:rsidRPr="00880A20">
              <w:rPr>
                <w:bCs/>
                <w:szCs w:val="24"/>
              </w:rPr>
              <w:t>Utskottet överlade med</w:t>
            </w:r>
            <w:r>
              <w:rPr>
                <w:bCs/>
                <w:szCs w:val="24"/>
              </w:rPr>
              <w:t xml:space="preserve"> </w:t>
            </w:r>
            <w:r w:rsidRPr="00880A20">
              <w:rPr>
                <w:bCs/>
                <w:szCs w:val="24"/>
              </w:rPr>
              <w:t>st</w:t>
            </w:r>
            <w:r>
              <w:rPr>
                <w:bCs/>
                <w:szCs w:val="24"/>
              </w:rPr>
              <w:t>atssekreterare Elin Olsson</w:t>
            </w:r>
            <w:r w:rsidR="008D012F">
              <w:rPr>
                <w:bCs/>
                <w:szCs w:val="24"/>
              </w:rPr>
              <w:t>, biträdd av medarbetare från Finansdepartementet. Statssekreteraren och medarbetarna deltog på distans.</w:t>
            </w:r>
          </w:p>
          <w:p w:rsidR="004B3E3A" w:rsidRDefault="004B3E3A" w:rsidP="004B3E3A">
            <w:pPr>
              <w:tabs>
                <w:tab w:val="left" w:pos="1701"/>
              </w:tabs>
              <w:rPr>
                <w:bCs/>
                <w:szCs w:val="24"/>
              </w:rPr>
            </w:pPr>
          </w:p>
          <w:p w:rsidR="004B3E3A" w:rsidRDefault="004B3E3A" w:rsidP="004B3E3A">
            <w:pPr>
              <w:tabs>
                <w:tab w:val="left" w:pos="1701"/>
              </w:tabs>
            </w:pPr>
            <w:r>
              <w:rPr>
                <w:bCs/>
                <w:szCs w:val="24"/>
              </w:rPr>
              <w:t>Underlaget utgjordes av Regeringskansliets överläggningspromemoria (dnr</w:t>
            </w:r>
            <w:r w:rsidR="003D07F1">
              <w:rPr>
                <w:bCs/>
                <w:szCs w:val="24"/>
              </w:rPr>
              <w:t xml:space="preserve"> </w:t>
            </w:r>
            <w:r w:rsidR="005E3B2C">
              <w:t>841–2020</w:t>
            </w:r>
            <w:r w:rsidR="003D07F1">
              <w:t>/21</w:t>
            </w:r>
            <w:r>
              <w:t xml:space="preserve">). </w:t>
            </w:r>
          </w:p>
          <w:p w:rsidR="004B3E3A" w:rsidRDefault="004B3E3A" w:rsidP="004B3E3A">
            <w:pPr>
              <w:tabs>
                <w:tab w:val="left" w:pos="1701"/>
              </w:tabs>
              <w:rPr>
                <w:bCs/>
                <w:szCs w:val="24"/>
              </w:rPr>
            </w:pPr>
          </w:p>
          <w:p w:rsidR="004B3E3A" w:rsidRDefault="004B3E3A" w:rsidP="004B3E3A">
            <w:pPr>
              <w:tabs>
                <w:tab w:val="left" w:pos="1701"/>
              </w:tabs>
              <w:rPr>
                <w:bCs/>
                <w:szCs w:val="24"/>
              </w:rPr>
            </w:pPr>
            <w:r>
              <w:rPr>
                <w:bCs/>
                <w:szCs w:val="24"/>
              </w:rPr>
              <w:t>Statssekreteraren redogjorde för regeringens ståndpunkt i enlighet med överläggningspromemorian (bil</w:t>
            </w:r>
            <w:r w:rsidR="003B76DA">
              <w:rPr>
                <w:bCs/>
                <w:szCs w:val="24"/>
              </w:rPr>
              <w:t>aga</w:t>
            </w:r>
            <w:r>
              <w:rPr>
                <w:bCs/>
                <w:szCs w:val="24"/>
              </w:rPr>
              <w:t xml:space="preserve"> 2). </w:t>
            </w:r>
          </w:p>
          <w:p w:rsidR="004B3E3A" w:rsidRDefault="004B3E3A" w:rsidP="004B3E3A">
            <w:pPr>
              <w:tabs>
                <w:tab w:val="left" w:pos="1701"/>
              </w:tabs>
              <w:rPr>
                <w:bCs/>
                <w:szCs w:val="24"/>
              </w:rPr>
            </w:pPr>
          </w:p>
          <w:p w:rsidR="004B3E3A" w:rsidRDefault="004B3E3A" w:rsidP="004B3E3A">
            <w:pPr>
              <w:tabs>
                <w:tab w:val="left" w:pos="1701"/>
              </w:tabs>
              <w:rPr>
                <w:bCs/>
                <w:szCs w:val="24"/>
              </w:rPr>
            </w:pPr>
            <w:r>
              <w:rPr>
                <w:bCs/>
                <w:szCs w:val="24"/>
              </w:rPr>
              <w:t xml:space="preserve">Ordföranden konstaterade att det fanns stöd för regeringens ståndpunkt. </w:t>
            </w:r>
          </w:p>
          <w:p w:rsidR="00A92DD1" w:rsidRDefault="00A92DD1" w:rsidP="004B3E3A">
            <w:pPr>
              <w:tabs>
                <w:tab w:val="left" w:pos="1701"/>
              </w:tabs>
              <w:rPr>
                <w:bCs/>
                <w:szCs w:val="24"/>
              </w:rPr>
            </w:pPr>
          </w:p>
          <w:p w:rsidR="00A92DD1" w:rsidRDefault="00A92DD1" w:rsidP="00A92DD1">
            <w:pPr>
              <w:tabs>
                <w:tab w:val="left" w:pos="1701"/>
              </w:tabs>
              <w:rPr>
                <w:bCs/>
                <w:szCs w:val="24"/>
              </w:rPr>
            </w:pPr>
            <w:r>
              <w:rPr>
                <w:bCs/>
                <w:szCs w:val="24"/>
              </w:rPr>
              <w:lastRenderedPageBreak/>
              <w:t>Denna paragraf förklarades omedelbart justerad.</w:t>
            </w:r>
          </w:p>
          <w:p w:rsidR="004B3E3A" w:rsidRPr="00370C65" w:rsidRDefault="004B3E3A" w:rsidP="00B65CD7">
            <w:pPr>
              <w:tabs>
                <w:tab w:val="left" w:pos="1701"/>
              </w:tabs>
              <w:rPr>
                <w:b/>
                <w:bCs/>
                <w:szCs w:val="24"/>
              </w:rPr>
            </w:pPr>
          </w:p>
        </w:tc>
      </w:tr>
      <w:tr w:rsidR="00AB2A4D" w:rsidRPr="00BA38FB" w:rsidTr="002F1627">
        <w:tc>
          <w:tcPr>
            <w:tcW w:w="567" w:type="dxa"/>
          </w:tcPr>
          <w:p w:rsidR="00AB2A4D" w:rsidRDefault="00AB2A4D" w:rsidP="009C56EA">
            <w:pPr>
              <w:tabs>
                <w:tab w:val="left" w:pos="1701"/>
              </w:tabs>
              <w:rPr>
                <w:b/>
                <w:snapToGrid w:val="0"/>
                <w:szCs w:val="24"/>
              </w:rPr>
            </w:pPr>
            <w:r>
              <w:rPr>
                <w:b/>
                <w:snapToGrid w:val="0"/>
                <w:szCs w:val="24"/>
              </w:rPr>
              <w:lastRenderedPageBreak/>
              <w:t>§ 5</w:t>
            </w:r>
          </w:p>
        </w:tc>
        <w:tc>
          <w:tcPr>
            <w:tcW w:w="6947" w:type="dxa"/>
          </w:tcPr>
          <w:p w:rsidR="00AB2A4D" w:rsidRDefault="00370C65" w:rsidP="00370C65">
            <w:pPr>
              <w:tabs>
                <w:tab w:val="left" w:pos="1701"/>
              </w:tabs>
              <w:rPr>
                <w:b/>
                <w:bCs/>
                <w:szCs w:val="24"/>
              </w:rPr>
            </w:pPr>
            <w:r w:rsidRPr="00370C65">
              <w:rPr>
                <w:b/>
                <w:bCs/>
                <w:szCs w:val="24"/>
              </w:rPr>
              <w:t xml:space="preserve">Information från Myndigheten för familjerätt och föräldraskapsstöd </w:t>
            </w:r>
          </w:p>
          <w:p w:rsidR="00317F49" w:rsidRDefault="00317F49" w:rsidP="00370C65">
            <w:pPr>
              <w:tabs>
                <w:tab w:val="left" w:pos="1701"/>
              </w:tabs>
              <w:rPr>
                <w:b/>
                <w:bCs/>
                <w:szCs w:val="24"/>
              </w:rPr>
            </w:pPr>
          </w:p>
          <w:p w:rsidR="00EC3AB3" w:rsidRDefault="00EC3AB3" w:rsidP="00EC3AB3">
            <w:pPr>
              <w:tabs>
                <w:tab w:val="left" w:pos="1701"/>
              </w:tabs>
              <w:rPr>
                <w:snapToGrid w:val="0"/>
                <w:szCs w:val="24"/>
              </w:rPr>
            </w:pPr>
            <w:r>
              <w:rPr>
                <w:rFonts w:eastAsiaTheme="minorHAnsi"/>
                <w:color w:val="000000"/>
                <w:szCs w:val="24"/>
                <w:lang w:eastAsia="en-US"/>
              </w:rPr>
              <w:t xml:space="preserve">Generaldirektör Per Bergling, biträdd av medarbetare, </w:t>
            </w:r>
            <w:r w:rsidRPr="009B1EAA">
              <w:rPr>
                <w:snapToGrid w:val="0"/>
                <w:szCs w:val="24"/>
              </w:rPr>
              <w:t>informerade om aktuella frågor. Generaldirektören och medarbetar</w:t>
            </w:r>
            <w:r>
              <w:rPr>
                <w:snapToGrid w:val="0"/>
                <w:szCs w:val="24"/>
              </w:rPr>
              <w:t>e</w:t>
            </w:r>
            <w:r w:rsidRPr="009B1EAA">
              <w:rPr>
                <w:snapToGrid w:val="0"/>
                <w:szCs w:val="24"/>
              </w:rPr>
              <w:t xml:space="preserve"> deltog på distans.</w:t>
            </w:r>
          </w:p>
          <w:p w:rsidR="00EC3AB3" w:rsidRPr="00370C65" w:rsidRDefault="00EC3AB3" w:rsidP="00370C65">
            <w:pPr>
              <w:tabs>
                <w:tab w:val="left" w:pos="1701"/>
              </w:tabs>
              <w:rPr>
                <w:b/>
                <w:bCs/>
                <w:szCs w:val="24"/>
              </w:rPr>
            </w:pPr>
          </w:p>
        </w:tc>
      </w:tr>
      <w:tr w:rsidR="00AE6E0B" w:rsidRPr="00BA38FB" w:rsidTr="002F1627">
        <w:tc>
          <w:tcPr>
            <w:tcW w:w="567" w:type="dxa"/>
          </w:tcPr>
          <w:p w:rsidR="00AE6E0B" w:rsidRDefault="00AE6E0B" w:rsidP="009C56EA">
            <w:pPr>
              <w:tabs>
                <w:tab w:val="left" w:pos="1701"/>
              </w:tabs>
              <w:rPr>
                <w:b/>
                <w:snapToGrid w:val="0"/>
                <w:szCs w:val="24"/>
              </w:rPr>
            </w:pPr>
            <w:r>
              <w:rPr>
                <w:b/>
                <w:snapToGrid w:val="0"/>
                <w:szCs w:val="24"/>
              </w:rPr>
              <w:t xml:space="preserve">§ </w:t>
            </w:r>
            <w:r w:rsidR="00AB2A4D">
              <w:rPr>
                <w:b/>
                <w:snapToGrid w:val="0"/>
                <w:szCs w:val="24"/>
              </w:rPr>
              <w:t>6</w:t>
            </w:r>
          </w:p>
        </w:tc>
        <w:tc>
          <w:tcPr>
            <w:tcW w:w="6947" w:type="dxa"/>
          </w:tcPr>
          <w:p w:rsidR="00AE6E0B" w:rsidRDefault="00A10A0F" w:rsidP="00B65CD7">
            <w:pPr>
              <w:tabs>
                <w:tab w:val="left" w:pos="1701"/>
              </w:tabs>
              <w:rPr>
                <w:b/>
                <w:bCs/>
                <w:szCs w:val="24"/>
              </w:rPr>
            </w:pPr>
            <w:r w:rsidRPr="00A10A0F">
              <w:rPr>
                <w:b/>
                <w:bCs/>
                <w:szCs w:val="24"/>
              </w:rPr>
              <w:t xml:space="preserve">Förslag om utskottsinitiativ om behovet av att möjliggöra förlängda bygglov när särskilda skäl föreligger </w:t>
            </w:r>
          </w:p>
          <w:p w:rsidR="00A10A0F" w:rsidRDefault="00A10A0F" w:rsidP="00B65CD7">
            <w:pPr>
              <w:tabs>
                <w:tab w:val="left" w:pos="1701"/>
              </w:tabs>
              <w:rPr>
                <w:b/>
                <w:bCs/>
                <w:szCs w:val="24"/>
              </w:rPr>
            </w:pPr>
          </w:p>
          <w:p w:rsidR="005770F9" w:rsidRDefault="005770F9" w:rsidP="005770F9">
            <w:pPr>
              <w:rPr>
                <w:sz w:val="22"/>
              </w:rPr>
            </w:pPr>
            <w:r>
              <w:t>Utskottet fortsatte behandlingen av</w:t>
            </w:r>
            <w:r w:rsidR="00522CD4">
              <w:t xml:space="preserve"> M-ledamöternas</w:t>
            </w:r>
            <w:r>
              <w:t xml:space="preserve"> förslag om ett utskottsinitiativ om behovet av att möjliggöra förlängda bygglov när särskilda skäl föreligger</w:t>
            </w:r>
            <w:r w:rsidR="00477939">
              <w:t xml:space="preserve">. </w:t>
            </w:r>
          </w:p>
          <w:p w:rsidR="005770F9" w:rsidRDefault="005770F9" w:rsidP="005770F9"/>
          <w:p w:rsidR="005770F9" w:rsidRDefault="005770F9" w:rsidP="005770F9">
            <w:r>
              <w:t xml:space="preserve">Utskottet beslutade att bjuda in företrädare för Boverket respektive Finansdepartementet för att lämna information i frågan som förslaget gäller. Kansliet fick i uppdrag att undersöka om sådan information kan lämnas vid nästa sammanträde. </w:t>
            </w:r>
          </w:p>
          <w:p w:rsidR="005770F9" w:rsidRDefault="005770F9" w:rsidP="005770F9"/>
          <w:p w:rsidR="005770F9" w:rsidRDefault="005770F9" w:rsidP="005770F9">
            <w:r>
              <w:t xml:space="preserve">Förslaget bordlades till nästa sammanträde. </w:t>
            </w:r>
          </w:p>
          <w:p w:rsidR="00A10A0F" w:rsidRPr="00BA596F" w:rsidRDefault="00BA596F" w:rsidP="00B65CD7">
            <w:pPr>
              <w:tabs>
                <w:tab w:val="left" w:pos="1701"/>
              </w:tabs>
              <w:rPr>
                <w:snapToGrid w:val="0"/>
                <w:szCs w:val="24"/>
              </w:rPr>
            </w:pPr>
            <w:r>
              <w:rPr>
                <w:snapToGrid w:val="0"/>
                <w:szCs w:val="24"/>
              </w:rPr>
              <w:t xml:space="preserve"> </w:t>
            </w:r>
          </w:p>
        </w:tc>
      </w:tr>
      <w:tr w:rsidR="00AB2A4D" w:rsidRPr="00BA38FB" w:rsidTr="002F1627">
        <w:tc>
          <w:tcPr>
            <w:tcW w:w="567" w:type="dxa"/>
          </w:tcPr>
          <w:p w:rsidR="00AB2A4D" w:rsidRDefault="00AB2A4D" w:rsidP="009C56EA">
            <w:pPr>
              <w:tabs>
                <w:tab w:val="left" w:pos="1701"/>
              </w:tabs>
              <w:rPr>
                <w:b/>
                <w:snapToGrid w:val="0"/>
                <w:szCs w:val="24"/>
              </w:rPr>
            </w:pPr>
            <w:r>
              <w:rPr>
                <w:b/>
                <w:snapToGrid w:val="0"/>
                <w:szCs w:val="24"/>
              </w:rPr>
              <w:t>§ 7</w:t>
            </w:r>
          </w:p>
        </w:tc>
        <w:tc>
          <w:tcPr>
            <w:tcW w:w="6947" w:type="dxa"/>
          </w:tcPr>
          <w:p w:rsidR="00370C65" w:rsidRDefault="00370C65" w:rsidP="00370C65">
            <w:pPr>
              <w:tabs>
                <w:tab w:val="left" w:pos="1701"/>
              </w:tabs>
              <w:rPr>
                <w:b/>
                <w:bCs/>
                <w:szCs w:val="24"/>
              </w:rPr>
            </w:pPr>
            <w:r>
              <w:rPr>
                <w:b/>
                <w:bCs/>
                <w:szCs w:val="24"/>
              </w:rPr>
              <w:t>EU-frågor</w:t>
            </w:r>
          </w:p>
          <w:p w:rsidR="00902EB5" w:rsidRDefault="00902EB5" w:rsidP="00370C65">
            <w:pPr>
              <w:tabs>
                <w:tab w:val="left" w:pos="1701"/>
              </w:tabs>
              <w:rPr>
                <w:b/>
                <w:bCs/>
                <w:szCs w:val="24"/>
              </w:rPr>
            </w:pPr>
          </w:p>
          <w:p w:rsidR="00902EB5" w:rsidRPr="00902EB5" w:rsidRDefault="00902EB5" w:rsidP="00370C65">
            <w:pPr>
              <w:tabs>
                <w:tab w:val="left" w:pos="1701"/>
              </w:tabs>
              <w:rPr>
                <w:bCs/>
                <w:szCs w:val="24"/>
              </w:rPr>
            </w:pPr>
            <w:r>
              <w:rPr>
                <w:bCs/>
                <w:szCs w:val="24"/>
              </w:rPr>
              <w:t>Inkomna EU-dokument anmäldes enligt förteckning.</w:t>
            </w:r>
          </w:p>
          <w:p w:rsidR="00AB2A4D" w:rsidRPr="00AB2A4D" w:rsidRDefault="00AB2A4D" w:rsidP="00B65CD7">
            <w:pPr>
              <w:tabs>
                <w:tab w:val="left" w:pos="1701"/>
              </w:tabs>
              <w:rPr>
                <w:bCs/>
                <w:szCs w:val="24"/>
              </w:rPr>
            </w:pPr>
          </w:p>
        </w:tc>
      </w:tr>
      <w:tr w:rsidR="00761574" w:rsidRPr="00BA38FB" w:rsidTr="002F1627">
        <w:tc>
          <w:tcPr>
            <w:tcW w:w="567" w:type="dxa"/>
          </w:tcPr>
          <w:p w:rsidR="00761574" w:rsidRDefault="00A61290" w:rsidP="009C56EA">
            <w:pPr>
              <w:tabs>
                <w:tab w:val="left" w:pos="1701"/>
              </w:tabs>
              <w:rPr>
                <w:b/>
                <w:snapToGrid w:val="0"/>
                <w:szCs w:val="24"/>
              </w:rPr>
            </w:pPr>
            <w:r>
              <w:rPr>
                <w:b/>
                <w:snapToGrid w:val="0"/>
                <w:szCs w:val="24"/>
              </w:rPr>
              <w:t>§ 8</w:t>
            </w:r>
          </w:p>
        </w:tc>
        <w:tc>
          <w:tcPr>
            <w:tcW w:w="6947" w:type="dxa"/>
          </w:tcPr>
          <w:p w:rsidR="00A61290" w:rsidRDefault="00A61290" w:rsidP="00A61290">
            <w:pPr>
              <w:tabs>
                <w:tab w:val="left" w:pos="1701"/>
              </w:tabs>
              <w:rPr>
                <w:b/>
                <w:bCs/>
                <w:szCs w:val="24"/>
              </w:rPr>
            </w:pPr>
            <w:r>
              <w:rPr>
                <w:b/>
                <w:bCs/>
                <w:szCs w:val="24"/>
              </w:rPr>
              <w:t>Nästa sammanträde</w:t>
            </w:r>
          </w:p>
          <w:p w:rsidR="00A61290" w:rsidRDefault="00A61290" w:rsidP="00A61290">
            <w:pPr>
              <w:tabs>
                <w:tab w:val="left" w:pos="1701"/>
              </w:tabs>
              <w:rPr>
                <w:bCs/>
                <w:szCs w:val="24"/>
              </w:rPr>
            </w:pPr>
          </w:p>
          <w:p w:rsidR="00A61290" w:rsidRDefault="00A61290" w:rsidP="00A61290">
            <w:pPr>
              <w:rPr>
                <w:b/>
                <w:bCs/>
                <w:szCs w:val="24"/>
              </w:rPr>
            </w:pPr>
            <w:r w:rsidRPr="00B214C5">
              <w:rPr>
                <w:bCs/>
                <w:szCs w:val="24"/>
              </w:rPr>
              <w:t>Utskottet beslutade att nästa sammanträde ska äga rum den</w:t>
            </w:r>
            <w:r>
              <w:rPr>
                <w:bCs/>
                <w:szCs w:val="24"/>
              </w:rPr>
              <w:t xml:space="preserve"> 19 januari 2021</w:t>
            </w:r>
            <w:r w:rsidR="008B34AC">
              <w:rPr>
                <w:bCs/>
                <w:szCs w:val="24"/>
              </w:rPr>
              <w:t xml:space="preserve"> kl. 11.00</w:t>
            </w:r>
            <w:r>
              <w:rPr>
                <w:bCs/>
                <w:szCs w:val="24"/>
              </w:rPr>
              <w:t>.</w:t>
            </w:r>
          </w:p>
          <w:p w:rsidR="00AB2A4D" w:rsidRPr="0003001F" w:rsidRDefault="00AB2A4D" w:rsidP="00B65CD7">
            <w:pPr>
              <w:rPr>
                <w:bCs/>
                <w:szCs w:val="24"/>
              </w:rPr>
            </w:pPr>
          </w:p>
        </w:tc>
      </w:tr>
    </w:tbl>
    <w:p w:rsidR="002F1627" w:rsidRDefault="002F1627"/>
    <w:p w:rsidR="00A33C2F" w:rsidRDefault="00A33C2F"/>
    <w:p w:rsidR="00AB2A4D" w:rsidRDefault="00AB2A4D"/>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982260">
        <w:tc>
          <w:tcPr>
            <w:tcW w:w="8789" w:type="dxa"/>
          </w:tcPr>
          <w:p w:rsidR="000D35E7" w:rsidRDefault="000D35E7"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r w:rsidRPr="00A569CA">
              <w:rPr>
                <w:szCs w:val="24"/>
              </w:rPr>
              <w:t xml:space="preserve">Justeras </w:t>
            </w:r>
            <w:r w:rsidRPr="007D072F">
              <w:rPr>
                <w:szCs w:val="24"/>
              </w:rPr>
              <w:t xml:space="preserve">den </w:t>
            </w:r>
            <w:r w:rsidR="005719BC">
              <w:rPr>
                <w:szCs w:val="24"/>
              </w:rPr>
              <w:t>1</w:t>
            </w:r>
            <w:r w:rsidR="00FC5B1B">
              <w:rPr>
                <w:szCs w:val="24"/>
              </w:rPr>
              <w:t>9</w:t>
            </w:r>
            <w:r w:rsidR="001517DC">
              <w:rPr>
                <w:szCs w:val="24"/>
              </w:rPr>
              <w:t xml:space="preserve"> januari</w:t>
            </w:r>
            <w:r>
              <w:rPr>
                <w:szCs w:val="24"/>
              </w:rPr>
              <w:t xml:space="preserve"> 20</w:t>
            </w:r>
            <w:r w:rsidR="001517DC">
              <w:rPr>
                <w:szCs w:val="24"/>
              </w:rPr>
              <w:t>2</w:t>
            </w:r>
            <w:r w:rsidR="00FC5B1B">
              <w:rPr>
                <w:szCs w:val="24"/>
              </w:rPr>
              <w:t>1</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745FE9" w:rsidP="00745FE9">
            <w:pPr>
              <w:tabs>
                <w:tab w:val="left" w:pos="1701"/>
              </w:tabs>
              <w:ind w:left="1275"/>
              <w:rPr>
                <w:snapToGrid w:val="0"/>
                <w:szCs w:val="24"/>
              </w:rPr>
            </w:pPr>
            <w:r w:rsidRPr="00E23FBF">
              <w:rPr>
                <w:snapToGrid w:val="0"/>
                <w:szCs w:val="24"/>
              </w:rPr>
              <w:t>Emma Hult</w:t>
            </w:r>
          </w:p>
          <w:p w:rsidR="006A6589" w:rsidRDefault="006A6589" w:rsidP="00745FE9">
            <w:pPr>
              <w:tabs>
                <w:tab w:val="left" w:pos="1701"/>
              </w:tabs>
              <w:ind w:left="1275"/>
              <w:rPr>
                <w:snapToGrid w:val="0"/>
                <w:szCs w:val="24"/>
              </w:rPr>
            </w:pP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0F44F4" w:rsidRDefault="000F44F4"/>
    <w:p w:rsidR="004F4038" w:rsidRDefault="004F403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0F44F4">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br w:type="page"/>
              <w:t>CIVILUTSKOTTET</w:t>
            </w:r>
          </w:p>
        </w:tc>
        <w:tc>
          <w:tcPr>
            <w:tcW w:w="3685" w:type="dxa"/>
            <w:gridSpan w:val="10"/>
            <w:tcBorders>
              <w:top w:val="nil"/>
              <w:left w:val="nil"/>
              <w:bottom w:val="nil"/>
              <w:right w:val="nil"/>
            </w:tcBorders>
            <w:hideMark/>
          </w:tcPr>
          <w:p w:rsidR="00745FE9" w:rsidRDefault="00745FE9" w:rsidP="00745FE9">
            <w:pPr>
              <w:tabs>
                <w:tab w:val="left" w:pos="1701"/>
              </w:tabs>
              <w:jc w:val="center"/>
              <w:rPr>
                <w:b/>
                <w:sz w:val="22"/>
                <w:szCs w:val="22"/>
              </w:rPr>
            </w:pPr>
            <w:r>
              <w:rPr>
                <w:b/>
                <w:sz w:val="22"/>
                <w:szCs w:val="22"/>
              </w:rPr>
              <w:t>NÄRVAROFÖRTECKNING</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w:t>
            </w:r>
            <w:r w:rsidR="00D00386">
              <w:rPr>
                <w:sz w:val="22"/>
                <w:szCs w:val="22"/>
              </w:rPr>
              <w:t>20/21:11</w:t>
            </w:r>
          </w:p>
        </w:tc>
      </w:tr>
      <w:tr w:rsidR="00745FE9" w:rsidTr="000F44F4">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745FE9" w:rsidRPr="008502F7" w:rsidRDefault="005855DC"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517DC">
              <w:rPr>
                <w:sz w:val="22"/>
                <w:szCs w:val="22"/>
              </w:rPr>
              <w:t xml:space="preserve">§ </w:t>
            </w:r>
            <w:r w:rsidR="000D35E7" w:rsidRPr="001517DC">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745FE9" w:rsidRPr="00D00386" w:rsidRDefault="00D00386"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0386">
              <w:rPr>
                <w:sz w:val="22"/>
                <w:szCs w:val="22"/>
              </w:rPr>
              <w:t>§ 2</w:t>
            </w:r>
            <w:r w:rsidR="00E44B96">
              <w:rPr>
                <w:sz w:val="22"/>
                <w:szCs w:val="22"/>
              </w:rPr>
              <w:t>–</w:t>
            </w:r>
            <w:r w:rsidR="00F50559">
              <w:rPr>
                <w:sz w:val="22"/>
                <w:szCs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 xml:space="preserve">Emma </w:t>
            </w:r>
            <w:proofErr w:type="spellStart"/>
            <w:r>
              <w:rPr>
                <w:snapToGrid w:val="0"/>
                <w:sz w:val="22"/>
                <w:szCs w:val="22"/>
                <w:lang w:val="en-US"/>
              </w:rPr>
              <w:t>Hult</w:t>
            </w:r>
            <w:proofErr w:type="spellEnd"/>
            <w:r>
              <w:rPr>
                <w:snapToGrid w:val="0"/>
                <w:sz w:val="22"/>
                <w:szCs w:val="22"/>
                <w:lang w:val="en-US"/>
              </w:rPr>
              <w:t xml:space="preserve">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Larry </w:t>
            </w:r>
            <w:proofErr w:type="spellStart"/>
            <w:r>
              <w:rPr>
                <w:sz w:val="22"/>
                <w:szCs w:val="22"/>
                <w:lang w:val="en-US"/>
              </w:rPr>
              <w:t>Söder</w:t>
            </w:r>
            <w:proofErr w:type="spellEnd"/>
            <w:r>
              <w:rPr>
                <w:sz w:val="22"/>
                <w:szCs w:val="22"/>
                <w:lang w:val="en-US"/>
              </w:rPr>
              <w:t xml:space="preserve">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745FE9" w:rsidRPr="00F27FB5"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DD1EF3" w:rsidP="00745FE9">
            <w:pPr>
              <w:tabs>
                <w:tab w:val="left" w:pos="1701"/>
              </w:tabs>
              <w:rPr>
                <w:sz w:val="22"/>
                <w:szCs w:val="22"/>
              </w:rPr>
            </w:pPr>
            <w:r>
              <w:rPr>
                <w:snapToGrid w:val="0"/>
                <w:sz w:val="22"/>
                <w:szCs w:val="22"/>
              </w:rPr>
              <w:t xml:space="preserve">Carl-Oskar Bohlin (M), </w:t>
            </w:r>
            <w:r>
              <w:rPr>
                <w:snapToGrid w:val="0"/>
                <w:sz w:val="16"/>
                <w:szCs w:val="16"/>
              </w:rPr>
              <w:t xml:space="preserve">tjl t.o.m. </w:t>
            </w:r>
            <w:proofErr w:type="gramStart"/>
            <w:r>
              <w:rPr>
                <w:snapToGrid w:val="0"/>
                <w:sz w:val="16"/>
                <w:szCs w:val="16"/>
              </w:rPr>
              <w:t>210201</w:t>
            </w:r>
            <w:proofErr w:type="gramEnd"/>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Lars Beckman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Sanne Lennström (</w:t>
            </w:r>
            <w:r w:rsidRPr="008E2CD0">
              <w:rPr>
                <w:snapToGrid w:val="0"/>
                <w:sz w:val="22"/>
                <w:szCs w:val="22"/>
              </w:rPr>
              <w:t>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D00386">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David Josefsson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0F44F4">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7D1F" w:rsidP="00745FE9">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Pr="00F27FB5" w:rsidRDefault="00F27FB5"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F27FB5"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F27FB5"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rPr>
          <w:trHeight w:val="113"/>
        </w:trPr>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0F44F4">
        <w:tc>
          <w:tcPr>
            <w:tcW w:w="3447"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F27FB5"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0F44F4">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AD6647">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0F44F4">
        <w:tc>
          <w:tcPr>
            <w:tcW w:w="3447"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647" w:rsidTr="006434B9">
        <w:tc>
          <w:tcPr>
            <w:tcW w:w="3447" w:type="dxa"/>
            <w:gridSpan w:val="2"/>
            <w:tcBorders>
              <w:top w:val="single" w:sz="6" w:space="0" w:color="auto"/>
              <w:left w:val="single" w:sz="6" w:space="0" w:color="auto"/>
              <w:bottom w:val="single" w:sz="6" w:space="0" w:color="auto"/>
              <w:right w:val="single" w:sz="6" w:space="0" w:color="auto"/>
            </w:tcBorders>
          </w:tcPr>
          <w:p w:rsidR="00AD6647" w:rsidRPr="009F56CF" w:rsidRDefault="00AD6647" w:rsidP="00AD6647">
            <w:pPr>
              <w:tabs>
                <w:tab w:val="left" w:pos="1701"/>
              </w:tabs>
              <w:rPr>
                <w:snapToGrid w:val="0"/>
                <w:sz w:val="22"/>
                <w:szCs w:val="22"/>
              </w:rPr>
            </w:pPr>
            <w:r>
              <w:rPr>
                <w:snapToGrid w:val="0"/>
                <w:sz w:val="22"/>
                <w:szCs w:val="22"/>
              </w:rPr>
              <w:t xml:space="preserve">Josefin Malmqvist (M), </w:t>
            </w:r>
            <w:r w:rsidRPr="007860C9">
              <w:rPr>
                <w:snapToGrid w:val="0"/>
                <w:sz w:val="16"/>
                <w:szCs w:val="16"/>
              </w:rPr>
              <w:t>ers.t.o.m</w:t>
            </w:r>
            <w:r>
              <w:rPr>
                <w:snapToGrid w:val="0"/>
                <w:sz w:val="16"/>
                <w:szCs w:val="16"/>
              </w:rPr>
              <w:t>.</w:t>
            </w:r>
            <w:proofErr w:type="gramStart"/>
            <w:r w:rsidRPr="007860C9">
              <w:rPr>
                <w:snapToGrid w:val="0"/>
                <w:sz w:val="16"/>
                <w:szCs w:val="16"/>
              </w:rPr>
              <w:t>210201</w:t>
            </w:r>
            <w:proofErr w:type="gramEnd"/>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Pr="00F27FB5" w:rsidRDefault="00F27FB5"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27FB5">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647" w:rsidRDefault="00AD6647"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510F8" w:rsidTr="006434B9">
        <w:tc>
          <w:tcPr>
            <w:tcW w:w="3447" w:type="dxa"/>
            <w:gridSpan w:val="2"/>
            <w:tcBorders>
              <w:top w:val="single" w:sz="6" w:space="0" w:color="auto"/>
              <w:left w:val="single" w:sz="6" w:space="0" w:color="auto"/>
              <w:bottom w:val="single" w:sz="6" w:space="0" w:color="auto"/>
              <w:right w:val="single" w:sz="6" w:space="0" w:color="auto"/>
            </w:tcBorders>
          </w:tcPr>
          <w:p w:rsidR="007510F8" w:rsidRDefault="007510F8" w:rsidP="00AD6647">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Pr="00F27FB5"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510F8" w:rsidRDefault="007510F8" w:rsidP="00AD66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A7D1F" w:rsidTr="000F44F4">
        <w:trPr>
          <w:trHeight w:val="263"/>
        </w:trPr>
        <w:tc>
          <w:tcPr>
            <w:tcW w:w="2907" w:type="dxa"/>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x = ledamöter som deltagit i handläggningen</w:t>
            </w:r>
          </w:p>
        </w:tc>
      </w:tr>
      <w:tr w:rsidR="000A7D1F" w:rsidTr="000F44F4">
        <w:trPr>
          <w:trHeight w:val="262"/>
        </w:trPr>
        <w:tc>
          <w:tcPr>
            <w:tcW w:w="2907" w:type="dxa"/>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0A7D1F" w:rsidRPr="002230C1" w:rsidRDefault="000A7D1F" w:rsidP="000A7D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o = ledamöter som härutöver har varit närvarande</w:t>
            </w:r>
          </w:p>
        </w:tc>
      </w:tr>
    </w:tbl>
    <w:p w:rsidR="00BD4382" w:rsidRDefault="00BD4382" w:rsidP="00BD4382">
      <w:pPr>
        <w:pStyle w:val="logo"/>
        <w:framePr w:wrap="around" w:x="8790" w:y="727"/>
      </w:pPr>
    </w:p>
    <w:p w:rsidR="00AD6647" w:rsidRDefault="00AD6647" w:rsidP="00E64074">
      <w:pPr>
        <w:ind w:left="-993"/>
        <w:rPr>
          <w:szCs w:val="24"/>
        </w:rPr>
      </w:pPr>
    </w:p>
    <w:p w:rsidR="000502BA" w:rsidRDefault="00E64074" w:rsidP="00E64074">
      <w:pPr>
        <w:ind w:left="-993"/>
        <w:rPr>
          <w:szCs w:val="24"/>
        </w:rPr>
      </w:pPr>
      <w:r>
        <w:rPr>
          <w:szCs w:val="24"/>
        </w:rPr>
        <w:t>Bilaga 2</w:t>
      </w:r>
      <w:r w:rsidR="000E71E7">
        <w:rPr>
          <w:szCs w:val="24"/>
        </w:rPr>
        <w:tab/>
      </w:r>
    </w:p>
    <w:p w:rsidR="000E71E7" w:rsidRDefault="000E71E7" w:rsidP="000E71E7">
      <w:pPr>
        <w:ind w:left="-993"/>
        <w:rPr>
          <w:szCs w:val="24"/>
        </w:rPr>
      </w:pPr>
      <w:r>
        <w:rPr>
          <w:szCs w:val="24"/>
        </w:rPr>
        <w:tab/>
      </w:r>
      <w:r>
        <w:rPr>
          <w:szCs w:val="24"/>
        </w:rPr>
        <w:tab/>
      </w:r>
      <w:r>
        <w:rPr>
          <w:szCs w:val="24"/>
        </w:rPr>
        <w:tab/>
      </w:r>
      <w:r>
        <w:rPr>
          <w:szCs w:val="24"/>
        </w:rPr>
        <w:tab/>
      </w:r>
      <w:r>
        <w:rPr>
          <w:szCs w:val="24"/>
        </w:rPr>
        <w:tab/>
      </w:r>
      <w:r w:rsidRPr="00712B0A">
        <w:rPr>
          <w:rFonts w:ascii="Arial" w:hAnsi="Arial" w:cs="Arial"/>
          <w:b/>
          <w:sz w:val="19"/>
          <w:szCs w:val="19"/>
        </w:rPr>
        <w:t>Promemoria</w:t>
      </w:r>
    </w:p>
    <w:p w:rsidR="000E71E7" w:rsidRDefault="000E71E7" w:rsidP="000E71E7">
      <w:pPr>
        <w:rPr>
          <w:szCs w:val="24"/>
        </w:rPr>
      </w:pPr>
      <w:r>
        <w:rPr>
          <w:szCs w:val="24"/>
        </w:rPr>
        <w:tab/>
      </w:r>
      <w:r>
        <w:rPr>
          <w:szCs w:val="24"/>
        </w:rPr>
        <w:tab/>
      </w:r>
    </w:p>
    <w:p w:rsidR="000E71E7" w:rsidRDefault="000E71E7" w:rsidP="000E71E7">
      <w:pPr>
        <w:ind w:left="-993"/>
        <w:rPr>
          <w:szCs w:val="24"/>
        </w:rPr>
      </w:pPr>
      <w:r>
        <w:rPr>
          <w:noProof/>
        </w:rPr>
        <w:drawing>
          <wp:inline distT="0" distB="0" distL="0" distR="0" wp14:anchorId="021C2380" wp14:editId="0C8A99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r w:rsidR="00B642A3">
        <w:rPr>
          <w:szCs w:val="24"/>
        </w:rPr>
        <w:tab/>
      </w:r>
      <w:r w:rsidR="00B642A3">
        <w:rPr>
          <w:szCs w:val="24"/>
        </w:rPr>
        <w:tab/>
      </w:r>
      <w:r w:rsidR="00B642A3">
        <w:rPr>
          <w:szCs w:val="24"/>
        </w:rPr>
        <w:tab/>
      </w:r>
      <w:r w:rsidRPr="00B642A3">
        <w:rPr>
          <w:rFonts w:ascii="Arial" w:hAnsi="Arial" w:cs="Arial"/>
          <w:sz w:val="19"/>
          <w:szCs w:val="19"/>
        </w:rPr>
        <w:t>2020-12-10</w:t>
      </w:r>
    </w:p>
    <w:p w:rsidR="00781130" w:rsidRDefault="00B642A3" w:rsidP="00712B0A">
      <w:pPr>
        <w:ind w:left="-993"/>
        <w:rPr>
          <w:szCs w:val="24"/>
        </w:rPr>
      </w:pPr>
      <w:r>
        <w:rPr>
          <w:szCs w:val="24"/>
        </w:rPr>
        <w:tab/>
      </w:r>
      <w:r>
        <w:rPr>
          <w:szCs w:val="24"/>
        </w:rPr>
        <w:tab/>
      </w:r>
      <w:r w:rsidR="000E71E7">
        <w:rPr>
          <w:szCs w:val="24"/>
        </w:rPr>
        <w:tab/>
      </w:r>
      <w:r w:rsidR="000E71E7">
        <w:rPr>
          <w:szCs w:val="24"/>
        </w:rPr>
        <w:tab/>
      </w:r>
      <w:r w:rsidR="000E71E7">
        <w:rPr>
          <w:szCs w:val="24"/>
        </w:rPr>
        <w:tab/>
      </w:r>
      <w:r w:rsidR="000E71E7">
        <w:rPr>
          <w:szCs w:val="24"/>
        </w:rPr>
        <w:tab/>
      </w:r>
    </w:p>
    <w:p w:rsidR="004B1E95" w:rsidRPr="00712B0A" w:rsidRDefault="00B642A3" w:rsidP="00B642A3">
      <w:pPr>
        <w:ind w:left="-993"/>
        <w:rPr>
          <w:rFonts w:ascii="Arial" w:hAnsi="Arial" w:cs="Arial"/>
          <w:b/>
          <w:sz w:val="19"/>
          <w:szCs w:val="19"/>
        </w:rPr>
      </w:pP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sidRPr="00B642A3">
        <w:rPr>
          <w:rFonts w:ascii="Arial" w:hAnsi="Arial" w:cs="Arial"/>
          <w:sz w:val="19"/>
          <w:szCs w:val="19"/>
        </w:rPr>
        <w:tab/>
      </w:r>
    </w:p>
    <w:p w:rsidR="000E71E7" w:rsidRDefault="000E71E7" w:rsidP="00E64074">
      <w:pPr>
        <w:ind w:left="-993"/>
        <w:rPr>
          <w:szCs w:val="24"/>
        </w:rPr>
      </w:pPr>
    </w:p>
    <w:p w:rsidR="004B1E95" w:rsidRDefault="00781130" w:rsidP="00E64074">
      <w:pPr>
        <w:ind w:left="-993"/>
        <w:rPr>
          <w:szCs w:val="24"/>
        </w:rPr>
      </w:pPr>
      <w:r>
        <w:rPr>
          <w:szCs w:val="24"/>
        </w:rPr>
        <w:tab/>
      </w:r>
      <w:r w:rsidR="00712B0A">
        <w:rPr>
          <w:szCs w:val="24"/>
        </w:rPr>
        <w:tab/>
      </w:r>
      <w:r>
        <w:rPr>
          <w:szCs w:val="24"/>
        </w:rPr>
        <w:tab/>
      </w:r>
      <w:r w:rsidR="000E71E7">
        <w:rPr>
          <w:szCs w:val="24"/>
        </w:rPr>
        <w:tab/>
      </w:r>
      <w:r w:rsidR="000E71E7">
        <w:rPr>
          <w:szCs w:val="24"/>
        </w:rPr>
        <w:tab/>
      </w:r>
    </w:p>
    <w:p w:rsidR="004B1E95" w:rsidRDefault="000E71E7" w:rsidP="00E64074">
      <w:pPr>
        <w:ind w:left="-993"/>
        <w:rPr>
          <w:rFonts w:ascii="Arial" w:hAnsi="Arial" w:cs="Arial"/>
          <w:b/>
          <w:sz w:val="19"/>
          <w:szCs w:val="19"/>
        </w:rPr>
      </w:pPr>
      <w:r w:rsidRPr="000E71E7">
        <w:rPr>
          <w:rFonts w:ascii="Arial" w:hAnsi="Arial" w:cs="Arial"/>
          <w:b/>
          <w:sz w:val="19"/>
          <w:szCs w:val="19"/>
        </w:rPr>
        <w:t>Finans</w:t>
      </w:r>
      <w:r>
        <w:rPr>
          <w:rFonts w:ascii="Arial" w:hAnsi="Arial" w:cs="Arial"/>
          <w:b/>
          <w:sz w:val="19"/>
          <w:szCs w:val="19"/>
        </w:rPr>
        <w:t>departementet</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sidRPr="000E71E7">
        <w:rPr>
          <w:rFonts w:ascii="Arial" w:hAnsi="Arial" w:cs="Arial"/>
          <w:sz w:val="19"/>
          <w:szCs w:val="19"/>
        </w:rPr>
        <w:t xml:space="preserve">Civilutskottet </w:t>
      </w:r>
    </w:p>
    <w:p w:rsidR="003E6E48" w:rsidRDefault="000E71E7" w:rsidP="003E6E48">
      <w:pPr>
        <w:ind w:left="-993"/>
        <w:rPr>
          <w:rFonts w:ascii="Arial" w:hAnsi="Arial" w:cs="Arial"/>
          <w:sz w:val="19"/>
          <w:szCs w:val="19"/>
        </w:rPr>
      </w:pPr>
      <w:r>
        <w:rPr>
          <w:rFonts w:ascii="Arial" w:hAnsi="Arial" w:cs="Arial"/>
          <w:sz w:val="19"/>
          <w:szCs w:val="19"/>
        </w:rPr>
        <w:t>Avdelningen för samhällsplanering och bostäder</w:t>
      </w:r>
      <w:r>
        <w:rPr>
          <w:rFonts w:ascii="Arial" w:hAnsi="Arial" w:cs="Arial"/>
          <w:sz w:val="19"/>
          <w:szCs w:val="19"/>
        </w:rPr>
        <w:tab/>
      </w:r>
      <w:r>
        <w:rPr>
          <w:rFonts w:ascii="Arial" w:hAnsi="Arial" w:cs="Arial"/>
          <w:sz w:val="19"/>
          <w:szCs w:val="19"/>
        </w:rPr>
        <w:tab/>
        <w:t>Underlag inför</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3E6E48">
        <w:rPr>
          <w:rFonts w:ascii="Arial" w:hAnsi="Arial" w:cs="Arial"/>
          <w:sz w:val="19"/>
          <w:szCs w:val="19"/>
        </w:rPr>
        <w:tab/>
        <w:t>överläggning den</w:t>
      </w:r>
    </w:p>
    <w:p w:rsidR="000E71E7" w:rsidRDefault="000E71E7" w:rsidP="003E6E48">
      <w:pPr>
        <w:ind w:left="2919" w:firstLine="2297"/>
        <w:rPr>
          <w:rFonts w:ascii="Arial" w:hAnsi="Arial" w:cs="Arial"/>
          <w:sz w:val="19"/>
          <w:szCs w:val="19"/>
        </w:rPr>
      </w:pPr>
      <w:r>
        <w:rPr>
          <w:rFonts w:ascii="Arial" w:hAnsi="Arial" w:cs="Arial"/>
          <w:sz w:val="19"/>
          <w:szCs w:val="19"/>
        </w:rPr>
        <w:t>15 december 2020</w:t>
      </w:r>
    </w:p>
    <w:p w:rsidR="000E71E7" w:rsidRDefault="000E71E7" w:rsidP="00E64074">
      <w:pPr>
        <w:ind w:left="-993"/>
        <w:rPr>
          <w:rFonts w:ascii="Arial" w:hAnsi="Arial" w:cs="Arial"/>
          <w:sz w:val="19"/>
          <w:szCs w:val="19"/>
        </w:rPr>
      </w:pPr>
    </w:p>
    <w:p w:rsidR="000E71E7" w:rsidRDefault="000E71E7" w:rsidP="00E64074">
      <w:pPr>
        <w:ind w:left="-993"/>
        <w:rPr>
          <w:rFonts w:ascii="Arial" w:hAnsi="Arial" w:cs="Arial"/>
          <w:sz w:val="19"/>
          <w:szCs w:val="19"/>
        </w:rPr>
      </w:pPr>
    </w:p>
    <w:p w:rsidR="000E71E7" w:rsidRDefault="000E71E7" w:rsidP="00E64074">
      <w:pPr>
        <w:ind w:left="-993"/>
        <w:rPr>
          <w:rFonts w:ascii="Arial" w:hAnsi="Arial" w:cs="Arial"/>
          <w:sz w:val="19"/>
          <w:szCs w:val="19"/>
        </w:rPr>
      </w:pPr>
    </w:p>
    <w:p w:rsidR="000E71E7" w:rsidRDefault="000E71E7" w:rsidP="00E64074">
      <w:pPr>
        <w:ind w:left="-993"/>
        <w:rPr>
          <w:rFonts w:ascii="Arial" w:hAnsi="Arial" w:cs="Arial"/>
          <w:sz w:val="19"/>
          <w:szCs w:val="19"/>
        </w:rPr>
      </w:pPr>
    </w:p>
    <w:p w:rsidR="000E71E7" w:rsidRPr="000E71E7" w:rsidRDefault="000E71E7" w:rsidP="00E64074">
      <w:pPr>
        <w:ind w:left="-993"/>
        <w:rPr>
          <w:rFonts w:ascii="Arial" w:hAnsi="Arial" w:cs="Arial"/>
          <w:sz w:val="19"/>
          <w:szCs w:val="19"/>
        </w:rPr>
      </w:pPr>
      <w:r>
        <w:rPr>
          <w:rFonts w:ascii="Arial" w:hAnsi="Arial" w:cs="Arial"/>
          <w:sz w:val="19"/>
          <w:szCs w:val="19"/>
        </w:rPr>
        <w:tab/>
      </w:r>
      <w:r>
        <w:rPr>
          <w:rFonts w:ascii="Arial" w:hAnsi="Arial" w:cs="Arial"/>
          <w:sz w:val="19"/>
          <w:szCs w:val="19"/>
        </w:rPr>
        <w:tab/>
      </w:r>
    </w:p>
    <w:p w:rsidR="004B1E95" w:rsidRPr="004B1E95" w:rsidRDefault="004B1E95" w:rsidP="004B1E95">
      <w:pPr>
        <w:ind w:left="-993" w:right="1133"/>
        <w:rPr>
          <w:rFonts w:ascii="Arial" w:hAnsi="Arial" w:cs="Arial"/>
          <w:szCs w:val="24"/>
        </w:rPr>
      </w:pPr>
    </w:p>
    <w:p w:rsidR="004B1E95" w:rsidRPr="004B1E95" w:rsidRDefault="004B1E95" w:rsidP="00F7604D">
      <w:pPr>
        <w:pStyle w:val="Rubrik"/>
        <w:ind w:right="1417"/>
        <w:rPr>
          <w:rFonts w:ascii="Arial" w:hAnsi="Arial" w:cs="Arial"/>
        </w:rPr>
      </w:pPr>
      <w:r w:rsidRPr="004B1E95">
        <w:rPr>
          <w:rFonts w:ascii="Arial" w:hAnsi="Arial" w:cs="Arial"/>
        </w:rPr>
        <w:t xml:space="preserve">Överläggningspromemoria om en reviderad byggproduktförordning </w:t>
      </w:r>
    </w:p>
    <w:p w:rsidR="004B1E95" w:rsidRPr="004B1E95" w:rsidRDefault="004B1E95" w:rsidP="006F66E1">
      <w:pPr>
        <w:pStyle w:val="Brdtext"/>
        <w:ind w:right="142"/>
        <w:rPr>
          <w:rFonts w:ascii="Garamond" w:hAnsi="Garamond"/>
        </w:rPr>
      </w:pPr>
      <w:r w:rsidRPr="004B1E95">
        <w:rPr>
          <w:rFonts w:ascii="Garamond" w:hAnsi="Garamond"/>
        </w:rPr>
        <w:t>Kommissionen har i flera undersökningar och rapporter konstaterat att det finns anledning att se över Europaparlamentets och rådets förordning (EU) nr 305/2011 av den 9 mars 2011 om fastställande av harmoniserade villkor för saluföring av byggprodukter och om upphävande av rådets direktiv 89/106/EG (byggproduktförordningen). Kommissionen har bl.a. angett att en översyn kan bidra till att utvärdera hur förordningen kan utformas för att främja till den gröna omställningen i byggsektorn.</w:t>
      </w:r>
    </w:p>
    <w:p w:rsidR="004B1E95" w:rsidRPr="004B1E95" w:rsidRDefault="004B1E95" w:rsidP="006F66E1">
      <w:pPr>
        <w:pStyle w:val="Brdtext"/>
        <w:ind w:right="283"/>
        <w:rPr>
          <w:rFonts w:ascii="Garamond" w:hAnsi="Garamond"/>
        </w:rPr>
      </w:pPr>
      <w:r w:rsidRPr="004B1E95">
        <w:rPr>
          <w:rFonts w:ascii="Garamond" w:hAnsi="Garamond"/>
        </w:rPr>
        <w:t>En översyn av förordningen presenterades inledningsvis i meddelandet om en europeisk grön giv i december 2019 (KOM (2019) 640, Fakta</w:t>
      </w:r>
      <w:r w:rsidRPr="004B1E95">
        <w:rPr>
          <w:rFonts w:ascii="Garamond" w:hAnsi="Garamond"/>
        </w:rPr>
        <w:softHyphen/>
        <w:t>promemoria 2019/</w:t>
      </w:r>
      <w:proofErr w:type="gramStart"/>
      <w:r w:rsidRPr="004B1E95">
        <w:rPr>
          <w:rFonts w:ascii="Garamond" w:hAnsi="Garamond"/>
        </w:rPr>
        <w:t>20:FPM</w:t>
      </w:r>
      <w:proofErr w:type="gramEnd"/>
      <w:r w:rsidRPr="004B1E95">
        <w:rPr>
          <w:rFonts w:ascii="Garamond" w:hAnsi="Garamond"/>
        </w:rPr>
        <w:t xml:space="preserve">13). </w:t>
      </w:r>
    </w:p>
    <w:p w:rsidR="004B1E95" w:rsidRPr="004B1E95" w:rsidRDefault="004B1E95" w:rsidP="006F66E1">
      <w:pPr>
        <w:pStyle w:val="Brdtext"/>
        <w:ind w:right="142"/>
        <w:rPr>
          <w:rFonts w:ascii="Garamond" w:hAnsi="Garamond"/>
        </w:rPr>
      </w:pPr>
      <w:r w:rsidRPr="004B1E95">
        <w:rPr>
          <w:rFonts w:ascii="Garamond" w:hAnsi="Garamond"/>
        </w:rPr>
        <w:t xml:space="preserve">I mars 2020 aviserade kommissionen revideringen av byggproduktförordningen i handlingsplanen </w:t>
      </w:r>
      <w:r w:rsidRPr="004B1E95">
        <w:rPr>
          <w:rFonts w:ascii="Garamond" w:hAnsi="Garamond"/>
          <w:i/>
          <w:iCs/>
        </w:rPr>
        <w:t xml:space="preserve">En ny handlingsplan för den cirkulära ekonomin – För ett renare och mer konkurrenskraftigt Europa </w:t>
      </w:r>
      <w:r w:rsidRPr="004B1E95">
        <w:rPr>
          <w:rFonts w:ascii="Garamond" w:hAnsi="Garamond"/>
        </w:rPr>
        <w:t>(COM (</w:t>
      </w:r>
      <w:r w:rsidRPr="004B1E95">
        <w:rPr>
          <w:rFonts w:ascii="Garamond" w:hAnsi="Garamond"/>
          <w:bCs/>
        </w:rPr>
        <w:t>2020</w:t>
      </w:r>
      <w:r w:rsidRPr="004B1E95">
        <w:rPr>
          <w:rFonts w:ascii="Garamond" w:hAnsi="Garamond"/>
        </w:rPr>
        <w:t>) 98, Faktapromemoria 2019/</w:t>
      </w:r>
      <w:proofErr w:type="gramStart"/>
      <w:r w:rsidRPr="004B1E95">
        <w:rPr>
          <w:rFonts w:ascii="Garamond" w:hAnsi="Garamond"/>
        </w:rPr>
        <w:t>20:FPM</w:t>
      </w:r>
      <w:proofErr w:type="gramEnd"/>
      <w:r w:rsidRPr="004B1E95">
        <w:rPr>
          <w:rFonts w:ascii="Garamond" w:hAnsi="Garamond"/>
        </w:rPr>
        <w:t>28). K</w:t>
      </w:r>
      <w:r w:rsidRPr="004B1E95">
        <w:rPr>
          <w:rFonts w:ascii="Garamond" w:hAnsi="Garamond"/>
          <w:bCs/>
        </w:rPr>
        <w:t xml:space="preserve">ommissionen har angett i sitt arbetsprogram att ett förslag till en reviderad byggproduktförordning kommer att presenteras i slutet av 2021. Tyskland har under sitt ordförandeskap i Europeiska unionens råd hösten 2020 arrangerat fyra möten inom rådsarbetsgruppen för teknisk harmonisering i syfte att diskutera olika frågor inför denna framtida översyn. </w:t>
      </w:r>
    </w:p>
    <w:p w:rsidR="004B1E95" w:rsidRPr="004B1E95" w:rsidRDefault="004B1E95" w:rsidP="00E8555C">
      <w:pPr>
        <w:pStyle w:val="Brdtext"/>
        <w:tabs>
          <w:tab w:val="left" w:pos="6804"/>
        </w:tabs>
        <w:ind w:right="142"/>
        <w:rPr>
          <w:rFonts w:ascii="Garamond" w:hAnsi="Garamond"/>
          <w:bCs/>
        </w:rPr>
      </w:pPr>
      <w:r w:rsidRPr="004B1E95">
        <w:rPr>
          <w:rFonts w:ascii="Garamond" w:hAnsi="Garamond"/>
          <w:bCs/>
        </w:rPr>
        <w:t>Regeringen vill förankra sina ståndpunkter om en reviderad byggproduktförordning i ett tidigt skede med riksdagen, redan innan kommissionen presenterar sitt förslag.</w:t>
      </w:r>
    </w:p>
    <w:p w:rsidR="004B1E95" w:rsidRPr="004B1E95" w:rsidRDefault="004B1E95" w:rsidP="00E8555C">
      <w:pPr>
        <w:pStyle w:val="Brdtext"/>
        <w:tabs>
          <w:tab w:val="left" w:pos="5812"/>
          <w:tab w:val="left" w:pos="6237"/>
          <w:tab w:val="left" w:pos="6804"/>
        </w:tabs>
        <w:ind w:right="142"/>
        <w:rPr>
          <w:rFonts w:ascii="Garamond" w:hAnsi="Garamond"/>
          <w:bCs/>
        </w:rPr>
      </w:pPr>
      <w:r w:rsidRPr="004B1E95">
        <w:rPr>
          <w:rFonts w:ascii="Garamond" w:hAnsi="Garamond"/>
          <w:bCs/>
        </w:rPr>
        <w:lastRenderedPageBreak/>
        <w:t xml:space="preserve">Syftet med byggproduktförordningen är att underlätta handeln med byggprodukter på den inre marknaden. Förordningen omfattar EU:s gemensamma regler om ansvar för tillverkare, importörer och distributörer av byggprodukter. Förordningen innehåller även regler om användning av harmoniserade standarder och redovisning av egenskaper genom en s.k. prestandadeklaration och CE-märkning.  </w:t>
      </w:r>
    </w:p>
    <w:p w:rsidR="004B1E95" w:rsidRPr="004B1E95" w:rsidRDefault="004B1E95" w:rsidP="00E8555C">
      <w:pPr>
        <w:pStyle w:val="Brdtext"/>
        <w:spacing w:after="0"/>
        <w:ind w:right="142"/>
        <w:rPr>
          <w:rFonts w:ascii="Garamond" w:hAnsi="Garamond"/>
        </w:rPr>
      </w:pPr>
      <w:r w:rsidRPr="004B1E95">
        <w:rPr>
          <w:rFonts w:ascii="Garamond" w:hAnsi="Garamond"/>
          <w:bCs/>
        </w:rPr>
        <w:t xml:space="preserve">Medlemsstaterna ställer krav på byggnadsverk. Byggproduktförordningen anger villkoren för att tillhandahålla de produkter som ska ingå i dessa byggnadsverk. Förordningen skiljer sig från annan produktlagstiftning genom att den </w:t>
      </w:r>
      <w:r w:rsidRPr="004B1E95">
        <w:rPr>
          <w:rFonts w:ascii="Garamond" w:hAnsi="Garamond"/>
        </w:rPr>
        <w:t>inte ställer några materiella krav utan endast krav på hur information ska tas fram och förmedlas från tillverkare till användare. T</w:t>
      </w:r>
      <w:r w:rsidRPr="004B1E95">
        <w:rPr>
          <w:rFonts w:ascii="Garamond" w:hAnsi="Garamond"/>
          <w:bCs/>
        </w:rPr>
        <w:t xml:space="preserve">illverkaren ska upprätta en </w:t>
      </w:r>
      <w:r w:rsidRPr="004B1E95">
        <w:rPr>
          <w:rFonts w:ascii="Garamond" w:hAnsi="Garamond"/>
        </w:rPr>
        <w:t>prestandadeklaration med uppgifter om byggproduktens prestanda i förhållande till de väsentliga egenskaperna hos byggprodukten som rör de grundläggande kraven</w:t>
      </w:r>
      <w:r w:rsidRPr="004B1E95">
        <w:rPr>
          <w:rFonts w:ascii="Garamond" w:hAnsi="Garamond"/>
          <w:bCs/>
        </w:rPr>
        <w:t xml:space="preserve"> för byggnadsverk.  </w:t>
      </w:r>
    </w:p>
    <w:p w:rsidR="004B1E95" w:rsidRPr="004B1E95" w:rsidRDefault="004B1E95" w:rsidP="004B1E95">
      <w:pPr>
        <w:pStyle w:val="Brdtext"/>
        <w:spacing w:after="0"/>
        <w:rPr>
          <w:rFonts w:ascii="Garamond" w:hAnsi="Garamond"/>
        </w:rPr>
      </w:pPr>
    </w:p>
    <w:p w:rsidR="004B1E95" w:rsidRPr="004B1E95" w:rsidRDefault="004B1E95" w:rsidP="00E8555C">
      <w:pPr>
        <w:pStyle w:val="Brdtext"/>
        <w:rPr>
          <w:rFonts w:ascii="Garamond" w:hAnsi="Garamond"/>
          <w:bCs/>
        </w:rPr>
      </w:pPr>
      <w:r w:rsidRPr="004B1E95">
        <w:rPr>
          <w:rFonts w:ascii="Garamond" w:hAnsi="Garamond"/>
          <w:bCs/>
        </w:rPr>
        <w:t xml:space="preserve">De grundläggande kraven för byggnadsverk anges i byggproduktförordningen och avser egenskaperna bärförmåga, säkerhet vid brand, hygien, hälsa och miljö, säkerhet och tillgänglighet vid användning, bullerskydd, energihushållning och värmeisolering samt hållbar användning av naturresurser.  </w:t>
      </w:r>
    </w:p>
    <w:p w:rsidR="004B1E95" w:rsidRPr="004B1E95" w:rsidRDefault="004B1E95" w:rsidP="004B1E95">
      <w:pPr>
        <w:pStyle w:val="Brdtext"/>
        <w:spacing w:after="0"/>
        <w:rPr>
          <w:rFonts w:ascii="Garamond" w:hAnsi="Garamond"/>
          <w:bCs/>
        </w:rPr>
      </w:pPr>
      <w:r w:rsidRPr="004B1E95">
        <w:rPr>
          <w:rFonts w:ascii="Garamond" w:hAnsi="Garamond"/>
          <w:bCs/>
        </w:rPr>
        <w:t xml:space="preserve">EU-lagstiftningen kan inte ställa krav på områden inom den nationella kompetensen. Om ett medlemsland har krav i sina nationella byggregler som ligger inom ramen för byggproduktförordningens grundläggande krav för byggnadsverk, ska kommissionen ge uppdrag till den europeiska standardiseringen </w:t>
      </w:r>
      <w:r w:rsidRPr="004B1E95">
        <w:rPr>
          <w:rFonts w:ascii="Garamond" w:hAnsi="Garamond"/>
        </w:rPr>
        <w:t xml:space="preserve">(CEN, </w:t>
      </w:r>
      <w:proofErr w:type="spellStart"/>
      <w:r w:rsidRPr="004B1E95">
        <w:rPr>
          <w:rFonts w:ascii="Garamond" w:hAnsi="Garamond"/>
        </w:rPr>
        <w:t>European</w:t>
      </w:r>
      <w:proofErr w:type="spellEnd"/>
      <w:r w:rsidRPr="004B1E95">
        <w:rPr>
          <w:rFonts w:ascii="Garamond" w:hAnsi="Garamond"/>
        </w:rPr>
        <w:t xml:space="preserve"> </w:t>
      </w:r>
      <w:proofErr w:type="spellStart"/>
      <w:r w:rsidRPr="004B1E95">
        <w:rPr>
          <w:rFonts w:ascii="Garamond" w:hAnsi="Garamond"/>
        </w:rPr>
        <w:t>Committee</w:t>
      </w:r>
      <w:proofErr w:type="spellEnd"/>
      <w:r w:rsidRPr="004B1E95">
        <w:rPr>
          <w:rFonts w:ascii="Garamond" w:hAnsi="Garamond"/>
        </w:rPr>
        <w:t xml:space="preserve"> for </w:t>
      </w:r>
      <w:proofErr w:type="spellStart"/>
      <w:r w:rsidRPr="004B1E95">
        <w:rPr>
          <w:rFonts w:ascii="Garamond" w:hAnsi="Garamond"/>
        </w:rPr>
        <w:t>Standardization</w:t>
      </w:r>
      <w:proofErr w:type="spellEnd"/>
      <w:r w:rsidRPr="004B1E95">
        <w:rPr>
          <w:rFonts w:ascii="Garamond" w:hAnsi="Garamond"/>
        </w:rPr>
        <w:t xml:space="preserve">) </w:t>
      </w:r>
      <w:r w:rsidRPr="004B1E95">
        <w:rPr>
          <w:rFonts w:ascii="Garamond" w:hAnsi="Garamond"/>
          <w:bCs/>
        </w:rPr>
        <w:t xml:space="preserve">att ta fram harmoniserade standarder för att tillgodose medlemslandets regulativa behov. De harmoniserade standarderna ska sedan användas för att bedöma de produktegenskaper som är väsentliga att känna till för att avgöra om de nationella kraven på byggnadsverk kan bli uppfyllda när produkten används.  </w:t>
      </w:r>
    </w:p>
    <w:p w:rsidR="004B1E95" w:rsidRPr="004B1E95" w:rsidRDefault="004B1E95" w:rsidP="004B1E95">
      <w:pPr>
        <w:pStyle w:val="Brdtext"/>
        <w:spacing w:after="0"/>
        <w:rPr>
          <w:rFonts w:ascii="Garamond" w:hAnsi="Garamond"/>
          <w:bCs/>
        </w:rPr>
      </w:pPr>
    </w:p>
    <w:p w:rsidR="004B1E95" w:rsidRPr="004B1E95" w:rsidRDefault="004B1E95" w:rsidP="004B1E95">
      <w:pPr>
        <w:pStyle w:val="Brdtext"/>
        <w:rPr>
          <w:rFonts w:ascii="Garamond" w:hAnsi="Garamond"/>
          <w:bCs/>
        </w:rPr>
      </w:pPr>
      <w:r w:rsidRPr="004B1E95">
        <w:rPr>
          <w:rFonts w:ascii="Garamond" w:hAnsi="Garamond"/>
          <w:bCs/>
        </w:rPr>
        <w:t>Byggproduktförordningen kräver att en byggprodukt som omfattas av en harmoniserad standard ska ha en prestandadeklaration och vara CE-märkt när den tillhandahålls på den inre marknaden. För produkter som inte omfattas av harmoniserade standarder har tillverkaren en möjlighet att upprätta en prestandadeklaration och CE-märka produkterna på frivillig basis genom att begära en europeisk teknisk bedömning från organ som utses av medlemsstaterna, s.k. tekniska bedömningsorgan. Byggproduktförordningen anger också ansvarsfördelningen mellan tillverkare och tredjepartsorgan för de olika systemen för bedömning och fortlöpande kontroll av prestanda, AVCP (</w:t>
      </w:r>
      <w:proofErr w:type="spellStart"/>
      <w:r w:rsidRPr="004B1E95">
        <w:rPr>
          <w:rFonts w:ascii="Garamond" w:hAnsi="Garamond"/>
          <w:bCs/>
        </w:rPr>
        <w:t>Assessment</w:t>
      </w:r>
      <w:proofErr w:type="spellEnd"/>
      <w:r w:rsidRPr="004B1E95">
        <w:rPr>
          <w:rFonts w:ascii="Garamond" w:hAnsi="Garamond"/>
          <w:bCs/>
        </w:rPr>
        <w:t xml:space="preserve"> and </w:t>
      </w:r>
      <w:proofErr w:type="spellStart"/>
      <w:r w:rsidRPr="004B1E95">
        <w:rPr>
          <w:rFonts w:ascii="Garamond" w:hAnsi="Garamond"/>
          <w:bCs/>
        </w:rPr>
        <w:t>Verification</w:t>
      </w:r>
      <w:proofErr w:type="spellEnd"/>
      <w:r w:rsidRPr="004B1E95">
        <w:rPr>
          <w:rFonts w:ascii="Garamond" w:hAnsi="Garamond"/>
          <w:bCs/>
        </w:rPr>
        <w:t xml:space="preserve"> </w:t>
      </w:r>
      <w:proofErr w:type="spellStart"/>
      <w:r w:rsidRPr="004B1E95">
        <w:rPr>
          <w:rFonts w:ascii="Garamond" w:hAnsi="Garamond"/>
          <w:bCs/>
        </w:rPr>
        <w:t>of</w:t>
      </w:r>
      <w:proofErr w:type="spellEnd"/>
      <w:r w:rsidRPr="004B1E95">
        <w:rPr>
          <w:rFonts w:ascii="Garamond" w:hAnsi="Garamond"/>
          <w:bCs/>
        </w:rPr>
        <w:t xml:space="preserve"> </w:t>
      </w:r>
      <w:proofErr w:type="spellStart"/>
      <w:r w:rsidRPr="004B1E95">
        <w:rPr>
          <w:rFonts w:ascii="Garamond" w:hAnsi="Garamond"/>
          <w:bCs/>
        </w:rPr>
        <w:t>Constancy</w:t>
      </w:r>
      <w:proofErr w:type="spellEnd"/>
      <w:r w:rsidRPr="004B1E95">
        <w:rPr>
          <w:rFonts w:ascii="Garamond" w:hAnsi="Garamond"/>
          <w:bCs/>
        </w:rPr>
        <w:t xml:space="preserve"> </w:t>
      </w:r>
      <w:proofErr w:type="spellStart"/>
      <w:r w:rsidRPr="004B1E95">
        <w:rPr>
          <w:rFonts w:ascii="Garamond" w:hAnsi="Garamond"/>
          <w:bCs/>
        </w:rPr>
        <w:t>of</w:t>
      </w:r>
      <w:proofErr w:type="spellEnd"/>
      <w:r w:rsidRPr="004B1E95">
        <w:rPr>
          <w:rFonts w:ascii="Garamond" w:hAnsi="Garamond"/>
          <w:bCs/>
        </w:rPr>
        <w:t xml:space="preserve"> </w:t>
      </w:r>
      <w:proofErr w:type="spellStart"/>
      <w:r w:rsidRPr="004B1E95">
        <w:rPr>
          <w:rFonts w:ascii="Garamond" w:hAnsi="Garamond"/>
          <w:bCs/>
        </w:rPr>
        <w:t>Performance</w:t>
      </w:r>
      <w:proofErr w:type="spellEnd"/>
      <w:r w:rsidRPr="004B1E95">
        <w:rPr>
          <w:rFonts w:ascii="Garamond" w:hAnsi="Garamond"/>
          <w:bCs/>
        </w:rPr>
        <w:t>).</w:t>
      </w:r>
    </w:p>
    <w:p w:rsidR="004B1E95" w:rsidRPr="004B1E95" w:rsidRDefault="004B1E95" w:rsidP="004B1E95">
      <w:pPr>
        <w:pStyle w:val="Brdtext"/>
        <w:rPr>
          <w:rFonts w:ascii="Garamond" w:hAnsi="Garamond"/>
        </w:rPr>
      </w:pPr>
      <w:r w:rsidRPr="004B1E95">
        <w:rPr>
          <w:rFonts w:ascii="Garamond" w:hAnsi="Garamond"/>
        </w:rPr>
        <w:lastRenderedPageBreak/>
        <w:t>Systemet med harmoniserade tekniska specifikationer såsom standarder har inte levererat fullt ut. Dagens byggproduktförordning innehåller begränsade möjligheter att komplettera standarderna med fler väsentliga egenskaper. De harmoniserade standarderna får endast utökas med nya väsentliga egenskaper om medlemsstaterna kan påvisa regulativa behov. Samtidigt följer det av EU-domstolens rättspraxis att medlemsstaterna inte får efterfråga mer information än vad som går att ta reda på med hjälp av det harmoniserade systemet. Detta innebär att medlemsländerna inte kan utveckla sin lagstiftning för att ställa nya krav utöver det som redan idag omfattas av harmoniserade standarder.</w:t>
      </w:r>
    </w:p>
    <w:p w:rsidR="004B1E95" w:rsidRPr="004B1E95" w:rsidRDefault="004B1E95" w:rsidP="004B1E95">
      <w:pPr>
        <w:pStyle w:val="Brdtext"/>
        <w:spacing w:after="0"/>
        <w:rPr>
          <w:rFonts w:ascii="Garamond" w:hAnsi="Garamond"/>
        </w:rPr>
      </w:pPr>
      <w:bookmarkStart w:id="1" w:name="_Hlk58334335"/>
      <w:r w:rsidRPr="004B1E95">
        <w:rPr>
          <w:rFonts w:ascii="Garamond" w:hAnsi="Garamond"/>
        </w:rPr>
        <w:t xml:space="preserve">Det finns därför luckor i det gällande harmoniserade bedömningssystemet, bl.a. avseende skydd för hälsa och miljö samt hållbar användning av naturresurser, som återanvändningsbarhet och återvinningsbarhet. Dels saknas det i stor utsträckning harmoniserade bedömningsmetoder för väsentliga egenskaper som är relevanta för skydd för hälsa och miljö, dels gäller den nuvarande regleringen endast för nytillverkade produkter. Medlemsländer kan för närvarande inte ställa krav på information om byggprodukters emissioner och innehåll vilket kan påverka hälsa, klimat och miljö negativt. Dessutom utgår befintliga systemen för bedömning och fortlöpande kontroll av prestanda ifrån nytillverkning och innebär att all bedömning av produktens prestanda sker innan byggprodukten släpps ut på marknaden. En byggprodukt som redan har varit i bruk släpps inte ut på marknaden när den rivs ut ur byggnadsverket för att användas igen och kan därmed inte omfattas av byggproduktförordningen i dess nuvarande form. Det finns således inga EU-gemensamma krav på dokumentation för återanvända produkter. Detta får konsekvenser för den fria rörligheten av sådana produkter. Dessutom är det svårt för byggherren att bedöma dessa produkters lämplighet. I avsaknad av dokumentation kan byggherren bli tvungen att själv prova produkterna, vilket kan vara resurskrävande. Det kan då vara enklare att välja nyproducerade produkter istället vilket hämmar hållbar användning av naturresurser. </w:t>
      </w:r>
    </w:p>
    <w:bookmarkEnd w:id="1"/>
    <w:p w:rsidR="004B1E95" w:rsidRPr="004B1E95" w:rsidRDefault="004B1E95" w:rsidP="004B1E95">
      <w:pPr>
        <w:pStyle w:val="Brdtext"/>
        <w:spacing w:after="0"/>
        <w:rPr>
          <w:rFonts w:ascii="Garamond" w:hAnsi="Garamond"/>
        </w:rPr>
      </w:pPr>
    </w:p>
    <w:p w:rsidR="004B1E95" w:rsidRPr="004B1E95" w:rsidRDefault="004B1E95" w:rsidP="004B1E95">
      <w:pPr>
        <w:pStyle w:val="Brdtext"/>
        <w:spacing w:after="0"/>
        <w:rPr>
          <w:rFonts w:ascii="Garamond" w:hAnsi="Garamond"/>
        </w:rPr>
      </w:pPr>
      <w:r w:rsidRPr="004B1E95">
        <w:rPr>
          <w:rFonts w:ascii="Garamond" w:hAnsi="Garamond"/>
        </w:rPr>
        <w:t xml:space="preserve">Ytterligare problem är att byggproduktförordningen innebär en stor administrativ börda för små och mellanstora företag och att regelförenklingar för dessa företag inte utnyttjas. Det finns även hinder på den inre marknaden som bl.a. orsakas av nationella eller privaträttsliga märkningar och certifieringar. Marknadskontrollen är ojämn mellan medlemsländer och i många fall inte tillräckligt effektiv. </w:t>
      </w:r>
    </w:p>
    <w:p w:rsidR="004B1E95" w:rsidRPr="004B1E95" w:rsidRDefault="004B1E95" w:rsidP="004B1E95">
      <w:pPr>
        <w:pStyle w:val="Rubrik1utannumrering"/>
        <w:rPr>
          <w:rFonts w:ascii="Garamond" w:hAnsi="Garamond"/>
        </w:rPr>
      </w:pPr>
      <w:r w:rsidRPr="004B1E95">
        <w:rPr>
          <w:rFonts w:ascii="Garamond" w:hAnsi="Garamond"/>
        </w:rPr>
        <w:t>Regeringens st</w:t>
      </w:r>
      <w:r w:rsidRPr="00D84C9E">
        <w:rPr>
          <w:rFonts w:ascii="Garamond" w:hAnsi="Garamond"/>
          <w:sz w:val="25"/>
          <w:szCs w:val="25"/>
        </w:rPr>
        <w:t>åndpunkter</w:t>
      </w:r>
      <w:r w:rsidRPr="004B1E95">
        <w:rPr>
          <w:rFonts w:ascii="Garamond" w:hAnsi="Garamond"/>
        </w:rPr>
        <w:t xml:space="preserve"> </w:t>
      </w:r>
    </w:p>
    <w:p w:rsidR="004B1E95" w:rsidRPr="004B1E95" w:rsidRDefault="004B1E95" w:rsidP="004B1E95">
      <w:pPr>
        <w:pStyle w:val="Brdtext"/>
        <w:spacing w:after="0"/>
        <w:rPr>
          <w:rFonts w:ascii="Garamond" w:hAnsi="Garamond"/>
        </w:rPr>
      </w:pPr>
      <w:r w:rsidRPr="004B1E95">
        <w:rPr>
          <w:rFonts w:ascii="Garamond" w:hAnsi="Garamond"/>
        </w:rPr>
        <w:t xml:space="preserve">En väl fungerande inre marknad är viktig för regeringen. Byggproduktförordningen underlättar försäljning av byggprodukter på den inre marknaden. Uppdaterade och adekvata harmoniserade standarder med bedömningsmetoder för byggprodukter bör fortsatt utgöra harmoniseringsmålet för en fungerande inre marknad samtidigt som de tjänar </w:t>
      </w:r>
      <w:r w:rsidRPr="004B1E95">
        <w:rPr>
          <w:rFonts w:ascii="Garamond" w:hAnsi="Garamond"/>
        </w:rPr>
        <w:lastRenderedPageBreak/>
        <w:t>samhällskrav på byggnadsverk inklusive cirkulär ekonomi. Låsningar inom standardiseringen bör motverkas.</w:t>
      </w:r>
    </w:p>
    <w:p w:rsidR="004B1E95" w:rsidRPr="004B1E95" w:rsidRDefault="004B1E95" w:rsidP="004B1E95">
      <w:pPr>
        <w:pStyle w:val="Brdtext"/>
        <w:spacing w:after="0"/>
        <w:rPr>
          <w:rFonts w:ascii="Garamond" w:hAnsi="Garamond"/>
        </w:rPr>
      </w:pPr>
    </w:p>
    <w:p w:rsidR="004B1E95" w:rsidRPr="004B1E95" w:rsidRDefault="004B1E95" w:rsidP="004B1E95">
      <w:pPr>
        <w:pStyle w:val="Brdtext"/>
        <w:spacing w:after="0"/>
        <w:rPr>
          <w:rFonts w:ascii="Garamond" w:hAnsi="Garamond"/>
        </w:rPr>
      </w:pPr>
      <w:r w:rsidRPr="004B1E95">
        <w:rPr>
          <w:rFonts w:ascii="Garamond" w:hAnsi="Garamond"/>
        </w:rPr>
        <w:t xml:space="preserve">Byggproduktförordningen bör bli mer flexibel och skapa utrymme för att kunna beakta ytterligare regleringsbehov bland medlemsländerna. Samhällets behov utvecklas och det är inte tillfredställande att byggproduktförordningen inte kan följa den utvecklingen. </w:t>
      </w:r>
    </w:p>
    <w:p w:rsidR="004B1E95" w:rsidRPr="004B1E95" w:rsidRDefault="004B1E95" w:rsidP="004B1E95">
      <w:pPr>
        <w:pStyle w:val="Brdtext"/>
        <w:spacing w:after="0"/>
        <w:rPr>
          <w:rFonts w:ascii="Garamond" w:hAnsi="Garamond"/>
        </w:rPr>
      </w:pPr>
    </w:p>
    <w:p w:rsidR="004B1E95" w:rsidRPr="004B1E95" w:rsidRDefault="004B1E95" w:rsidP="004B1E95">
      <w:pPr>
        <w:pStyle w:val="Brdtext"/>
        <w:spacing w:after="0"/>
        <w:rPr>
          <w:rFonts w:ascii="Garamond" w:hAnsi="Garamond"/>
        </w:rPr>
      </w:pPr>
      <w:r w:rsidRPr="004B1E95">
        <w:rPr>
          <w:rFonts w:ascii="Garamond" w:hAnsi="Garamond"/>
        </w:rPr>
        <w:t>Regeringen anser att märkningen av byggprodukter bör förtydligas</w:t>
      </w:r>
      <w:r w:rsidRPr="004B1E95" w:rsidDel="000424B4">
        <w:rPr>
          <w:rFonts w:ascii="Garamond" w:hAnsi="Garamond"/>
        </w:rPr>
        <w:t>.</w:t>
      </w:r>
      <w:r w:rsidRPr="004B1E95">
        <w:rPr>
          <w:rFonts w:ascii="Garamond" w:hAnsi="Garamond"/>
        </w:rPr>
        <w:t xml:space="preserve"> I dagsläget är innebörden av en CE-märkning för byggprodukter inte samstämmig med CE-märkning för andra produktområden. Detta gör CE-märkning för byggprodukter svår att förstå och använda för såväl enskilda som för branschen. </w:t>
      </w:r>
    </w:p>
    <w:p w:rsidR="004B1E95" w:rsidRPr="004B1E95" w:rsidRDefault="004B1E95" w:rsidP="004B1E95">
      <w:pPr>
        <w:pStyle w:val="Brdtext"/>
        <w:spacing w:after="0"/>
        <w:rPr>
          <w:rFonts w:ascii="Garamond" w:hAnsi="Garamond"/>
        </w:rPr>
      </w:pPr>
    </w:p>
    <w:p w:rsidR="004B1E95" w:rsidRPr="00D84C9E" w:rsidRDefault="004B1E95" w:rsidP="004B1E95">
      <w:pPr>
        <w:rPr>
          <w:rFonts w:ascii="Garamond" w:hAnsi="Garamond"/>
          <w:sz w:val="25"/>
          <w:szCs w:val="25"/>
        </w:rPr>
      </w:pPr>
      <w:r w:rsidRPr="00D84C9E">
        <w:rPr>
          <w:rFonts w:ascii="Garamond" w:hAnsi="Garamond"/>
          <w:sz w:val="25"/>
          <w:szCs w:val="25"/>
        </w:rPr>
        <w:t xml:space="preserve">Regeringen anser även att digitaliseringen av information gällande byggprodukter bör utvecklas i syfte att förenkla administration, tillgång till information och tolkning av information. </w:t>
      </w:r>
    </w:p>
    <w:p w:rsidR="004B1E95" w:rsidRDefault="004B1E95" w:rsidP="004B1E95">
      <w:pPr>
        <w:rPr>
          <w:rFonts w:ascii="Garamond" w:hAnsi="Garamond"/>
          <w:sz w:val="25"/>
          <w:szCs w:val="25"/>
        </w:rPr>
      </w:pPr>
      <w:r w:rsidRPr="00D84C9E">
        <w:rPr>
          <w:rFonts w:ascii="Garamond" w:hAnsi="Garamond"/>
          <w:sz w:val="25"/>
          <w:szCs w:val="25"/>
        </w:rPr>
        <w:t>Regeringen anser att marknadskontrollen inom EU bör göras effektiv och enhetlig. Byggproduktförordningen begränsar möjligheten att bedriva en effektiv marknadskontroll genom att ge ett för stort tolkningsutrymme. Förordningen bör kompletteras med relevanta tillsynsbestämmelser.</w:t>
      </w:r>
    </w:p>
    <w:p w:rsidR="00D84C9E" w:rsidRPr="00D84C9E" w:rsidRDefault="00D84C9E" w:rsidP="004B1E95">
      <w:pPr>
        <w:rPr>
          <w:rFonts w:ascii="Garamond" w:hAnsi="Garamond"/>
          <w:sz w:val="25"/>
          <w:szCs w:val="25"/>
        </w:rPr>
      </w:pPr>
    </w:p>
    <w:p w:rsidR="004B1E95" w:rsidRPr="004B1E95" w:rsidRDefault="004B1E95" w:rsidP="004B1E95">
      <w:pPr>
        <w:pStyle w:val="Brdtext"/>
        <w:spacing w:after="0"/>
        <w:rPr>
          <w:rFonts w:ascii="Garamond" w:hAnsi="Garamond"/>
        </w:rPr>
      </w:pPr>
      <w:r w:rsidRPr="00D84C9E">
        <w:rPr>
          <w:rFonts w:ascii="Garamond" w:hAnsi="Garamond"/>
        </w:rPr>
        <w:t xml:space="preserve">Regeringen anser att små och medelstora </w:t>
      </w:r>
      <w:proofErr w:type="gramStart"/>
      <w:r w:rsidRPr="00D84C9E">
        <w:rPr>
          <w:rFonts w:ascii="Garamond" w:hAnsi="Garamond"/>
        </w:rPr>
        <w:t>företags perspektiv</w:t>
      </w:r>
      <w:proofErr w:type="gramEnd"/>
      <w:r w:rsidRPr="00D84C9E">
        <w:rPr>
          <w:rFonts w:ascii="Garamond" w:hAnsi="Garamond"/>
        </w:rPr>
        <w:t xml:space="preserve"> ska beaktas</w:t>
      </w:r>
      <w:r w:rsidRPr="004B1E95">
        <w:rPr>
          <w:rFonts w:ascii="Garamond" w:hAnsi="Garamond"/>
        </w:rPr>
        <w:t xml:space="preserve"> i revideringen av byggproduktförordningen. Det bör finnas utrymme för regelförenklingar som gynnar mindre företag i syfte att underlätta för dessa företag att uppfylla kraven i förordningen. Den administrativa bördan för företag bör alltid vägas mot samhällsnyttan. </w:t>
      </w:r>
    </w:p>
    <w:p w:rsidR="004B1E95" w:rsidRPr="004B1E95" w:rsidRDefault="004B1E95" w:rsidP="004B1E95">
      <w:pPr>
        <w:pStyle w:val="Brdtext"/>
        <w:spacing w:after="0"/>
        <w:rPr>
          <w:rFonts w:ascii="Garamond" w:hAnsi="Garamond"/>
        </w:rPr>
      </w:pPr>
    </w:p>
    <w:p w:rsidR="004B1E95" w:rsidRDefault="004B1E95" w:rsidP="004B1E95">
      <w:pPr>
        <w:pStyle w:val="Brdtext"/>
        <w:spacing w:after="0"/>
        <w:rPr>
          <w:rFonts w:ascii="Garamond" w:hAnsi="Garamond"/>
        </w:rPr>
      </w:pPr>
      <w:r w:rsidRPr="004B1E95">
        <w:rPr>
          <w:rFonts w:ascii="Garamond" w:hAnsi="Garamond"/>
        </w:rPr>
        <w:t xml:space="preserve">Regeringen anser att en cirkulär ekonomi inom byggsektorn med minskad miljö- och klimatpåverkan bör underlättas. Det bör finnas möjlighet att begära information om byggprodukters innehåll för att kunna undvika att potentiellt problematiska kemikalier eller material överförs till nya produkter och byggnader. </w:t>
      </w:r>
      <w:bookmarkStart w:id="2" w:name="_Hlk58320661"/>
      <w:r w:rsidRPr="004B1E95">
        <w:rPr>
          <w:rFonts w:ascii="Garamond" w:hAnsi="Garamond"/>
        </w:rPr>
        <w:t>Det kan även behövas utökad produktinformation för att kunna redovisa byggprodukters och byggnaders klimatpåverkan. Hur och i vilken utsträckning information redovisas bör kunna anpassas till användargruppen och bör vara ekonomiskt försvarbart.</w:t>
      </w:r>
      <w:bookmarkEnd w:id="2"/>
      <w:r w:rsidRPr="004B1E95">
        <w:rPr>
          <w:rFonts w:ascii="Garamond" w:hAnsi="Garamond"/>
        </w:rPr>
        <w:t xml:space="preserve"> Återanvändning av byggprodukter bör främjas genom att underlätta för försäljning på den inre marknaden. </w:t>
      </w:r>
    </w:p>
    <w:p w:rsidR="007929F8" w:rsidRDefault="007929F8" w:rsidP="007929F8">
      <w:pPr>
        <w:pStyle w:val="logo"/>
        <w:framePr w:w="9499" w:wrap="around" w:x="1701" w:y="727"/>
        <w:ind w:firstLine="142"/>
        <w:jc w:val="right"/>
      </w:pPr>
    </w:p>
    <w:p w:rsidR="007929F8" w:rsidRPr="007929F8" w:rsidRDefault="007929F8" w:rsidP="009A3EEB">
      <w:pPr>
        <w:tabs>
          <w:tab w:val="left" w:pos="1304"/>
        </w:tabs>
        <w:rPr>
          <w:szCs w:val="24"/>
        </w:rPr>
      </w:pPr>
    </w:p>
    <w:sectPr w:rsidR="007929F8" w:rsidRPr="007929F8"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E33" w:rsidRDefault="000E6E33" w:rsidP="00AD6647">
      <w:r>
        <w:separator/>
      </w:r>
    </w:p>
  </w:endnote>
  <w:endnote w:type="continuationSeparator" w:id="0">
    <w:p w:rsidR="000E6E33" w:rsidRDefault="000E6E33"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E33" w:rsidRDefault="000E6E33" w:rsidP="00AD6647">
      <w:r>
        <w:separator/>
      </w:r>
    </w:p>
  </w:footnote>
  <w:footnote w:type="continuationSeparator" w:id="0">
    <w:p w:rsidR="000E6E33" w:rsidRDefault="000E6E33"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1F"/>
    <w:rsid w:val="000211BD"/>
    <w:rsid w:val="00022B82"/>
    <w:rsid w:val="0003001F"/>
    <w:rsid w:val="0003470E"/>
    <w:rsid w:val="0004044D"/>
    <w:rsid w:val="000502BA"/>
    <w:rsid w:val="00051185"/>
    <w:rsid w:val="0005467D"/>
    <w:rsid w:val="00060181"/>
    <w:rsid w:val="00060329"/>
    <w:rsid w:val="000615E7"/>
    <w:rsid w:val="00065C96"/>
    <w:rsid w:val="000666DB"/>
    <w:rsid w:val="00080CCF"/>
    <w:rsid w:val="000938AB"/>
    <w:rsid w:val="00094923"/>
    <w:rsid w:val="000A2920"/>
    <w:rsid w:val="000A6D91"/>
    <w:rsid w:val="000A758E"/>
    <w:rsid w:val="000A75EE"/>
    <w:rsid w:val="000A7D1F"/>
    <w:rsid w:val="000B05CA"/>
    <w:rsid w:val="000B77A9"/>
    <w:rsid w:val="000C3B91"/>
    <w:rsid w:val="000C4E1E"/>
    <w:rsid w:val="000C576D"/>
    <w:rsid w:val="000C58D3"/>
    <w:rsid w:val="000C6D5F"/>
    <w:rsid w:val="000D35E7"/>
    <w:rsid w:val="000D4A15"/>
    <w:rsid w:val="000D6C51"/>
    <w:rsid w:val="000E021E"/>
    <w:rsid w:val="000E2E7D"/>
    <w:rsid w:val="000E4362"/>
    <w:rsid w:val="000E6777"/>
    <w:rsid w:val="000E6B25"/>
    <w:rsid w:val="000E6E33"/>
    <w:rsid w:val="000E71E7"/>
    <w:rsid w:val="000E74D7"/>
    <w:rsid w:val="000E78D9"/>
    <w:rsid w:val="000F07A1"/>
    <w:rsid w:val="000F0BBD"/>
    <w:rsid w:val="000F44F4"/>
    <w:rsid w:val="001038A6"/>
    <w:rsid w:val="001079DD"/>
    <w:rsid w:val="00113437"/>
    <w:rsid w:val="0012486D"/>
    <w:rsid w:val="00131006"/>
    <w:rsid w:val="00140136"/>
    <w:rsid w:val="00141EE8"/>
    <w:rsid w:val="00146F2D"/>
    <w:rsid w:val="001477F4"/>
    <w:rsid w:val="001517DC"/>
    <w:rsid w:val="0015180D"/>
    <w:rsid w:val="00152374"/>
    <w:rsid w:val="00160ED5"/>
    <w:rsid w:val="00161AA6"/>
    <w:rsid w:val="00162744"/>
    <w:rsid w:val="00162E43"/>
    <w:rsid w:val="00163FC2"/>
    <w:rsid w:val="00170A07"/>
    <w:rsid w:val="00171F2F"/>
    <w:rsid w:val="00172651"/>
    <w:rsid w:val="00173B10"/>
    <w:rsid w:val="00176834"/>
    <w:rsid w:val="00184907"/>
    <w:rsid w:val="0018499A"/>
    <w:rsid w:val="00194708"/>
    <w:rsid w:val="001952F3"/>
    <w:rsid w:val="00196E7E"/>
    <w:rsid w:val="001A2EFB"/>
    <w:rsid w:val="001A6BFD"/>
    <w:rsid w:val="001A6EDE"/>
    <w:rsid w:val="001B037F"/>
    <w:rsid w:val="001B1AEC"/>
    <w:rsid w:val="001B334D"/>
    <w:rsid w:val="001B638C"/>
    <w:rsid w:val="001C3D38"/>
    <w:rsid w:val="001C72E1"/>
    <w:rsid w:val="001D2A2F"/>
    <w:rsid w:val="001D6700"/>
    <w:rsid w:val="001F040B"/>
    <w:rsid w:val="001F23F5"/>
    <w:rsid w:val="001F42E1"/>
    <w:rsid w:val="002108A9"/>
    <w:rsid w:val="00213C1D"/>
    <w:rsid w:val="002174A8"/>
    <w:rsid w:val="00221B55"/>
    <w:rsid w:val="002226B9"/>
    <w:rsid w:val="002230C1"/>
    <w:rsid w:val="002240C8"/>
    <w:rsid w:val="00224846"/>
    <w:rsid w:val="00231D6A"/>
    <w:rsid w:val="002335AA"/>
    <w:rsid w:val="00234652"/>
    <w:rsid w:val="00237871"/>
    <w:rsid w:val="002457B2"/>
    <w:rsid w:val="002457DC"/>
    <w:rsid w:val="002457E5"/>
    <w:rsid w:val="00250924"/>
    <w:rsid w:val="002544E0"/>
    <w:rsid w:val="0026165C"/>
    <w:rsid w:val="002624FF"/>
    <w:rsid w:val="002646A2"/>
    <w:rsid w:val="00267961"/>
    <w:rsid w:val="00271038"/>
    <w:rsid w:val="0027779C"/>
    <w:rsid w:val="00282A97"/>
    <w:rsid w:val="00284BC2"/>
    <w:rsid w:val="002926A4"/>
    <w:rsid w:val="00295BE3"/>
    <w:rsid w:val="002962E4"/>
    <w:rsid w:val="00296D10"/>
    <w:rsid w:val="0029744B"/>
    <w:rsid w:val="002A12CA"/>
    <w:rsid w:val="002A1733"/>
    <w:rsid w:val="002A3EC9"/>
    <w:rsid w:val="002A40B2"/>
    <w:rsid w:val="002A4AD0"/>
    <w:rsid w:val="002B07B8"/>
    <w:rsid w:val="002B495D"/>
    <w:rsid w:val="002C1AF4"/>
    <w:rsid w:val="002D1197"/>
    <w:rsid w:val="002D2AB5"/>
    <w:rsid w:val="002E2017"/>
    <w:rsid w:val="002E60FE"/>
    <w:rsid w:val="002F1627"/>
    <w:rsid w:val="002F284C"/>
    <w:rsid w:val="002F33BF"/>
    <w:rsid w:val="00300054"/>
    <w:rsid w:val="00307165"/>
    <w:rsid w:val="00307355"/>
    <w:rsid w:val="00313774"/>
    <w:rsid w:val="00317F49"/>
    <w:rsid w:val="00320ED3"/>
    <w:rsid w:val="003222AC"/>
    <w:rsid w:val="00323112"/>
    <w:rsid w:val="00335156"/>
    <w:rsid w:val="00337C70"/>
    <w:rsid w:val="003405BC"/>
    <w:rsid w:val="003510FA"/>
    <w:rsid w:val="00355A31"/>
    <w:rsid w:val="00357DCA"/>
    <w:rsid w:val="00360479"/>
    <w:rsid w:val="00361BD5"/>
    <w:rsid w:val="0036254D"/>
    <w:rsid w:val="00370C65"/>
    <w:rsid w:val="00377F9C"/>
    <w:rsid w:val="00380D46"/>
    <w:rsid w:val="0038263B"/>
    <w:rsid w:val="0038651A"/>
    <w:rsid w:val="00386DD7"/>
    <w:rsid w:val="00387092"/>
    <w:rsid w:val="003908A8"/>
    <w:rsid w:val="003952A4"/>
    <w:rsid w:val="00395763"/>
    <w:rsid w:val="0039591D"/>
    <w:rsid w:val="0039683D"/>
    <w:rsid w:val="003A48EB"/>
    <w:rsid w:val="003A5A30"/>
    <w:rsid w:val="003A5F33"/>
    <w:rsid w:val="003B7324"/>
    <w:rsid w:val="003B76DA"/>
    <w:rsid w:val="003C356F"/>
    <w:rsid w:val="003C7167"/>
    <w:rsid w:val="003D07F1"/>
    <w:rsid w:val="003E20D4"/>
    <w:rsid w:val="003E6E48"/>
    <w:rsid w:val="003F3EC5"/>
    <w:rsid w:val="003F41A0"/>
    <w:rsid w:val="003F6DD5"/>
    <w:rsid w:val="004021CA"/>
    <w:rsid w:val="0040542E"/>
    <w:rsid w:val="004124C9"/>
    <w:rsid w:val="0041580F"/>
    <w:rsid w:val="004255FA"/>
    <w:rsid w:val="004258CF"/>
    <w:rsid w:val="00433B81"/>
    <w:rsid w:val="0043601F"/>
    <w:rsid w:val="00436913"/>
    <w:rsid w:val="00436AB2"/>
    <w:rsid w:val="00436C71"/>
    <w:rsid w:val="00436FC7"/>
    <w:rsid w:val="00442B03"/>
    <w:rsid w:val="004474EE"/>
    <w:rsid w:val="00460857"/>
    <w:rsid w:val="00463804"/>
    <w:rsid w:val="0047440D"/>
    <w:rsid w:val="00474C15"/>
    <w:rsid w:val="00477939"/>
    <w:rsid w:val="004800F9"/>
    <w:rsid w:val="0048401D"/>
    <w:rsid w:val="00485A25"/>
    <w:rsid w:val="004875D6"/>
    <w:rsid w:val="004903AB"/>
    <w:rsid w:val="004913CC"/>
    <w:rsid w:val="00491F31"/>
    <w:rsid w:val="00494212"/>
    <w:rsid w:val="004944D8"/>
    <w:rsid w:val="0049632C"/>
    <w:rsid w:val="004A04F7"/>
    <w:rsid w:val="004B1E95"/>
    <w:rsid w:val="004B3E3A"/>
    <w:rsid w:val="004C0DA0"/>
    <w:rsid w:val="004C5D17"/>
    <w:rsid w:val="004C7878"/>
    <w:rsid w:val="004E05D5"/>
    <w:rsid w:val="004E24F9"/>
    <w:rsid w:val="004E25A8"/>
    <w:rsid w:val="004E2630"/>
    <w:rsid w:val="004E569D"/>
    <w:rsid w:val="004F0C54"/>
    <w:rsid w:val="004F0F2C"/>
    <w:rsid w:val="004F1B55"/>
    <w:rsid w:val="004F26DF"/>
    <w:rsid w:val="004F4038"/>
    <w:rsid w:val="004F680C"/>
    <w:rsid w:val="004F7012"/>
    <w:rsid w:val="005109B9"/>
    <w:rsid w:val="00513D16"/>
    <w:rsid w:val="005148DF"/>
    <w:rsid w:val="00522CD4"/>
    <w:rsid w:val="00526E06"/>
    <w:rsid w:val="00531477"/>
    <w:rsid w:val="00542726"/>
    <w:rsid w:val="00547B84"/>
    <w:rsid w:val="005522C5"/>
    <w:rsid w:val="00554C06"/>
    <w:rsid w:val="00555707"/>
    <w:rsid w:val="005626C5"/>
    <w:rsid w:val="005667D7"/>
    <w:rsid w:val="00566B06"/>
    <w:rsid w:val="00570CB6"/>
    <w:rsid w:val="005719BC"/>
    <w:rsid w:val="0057225A"/>
    <w:rsid w:val="005726A3"/>
    <w:rsid w:val="00572EB6"/>
    <w:rsid w:val="00573AF7"/>
    <w:rsid w:val="00575117"/>
    <w:rsid w:val="00575862"/>
    <w:rsid w:val="005770F9"/>
    <w:rsid w:val="005855DC"/>
    <w:rsid w:val="005920D7"/>
    <w:rsid w:val="00592875"/>
    <w:rsid w:val="00595117"/>
    <w:rsid w:val="005A0E06"/>
    <w:rsid w:val="005A2779"/>
    <w:rsid w:val="005B5D60"/>
    <w:rsid w:val="005C1541"/>
    <w:rsid w:val="005C351D"/>
    <w:rsid w:val="005C7D58"/>
    <w:rsid w:val="005D7B12"/>
    <w:rsid w:val="005E28B9"/>
    <w:rsid w:val="005E3B2C"/>
    <w:rsid w:val="005E439C"/>
    <w:rsid w:val="005E484A"/>
    <w:rsid w:val="005E49AA"/>
    <w:rsid w:val="005E4CF2"/>
    <w:rsid w:val="005E4EB8"/>
    <w:rsid w:val="005E6DB0"/>
    <w:rsid w:val="005F7D91"/>
    <w:rsid w:val="00603322"/>
    <w:rsid w:val="00611378"/>
    <w:rsid w:val="00615E83"/>
    <w:rsid w:val="00622B38"/>
    <w:rsid w:val="0062438A"/>
    <w:rsid w:val="00627A02"/>
    <w:rsid w:val="00631327"/>
    <w:rsid w:val="00636DFA"/>
    <w:rsid w:val="00643F2C"/>
    <w:rsid w:val="00646C10"/>
    <w:rsid w:val="006614A8"/>
    <w:rsid w:val="00682EDC"/>
    <w:rsid w:val="0068476B"/>
    <w:rsid w:val="00687478"/>
    <w:rsid w:val="006A180F"/>
    <w:rsid w:val="006A32B0"/>
    <w:rsid w:val="006A5459"/>
    <w:rsid w:val="006A6589"/>
    <w:rsid w:val="006A7297"/>
    <w:rsid w:val="006B6481"/>
    <w:rsid w:val="006B7B0C"/>
    <w:rsid w:val="006C1741"/>
    <w:rsid w:val="006C21FA"/>
    <w:rsid w:val="006C2302"/>
    <w:rsid w:val="006C26B7"/>
    <w:rsid w:val="006D0481"/>
    <w:rsid w:val="006D0665"/>
    <w:rsid w:val="006D0C64"/>
    <w:rsid w:val="006D3126"/>
    <w:rsid w:val="006D4093"/>
    <w:rsid w:val="006D44BF"/>
    <w:rsid w:val="006E5F7A"/>
    <w:rsid w:val="006F10CD"/>
    <w:rsid w:val="006F159A"/>
    <w:rsid w:val="006F64E5"/>
    <w:rsid w:val="006F66E1"/>
    <w:rsid w:val="006F7C33"/>
    <w:rsid w:val="00701933"/>
    <w:rsid w:val="00712B0A"/>
    <w:rsid w:val="00722E42"/>
    <w:rsid w:val="00723D66"/>
    <w:rsid w:val="00730E81"/>
    <w:rsid w:val="00742212"/>
    <w:rsid w:val="007422F5"/>
    <w:rsid w:val="00744916"/>
    <w:rsid w:val="00744AF5"/>
    <w:rsid w:val="00745FE9"/>
    <w:rsid w:val="0074664F"/>
    <w:rsid w:val="00750FF0"/>
    <w:rsid w:val="007510F8"/>
    <w:rsid w:val="0075365A"/>
    <w:rsid w:val="00761574"/>
    <w:rsid w:val="00763199"/>
    <w:rsid w:val="00767BDA"/>
    <w:rsid w:val="007741F5"/>
    <w:rsid w:val="007778C7"/>
    <w:rsid w:val="00781130"/>
    <w:rsid w:val="007828A1"/>
    <w:rsid w:val="00786E2B"/>
    <w:rsid w:val="007929F8"/>
    <w:rsid w:val="0079549C"/>
    <w:rsid w:val="00797111"/>
    <w:rsid w:val="007A2598"/>
    <w:rsid w:val="007A7301"/>
    <w:rsid w:val="007B25F3"/>
    <w:rsid w:val="007B2705"/>
    <w:rsid w:val="007B43F1"/>
    <w:rsid w:val="007B57FC"/>
    <w:rsid w:val="007B768B"/>
    <w:rsid w:val="007B7BBF"/>
    <w:rsid w:val="007B7EFA"/>
    <w:rsid w:val="007C44BA"/>
    <w:rsid w:val="007C610E"/>
    <w:rsid w:val="007D072F"/>
    <w:rsid w:val="007D250B"/>
    <w:rsid w:val="007D3439"/>
    <w:rsid w:val="007D740C"/>
    <w:rsid w:val="007E5E33"/>
    <w:rsid w:val="007E73D9"/>
    <w:rsid w:val="007F2890"/>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4336"/>
    <w:rsid w:val="008465D6"/>
    <w:rsid w:val="008502F7"/>
    <w:rsid w:val="008524F1"/>
    <w:rsid w:val="00853D32"/>
    <w:rsid w:val="008557FA"/>
    <w:rsid w:val="00860E0F"/>
    <w:rsid w:val="008616CD"/>
    <w:rsid w:val="0086544C"/>
    <w:rsid w:val="008708C6"/>
    <w:rsid w:val="00877630"/>
    <w:rsid w:val="00880CCA"/>
    <w:rsid w:val="00885DAE"/>
    <w:rsid w:val="008862F7"/>
    <w:rsid w:val="00890555"/>
    <w:rsid w:val="00892F17"/>
    <w:rsid w:val="008A1E51"/>
    <w:rsid w:val="008A5A80"/>
    <w:rsid w:val="008B0FEB"/>
    <w:rsid w:val="008B34AC"/>
    <w:rsid w:val="008B6181"/>
    <w:rsid w:val="008B737A"/>
    <w:rsid w:val="008B7C61"/>
    <w:rsid w:val="008C05EE"/>
    <w:rsid w:val="008D012F"/>
    <w:rsid w:val="008D2D4E"/>
    <w:rsid w:val="008D6F8F"/>
    <w:rsid w:val="008E14C5"/>
    <w:rsid w:val="008E1BC5"/>
    <w:rsid w:val="008E2CD0"/>
    <w:rsid w:val="008E5B89"/>
    <w:rsid w:val="008E60BE"/>
    <w:rsid w:val="008F08E5"/>
    <w:rsid w:val="008F4D68"/>
    <w:rsid w:val="00902EB5"/>
    <w:rsid w:val="00903A9A"/>
    <w:rsid w:val="00906C2D"/>
    <w:rsid w:val="00907558"/>
    <w:rsid w:val="00911096"/>
    <w:rsid w:val="009152A2"/>
    <w:rsid w:val="00921232"/>
    <w:rsid w:val="00924427"/>
    <w:rsid w:val="00924436"/>
    <w:rsid w:val="00937A42"/>
    <w:rsid w:val="00942BFE"/>
    <w:rsid w:val="00943A88"/>
    <w:rsid w:val="00944CD9"/>
    <w:rsid w:val="00946978"/>
    <w:rsid w:val="0095061D"/>
    <w:rsid w:val="00950D27"/>
    <w:rsid w:val="00951110"/>
    <w:rsid w:val="009519BD"/>
    <w:rsid w:val="009618C8"/>
    <w:rsid w:val="0096269A"/>
    <w:rsid w:val="00962800"/>
    <w:rsid w:val="0096348C"/>
    <w:rsid w:val="0096358D"/>
    <w:rsid w:val="00963A4D"/>
    <w:rsid w:val="00971890"/>
    <w:rsid w:val="00971D76"/>
    <w:rsid w:val="00973D8B"/>
    <w:rsid w:val="00976C1F"/>
    <w:rsid w:val="00982260"/>
    <w:rsid w:val="0098234B"/>
    <w:rsid w:val="00982BC2"/>
    <w:rsid w:val="00985298"/>
    <w:rsid w:val="00985875"/>
    <w:rsid w:val="00992CD4"/>
    <w:rsid w:val="00995900"/>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E3284"/>
    <w:rsid w:val="009E3AC0"/>
    <w:rsid w:val="009E7759"/>
    <w:rsid w:val="00A025BF"/>
    <w:rsid w:val="00A03AEA"/>
    <w:rsid w:val="00A03D34"/>
    <w:rsid w:val="00A0519C"/>
    <w:rsid w:val="00A06191"/>
    <w:rsid w:val="00A10A0F"/>
    <w:rsid w:val="00A10D79"/>
    <w:rsid w:val="00A10F5E"/>
    <w:rsid w:val="00A11ED5"/>
    <w:rsid w:val="00A24ED8"/>
    <w:rsid w:val="00A257C5"/>
    <w:rsid w:val="00A314AA"/>
    <w:rsid w:val="00A32B11"/>
    <w:rsid w:val="00A33C2F"/>
    <w:rsid w:val="00A33FE3"/>
    <w:rsid w:val="00A35092"/>
    <w:rsid w:val="00A401A5"/>
    <w:rsid w:val="00A5280C"/>
    <w:rsid w:val="00A54FD1"/>
    <w:rsid w:val="00A5656D"/>
    <w:rsid w:val="00A569CA"/>
    <w:rsid w:val="00A57E60"/>
    <w:rsid w:val="00A61290"/>
    <w:rsid w:val="00A61C93"/>
    <w:rsid w:val="00A61CBD"/>
    <w:rsid w:val="00A64E1E"/>
    <w:rsid w:val="00A70EA8"/>
    <w:rsid w:val="00A73F6F"/>
    <w:rsid w:val="00A744C3"/>
    <w:rsid w:val="00A769F0"/>
    <w:rsid w:val="00A823F9"/>
    <w:rsid w:val="00A8525A"/>
    <w:rsid w:val="00A928A7"/>
    <w:rsid w:val="00A92DD1"/>
    <w:rsid w:val="00A94074"/>
    <w:rsid w:val="00AA3419"/>
    <w:rsid w:val="00AA3E8B"/>
    <w:rsid w:val="00AA41CE"/>
    <w:rsid w:val="00AB2A4D"/>
    <w:rsid w:val="00AB460B"/>
    <w:rsid w:val="00AB4858"/>
    <w:rsid w:val="00AD105F"/>
    <w:rsid w:val="00AD3F5C"/>
    <w:rsid w:val="00AD5FAD"/>
    <w:rsid w:val="00AD6647"/>
    <w:rsid w:val="00AE39AD"/>
    <w:rsid w:val="00AE6609"/>
    <w:rsid w:val="00AE6E0B"/>
    <w:rsid w:val="00AF2BF0"/>
    <w:rsid w:val="00AF3CB7"/>
    <w:rsid w:val="00AF3DDD"/>
    <w:rsid w:val="00AF4134"/>
    <w:rsid w:val="00AF60A7"/>
    <w:rsid w:val="00B02CCB"/>
    <w:rsid w:val="00B05D7C"/>
    <w:rsid w:val="00B10892"/>
    <w:rsid w:val="00B1251F"/>
    <w:rsid w:val="00B1390D"/>
    <w:rsid w:val="00B14BC1"/>
    <w:rsid w:val="00B16790"/>
    <w:rsid w:val="00B22051"/>
    <w:rsid w:val="00B24139"/>
    <w:rsid w:val="00B25235"/>
    <w:rsid w:val="00B27A57"/>
    <w:rsid w:val="00B327BA"/>
    <w:rsid w:val="00B32DC7"/>
    <w:rsid w:val="00B361CC"/>
    <w:rsid w:val="00B42E61"/>
    <w:rsid w:val="00B5365D"/>
    <w:rsid w:val="00B62AA2"/>
    <w:rsid w:val="00B62ADD"/>
    <w:rsid w:val="00B63459"/>
    <w:rsid w:val="00B642A3"/>
    <w:rsid w:val="00B65CD7"/>
    <w:rsid w:val="00B66085"/>
    <w:rsid w:val="00B6646B"/>
    <w:rsid w:val="00B9203B"/>
    <w:rsid w:val="00B96D33"/>
    <w:rsid w:val="00BA38FB"/>
    <w:rsid w:val="00BA596F"/>
    <w:rsid w:val="00BA7269"/>
    <w:rsid w:val="00BB1303"/>
    <w:rsid w:val="00BB7105"/>
    <w:rsid w:val="00BB7E0D"/>
    <w:rsid w:val="00BC0110"/>
    <w:rsid w:val="00BC0668"/>
    <w:rsid w:val="00BC0EDA"/>
    <w:rsid w:val="00BD253C"/>
    <w:rsid w:val="00BD2A4C"/>
    <w:rsid w:val="00BD4382"/>
    <w:rsid w:val="00BD5D83"/>
    <w:rsid w:val="00BD7D25"/>
    <w:rsid w:val="00BE21C4"/>
    <w:rsid w:val="00BF768C"/>
    <w:rsid w:val="00C00CB4"/>
    <w:rsid w:val="00C03596"/>
    <w:rsid w:val="00C14520"/>
    <w:rsid w:val="00C210B3"/>
    <w:rsid w:val="00C249B2"/>
    <w:rsid w:val="00C26641"/>
    <w:rsid w:val="00C26E45"/>
    <w:rsid w:val="00C30EB3"/>
    <w:rsid w:val="00C357B4"/>
    <w:rsid w:val="00C37125"/>
    <w:rsid w:val="00C43C12"/>
    <w:rsid w:val="00C61546"/>
    <w:rsid w:val="00C62D4C"/>
    <w:rsid w:val="00C637D4"/>
    <w:rsid w:val="00C659B8"/>
    <w:rsid w:val="00C675CE"/>
    <w:rsid w:val="00C730EF"/>
    <w:rsid w:val="00C74837"/>
    <w:rsid w:val="00C7561C"/>
    <w:rsid w:val="00C85407"/>
    <w:rsid w:val="00C862CF"/>
    <w:rsid w:val="00C90C3B"/>
    <w:rsid w:val="00C917F3"/>
    <w:rsid w:val="00C93236"/>
    <w:rsid w:val="00C93E34"/>
    <w:rsid w:val="00CA6DD4"/>
    <w:rsid w:val="00CB002D"/>
    <w:rsid w:val="00CD0AC3"/>
    <w:rsid w:val="00CD424F"/>
    <w:rsid w:val="00CD49C4"/>
    <w:rsid w:val="00CD59E4"/>
    <w:rsid w:val="00CE0016"/>
    <w:rsid w:val="00CE200F"/>
    <w:rsid w:val="00CF4563"/>
    <w:rsid w:val="00CF4611"/>
    <w:rsid w:val="00D00386"/>
    <w:rsid w:val="00D00DF1"/>
    <w:rsid w:val="00D03AC8"/>
    <w:rsid w:val="00D0597A"/>
    <w:rsid w:val="00D078BC"/>
    <w:rsid w:val="00D13D09"/>
    <w:rsid w:val="00D2768E"/>
    <w:rsid w:val="00D326C7"/>
    <w:rsid w:val="00D36729"/>
    <w:rsid w:val="00D36EE0"/>
    <w:rsid w:val="00D37126"/>
    <w:rsid w:val="00D4281D"/>
    <w:rsid w:val="00D44BB6"/>
    <w:rsid w:val="00D46AA6"/>
    <w:rsid w:val="00D50411"/>
    <w:rsid w:val="00D51784"/>
    <w:rsid w:val="00D538B8"/>
    <w:rsid w:val="00D615B9"/>
    <w:rsid w:val="00D67DCA"/>
    <w:rsid w:val="00D711B5"/>
    <w:rsid w:val="00D75215"/>
    <w:rsid w:val="00D7770E"/>
    <w:rsid w:val="00D77805"/>
    <w:rsid w:val="00D80363"/>
    <w:rsid w:val="00D84C9E"/>
    <w:rsid w:val="00D8714B"/>
    <w:rsid w:val="00D94175"/>
    <w:rsid w:val="00DA066D"/>
    <w:rsid w:val="00DB0378"/>
    <w:rsid w:val="00DB123A"/>
    <w:rsid w:val="00DC2075"/>
    <w:rsid w:val="00DC40CE"/>
    <w:rsid w:val="00DD1EF3"/>
    <w:rsid w:val="00DD3014"/>
    <w:rsid w:val="00DD5844"/>
    <w:rsid w:val="00DE54AF"/>
    <w:rsid w:val="00DE54DD"/>
    <w:rsid w:val="00DE5E6B"/>
    <w:rsid w:val="00DF10D2"/>
    <w:rsid w:val="00DF1362"/>
    <w:rsid w:val="00E02462"/>
    <w:rsid w:val="00E036C4"/>
    <w:rsid w:val="00E05CBD"/>
    <w:rsid w:val="00E065C3"/>
    <w:rsid w:val="00E102B9"/>
    <w:rsid w:val="00E15A27"/>
    <w:rsid w:val="00E22247"/>
    <w:rsid w:val="00E23FBF"/>
    <w:rsid w:val="00E24574"/>
    <w:rsid w:val="00E2675F"/>
    <w:rsid w:val="00E306CB"/>
    <w:rsid w:val="00E3458A"/>
    <w:rsid w:val="00E3779D"/>
    <w:rsid w:val="00E40826"/>
    <w:rsid w:val="00E40B7F"/>
    <w:rsid w:val="00E41A2F"/>
    <w:rsid w:val="00E44B96"/>
    <w:rsid w:val="00E44BD5"/>
    <w:rsid w:val="00E64074"/>
    <w:rsid w:val="00E67EBA"/>
    <w:rsid w:val="00E71A65"/>
    <w:rsid w:val="00E75C43"/>
    <w:rsid w:val="00E75CC6"/>
    <w:rsid w:val="00E761A2"/>
    <w:rsid w:val="00E776F8"/>
    <w:rsid w:val="00E83814"/>
    <w:rsid w:val="00E8555C"/>
    <w:rsid w:val="00E855B4"/>
    <w:rsid w:val="00E855C8"/>
    <w:rsid w:val="00E916EA"/>
    <w:rsid w:val="00E935B5"/>
    <w:rsid w:val="00EA2288"/>
    <w:rsid w:val="00EB1AF4"/>
    <w:rsid w:val="00EC097B"/>
    <w:rsid w:val="00EC0ACE"/>
    <w:rsid w:val="00EC1B80"/>
    <w:rsid w:val="00EC3AB3"/>
    <w:rsid w:val="00ED11BF"/>
    <w:rsid w:val="00ED23A3"/>
    <w:rsid w:val="00ED2F65"/>
    <w:rsid w:val="00ED335D"/>
    <w:rsid w:val="00ED588F"/>
    <w:rsid w:val="00ED68C1"/>
    <w:rsid w:val="00EF09BA"/>
    <w:rsid w:val="00EF0EA5"/>
    <w:rsid w:val="00F03B32"/>
    <w:rsid w:val="00F05D79"/>
    <w:rsid w:val="00F100F1"/>
    <w:rsid w:val="00F12457"/>
    <w:rsid w:val="00F14195"/>
    <w:rsid w:val="00F21DEA"/>
    <w:rsid w:val="00F23124"/>
    <w:rsid w:val="00F26A07"/>
    <w:rsid w:val="00F27916"/>
    <w:rsid w:val="00F27A44"/>
    <w:rsid w:val="00F27FB5"/>
    <w:rsid w:val="00F30E27"/>
    <w:rsid w:val="00F34838"/>
    <w:rsid w:val="00F45BFD"/>
    <w:rsid w:val="00F478AA"/>
    <w:rsid w:val="00F50559"/>
    <w:rsid w:val="00F6283B"/>
    <w:rsid w:val="00F6675C"/>
    <w:rsid w:val="00F70E11"/>
    <w:rsid w:val="00F71787"/>
    <w:rsid w:val="00F7604D"/>
    <w:rsid w:val="00F8102A"/>
    <w:rsid w:val="00F8376C"/>
    <w:rsid w:val="00F8547D"/>
    <w:rsid w:val="00F91659"/>
    <w:rsid w:val="00F91A34"/>
    <w:rsid w:val="00FA08AC"/>
    <w:rsid w:val="00FA0CAB"/>
    <w:rsid w:val="00FA365F"/>
    <w:rsid w:val="00FA4169"/>
    <w:rsid w:val="00FA5106"/>
    <w:rsid w:val="00FB2A0F"/>
    <w:rsid w:val="00FC0925"/>
    <w:rsid w:val="00FC1C61"/>
    <w:rsid w:val="00FC247D"/>
    <w:rsid w:val="00FC4753"/>
    <w:rsid w:val="00FC5B1B"/>
    <w:rsid w:val="00FD13A3"/>
    <w:rsid w:val="00FD7115"/>
    <w:rsid w:val="00FE0868"/>
    <w:rsid w:val="00FE0D25"/>
    <w:rsid w:val="00FE3E45"/>
    <w:rsid w:val="00FF01B7"/>
    <w:rsid w:val="00FF0EE3"/>
    <w:rsid w:val="00FF3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47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rsid w:val="007929F8"/>
    <w:pPr>
      <w:tabs>
        <w:tab w:val="center" w:pos="4536"/>
        <w:tab w:val="right" w:pos="9072"/>
      </w:tabs>
    </w:pPr>
  </w:style>
  <w:style w:type="character" w:customStyle="1" w:styleId="SidhuvudChar">
    <w:name w:val="Sidhuvud Char"/>
    <w:basedOn w:val="Standardstycketeckensnitt"/>
    <w:link w:val="Sidhuvud"/>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9B79-F341-40BB-BC88-8442EC7F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1752</Words>
  <Characters>12195</Characters>
  <Application>Microsoft Office Word</Application>
  <DocSecurity>4</DocSecurity>
  <Lines>1108</Lines>
  <Paragraphs>202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Anna Bolmström</cp:lastModifiedBy>
  <cp:revision>2</cp:revision>
  <cp:lastPrinted>2020-12-15T13:51:00Z</cp:lastPrinted>
  <dcterms:created xsi:type="dcterms:W3CDTF">2021-01-22T12:33:00Z</dcterms:created>
  <dcterms:modified xsi:type="dcterms:W3CDTF">2021-01-22T12:33:00Z</dcterms:modified>
</cp:coreProperties>
</file>