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16FC" w:rsidRPr="00FE79A0" w:rsidRDefault="008116FC" w:rsidP="000535A2">
      <w:pPr>
        <w:pStyle w:val="Hemstlrubrik"/>
        <w:rPr>
          <w:sz w:val="24"/>
          <w:szCs w:val="24"/>
        </w:rPr>
      </w:pPr>
      <w:r w:rsidRPr="00FE79A0">
        <w:t>Förslag till riksdagsbeslut</w:t>
      </w:r>
    </w:p>
    <w:p w:rsidR="008116FC" w:rsidRPr="00FE79A0" w:rsidRDefault="008116FC" w:rsidP="008116FC">
      <w:pPr>
        <w:pStyle w:val="Hemstlatt"/>
      </w:pPr>
      <w:r w:rsidRPr="00FE79A0">
        <w:t xml:space="preserve">Riksdagen tillkännager för regeringen som sin mening vad som </w:t>
      </w:r>
      <w:r w:rsidR="00835CD2" w:rsidRPr="00FE79A0">
        <w:t>anförs</w:t>
      </w:r>
      <w:r w:rsidRPr="00FE79A0">
        <w:t xml:space="preserve"> i motionen om tillsättande av en parlamentarisk utredning med uppgift att utforma en statlig spelpolitik med målet att så långt som möjligt föreby</w:t>
      </w:r>
      <w:r w:rsidRPr="00FE79A0">
        <w:t>g</w:t>
      </w:r>
      <w:r w:rsidRPr="00FE79A0">
        <w:t>ga spelberoende.</w:t>
      </w:r>
    </w:p>
    <w:p w:rsidR="008116FC" w:rsidRPr="00FE79A0" w:rsidRDefault="008116FC" w:rsidP="008116FC">
      <w:pPr>
        <w:pStyle w:val="Rubrik1"/>
      </w:pPr>
      <w:r w:rsidRPr="00FE79A0">
        <w:t>Motivering</w:t>
      </w:r>
    </w:p>
    <w:p w:rsidR="008116FC" w:rsidRPr="00FE79A0" w:rsidRDefault="008116FC" w:rsidP="008116FC">
      <w:r w:rsidRPr="00FE79A0">
        <w:t>Regeringen tillsatte vid sammanträde den 9 juni i år en särskild utredare med uppgift att utvärdera kasinoverksamheten i Sverige. Det är bra att en sådan utvärdering kommer till stånd. Men det räcker inte. Det är nu hög tid att Sv</w:t>
      </w:r>
      <w:r w:rsidRPr="00FE79A0">
        <w:t>e</w:t>
      </w:r>
      <w:r w:rsidRPr="00FE79A0">
        <w:t>rige utformar en sammanhängande spelpolitik, med ett tydligt förebyggande perspektiv, som täcker alla de viktigare förekommande spelformerna och dessutom tar hänsyn till de hot om ytterligare beroendeskapande spel som den tekniska utvecklingen, framför allt inom Internet, representerar.</w:t>
      </w:r>
    </w:p>
    <w:p w:rsidR="008116FC" w:rsidRPr="00FE79A0" w:rsidRDefault="008116FC" w:rsidP="000535A2">
      <w:pPr>
        <w:pStyle w:val="Normaltindrag"/>
      </w:pPr>
      <w:r w:rsidRPr="00FE79A0">
        <w:t>Det bör därför tillsättas en parlamentarisk utredning med uppgift att gå igenom hela detta stora fält. Den bör gå igenom tillgänglig forskning om vilka spelformer som kan anses vara särskilt beroendeframkallande, och vid behov initiera ytterligare forskning. Den bör också utforma en tydlig filosofi för den statliga verksamheten på spelområdet. Det framstår som tydligt att en sådan behövs om ett statligt monopol på spelområdet ska kunna försvaras med soc</w:t>
      </w:r>
      <w:r w:rsidRPr="00FE79A0">
        <w:t>i</w:t>
      </w:r>
      <w:r w:rsidRPr="00FE79A0">
        <w:t>alpolitiska argument.</w:t>
      </w:r>
    </w:p>
    <w:p w:rsidR="008116FC" w:rsidRPr="00FE79A0" w:rsidRDefault="008116FC" w:rsidP="000535A2">
      <w:pPr>
        <w:pStyle w:val="Normaltindrag"/>
      </w:pPr>
      <w:r w:rsidRPr="00FE79A0">
        <w:t>Utredningen bör också överväga om det på sikt är ändamålsenligt att stödet till idrotten och annan ideell verksamhet knyts till inkomsterna från beroend</w:t>
      </w:r>
      <w:r w:rsidRPr="00FE79A0">
        <w:t>e</w:t>
      </w:r>
      <w:r w:rsidRPr="00FE79A0">
        <w:t xml:space="preserve">skapande spelverksamhet. Steget är långt från den oskyldiga försäljning av scoutlotterier och liknande, som tidigare utgjorde viktiga inkomstkällor för ideell verksamhet, till dagens glättade hårdförsäljning av den storindustriella statliga spelverksamheten. </w:t>
      </w:r>
    </w:p>
    <w:p w:rsidR="008116FC" w:rsidRPr="00FE79A0" w:rsidRDefault="008116FC" w:rsidP="000535A2">
      <w:pPr>
        <w:pStyle w:val="Normaltindrag"/>
      </w:pPr>
      <w:r w:rsidRPr="00FE79A0">
        <w:t>Marknadsföringens betydelse för uppkomsten av spelberoende bör också utvärderas, och riktlinjer för marknadsföringen av den statliga spelverksa</w:t>
      </w:r>
      <w:r w:rsidRPr="00FE79A0">
        <w:t>m</w:t>
      </w:r>
      <w:r w:rsidRPr="00FE79A0">
        <w:lastRenderedPageBreak/>
        <w:t>heten utformas. Även den lagstiftning som reglerar marknadsföringen av spelverksamhet i allmänhet bör utredas.</w:t>
      </w:r>
    </w:p>
    <w:p w:rsidR="008116FC" w:rsidRPr="00FE79A0" w:rsidRDefault="008116FC" w:rsidP="000535A2">
      <w:pPr>
        <w:pStyle w:val="Normaltindrag"/>
      </w:pPr>
      <w:r w:rsidRPr="00FE79A0">
        <w:t>Utredningen bör också kartlägga vilka metoder som är mest ändamålsenl</w:t>
      </w:r>
      <w:r w:rsidRPr="00FE79A0">
        <w:t>i</w:t>
      </w:r>
      <w:r w:rsidRPr="00FE79A0">
        <w:t>ga för att behandla olika former av spelberoende, även om det förebyggande perspektivet givetvis är det mest väsentliga. När det gäller andra former av beroende – av nikotin, alkohol eller narkotika – arbetar man med s.k. subst</w:t>
      </w:r>
      <w:r w:rsidRPr="00FE79A0">
        <w:t>i</w:t>
      </w:r>
      <w:r w:rsidRPr="00FE79A0">
        <w:t>tionsbehandling. Är något motsvarande tänkbart när det gäller spelberoende?</w:t>
      </w:r>
    </w:p>
    <w:p w:rsidR="008116FC" w:rsidRPr="00FE79A0" w:rsidRDefault="008116FC" w:rsidP="000535A2">
      <w:pPr>
        <w:pStyle w:val="Normaltindrag"/>
      </w:pPr>
      <w:r w:rsidRPr="00FE79A0">
        <w:t>Med tanke på spelandets internationalisering är det också viktigt att unde</w:t>
      </w:r>
      <w:r w:rsidRPr="00FE79A0">
        <w:t>r</w:t>
      </w:r>
      <w:r w:rsidRPr="00FE79A0">
        <w:t>söka möjligheterna till internationellt samarbete för att förebygga de mest beroendeskapande spelen. Även om spelandet har nått större volym i Sverige än i många andra länder, är det troligt att problemen med ökat spelberoende kommer att tilldra sig allt större intresse bland politiska beslutsfattare även i länder som vi samarbetar med. Det är därför angeläget att vi skaffar oss en beredskap att ta initiativ till samarbete för att förebygga en utveckling som riskerar att ödelägga tusentals enskildas och familjers liv.</w:t>
      </w:r>
    </w:p>
    <w:p w:rsidR="008116FC" w:rsidRPr="00FE79A0" w:rsidRDefault="008116FC" w:rsidP="000535A2">
      <w:pPr>
        <w:pStyle w:val="Normaltindrag"/>
      </w:pPr>
      <w:r w:rsidRPr="00FE79A0">
        <w:t>Tillsättandet av den utredning som föreslås i denna motion bör inte försena utvärderingen av kasinoverksamheten, eller förhindra åtgärder som denna utvärdering kan leda till, om sådana åtgärder bedöms som angelägna för att</w:t>
      </w:r>
      <w:r w:rsidR="00A81582" w:rsidRPr="00FE79A0">
        <w:t xml:space="preserve"> </w:t>
      </w:r>
      <w:r w:rsidRPr="00FE79A0">
        <w:t>förhindra skador. Men självfallet bör en eventuell fortsättning av den statliga kasinoverksamheten, om en sådan anses meningsfull, infogas i en bredare statlig spelpolitik.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535A2" w:rsidRPr="00FE79A0">
        <w:tblPrEx>
          <w:tblCellMar>
            <w:top w:w="0" w:type="dxa"/>
            <w:bottom w:w="0" w:type="dxa"/>
          </w:tblCellMar>
        </w:tblPrEx>
        <w:trPr>
          <w:cantSplit/>
        </w:trPr>
        <w:tc>
          <w:tcPr>
            <w:tcW w:w="3046" w:type="dxa"/>
          </w:tcPr>
          <w:p w:rsidR="000535A2" w:rsidRPr="00FE79A0" w:rsidRDefault="000535A2" w:rsidP="000535A2">
            <w:pPr>
              <w:pStyle w:val="UnderskriftDatum"/>
              <w:spacing w:before="240"/>
            </w:pPr>
            <w:r w:rsidRPr="00FE79A0">
              <w:t>Stockholm den 28 september 2005</w:t>
            </w:r>
          </w:p>
        </w:tc>
        <w:tc>
          <w:tcPr>
            <w:tcW w:w="3047" w:type="dxa"/>
          </w:tcPr>
          <w:p w:rsidR="000535A2" w:rsidRPr="00FE79A0" w:rsidRDefault="000535A2" w:rsidP="000535A2">
            <w:pPr>
              <w:pStyle w:val="Underskrifter"/>
              <w:spacing w:before="240"/>
            </w:pPr>
          </w:p>
        </w:tc>
      </w:tr>
      <w:tr w:rsidR="000535A2" w:rsidRPr="00FE79A0">
        <w:tblPrEx>
          <w:tblCellMar>
            <w:top w:w="0" w:type="dxa"/>
            <w:bottom w:w="0" w:type="dxa"/>
          </w:tblCellMar>
        </w:tblPrEx>
        <w:trPr>
          <w:cantSplit/>
        </w:trPr>
        <w:tc>
          <w:tcPr>
            <w:tcW w:w="3046" w:type="dxa"/>
          </w:tcPr>
          <w:p w:rsidR="000535A2" w:rsidRPr="00FE79A0" w:rsidRDefault="000535A2" w:rsidP="000535A2">
            <w:pPr>
              <w:pStyle w:val="Underskrifter"/>
            </w:pPr>
            <w:r w:rsidRPr="00FE79A0">
              <w:t>Gabriel Romanus (fp)</w:t>
            </w:r>
          </w:p>
        </w:tc>
        <w:tc>
          <w:tcPr>
            <w:tcW w:w="3047" w:type="dxa"/>
          </w:tcPr>
          <w:p w:rsidR="000535A2" w:rsidRPr="00FE79A0" w:rsidRDefault="000535A2" w:rsidP="000535A2">
            <w:pPr>
              <w:pStyle w:val="Underskrifter"/>
            </w:pPr>
          </w:p>
        </w:tc>
      </w:tr>
    </w:tbl>
    <w:p w:rsidR="00E84F25" w:rsidRPr="00FE79A0" w:rsidRDefault="00E84F25" w:rsidP="000535A2">
      <w:pPr>
        <w:pStyle w:val="Normaltindrag"/>
      </w:pPr>
    </w:p>
    <w:sectPr w:rsidR="00E84F25" w:rsidRPr="00FE79A0" w:rsidSect="000535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00B6" w:rsidRPr="00FE79A0" w:rsidRDefault="00D300B6">
      <w:r w:rsidRPr="00FE79A0">
        <w:separator/>
      </w:r>
    </w:p>
  </w:endnote>
  <w:endnote w:type="continuationSeparator" w:id="0">
    <w:p w:rsidR="00D300B6" w:rsidRPr="00FE79A0" w:rsidRDefault="00D300B6">
      <w:r w:rsidRPr="00FE79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CD2" w:rsidRPr="00FE79A0" w:rsidRDefault="00FE79A0" w:rsidP="000535A2">
    <w:pPr>
      <w:pStyle w:val="Sidfot"/>
    </w:pPr>
    <w:r w:rsidRPr="00FE79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03453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5A2" w:rsidRDefault="000535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35A2" w:rsidRDefault="000535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CD2" w:rsidRPr="00FE79A0" w:rsidRDefault="00FE79A0" w:rsidP="000535A2">
    <w:pPr>
      <w:pStyle w:val="Sidfot"/>
    </w:pPr>
    <w:r w:rsidRPr="00FE79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20722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5A2" w:rsidRDefault="000535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35A2" w:rsidRDefault="000535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CD2" w:rsidRPr="00FE79A0" w:rsidRDefault="00FE79A0" w:rsidP="000535A2">
    <w:pPr>
      <w:pStyle w:val="Sidfot"/>
    </w:pPr>
    <w:r w:rsidRPr="00FE79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41324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5A2" w:rsidRDefault="000535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35A2" w:rsidRDefault="000535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00B6" w:rsidRPr="00FE79A0" w:rsidRDefault="00D300B6">
      <w:r w:rsidRPr="00FE79A0">
        <w:separator/>
      </w:r>
    </w:p>
  </w:footnote>
  <w:footnote w:type="continuationSeparator" w:id="0">
    <w:p w:rsidR="00D300B6" w:rsidRPr="00FE79A0" w:rsidRDefault="00D300B6">
      <w:r w:rsidRPr="00FE79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CD2" w:rsidRPr="00FE79A0" w:rsidRDefault="00FE79A0" w:rsidP="000535A2">
    <w:pPr>
      <w:pStyle w:val="Sidhuvud"/>
    </w:pPr>
    <w:r w:rsidRPr="00FE79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26604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5A2" w:rsidRDefault="000535A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35A2" w:rsidRDefault="000535A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CD2" w:rsidRPr="00FE79A0" w:rsidRDefault="00FE79A0" w:rsidP="000535A2">
    <w:pPr>
      <w:pStyle w:val="Sidhuvud"/>
    </w:pPr>
    <w:r w:rsidRPr="00FE79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81609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5A2" w:rsidRDefault="000535A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35A2" w:rsidRDefault="000535A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5A2" w:rsidRPr="00FE79A0" w:rsidRDefault="000535A2">
    <w:pPr>
      <w:pStyle w:val="FSHNormal"/>
      <w:tabs>
        <w:tab w:val="right" w:pos="5840"/>
      </w:tabs>
    </w:pPr>
    <w:r w:rsidRPr="00FE79A0">
      <w:br/>
    </w:r>
    <w:r w:rsidRPr="00FE79A0">
      <w:fldChar w:fldCharType="begin" w:fldLock="1"/>
    </w:r>
    <w:r w:rsidRPr="00FE79A0">
      <w:instrText xml:space="preserve"> DOCPROPERTY</w:instrText>
    </w:r>
    <w:r w:rsidRPr="00FE79A0">
      <w:rPr>
        <w:sz w:val="18"/>
      </w:rPr>
      <w:instrText xml:space="preserve"> "YearUser" *\charformat </w:instrText>
    </w:r>
    <w:r w:rsidRPr="00FE79A0">
      <w:fldChar w:fldCharType="separate"/>
    </w:r>
    <w:r w:rsidRPr="00FE79A0">
      <w:t>2005/06</w:t>
    </w:r>
    <w:r w:rsidRPr="00FE79A0">
      <w:fldChar w:fldCharType="end"/>
    </w:r>
    <w:r w:rsidRPr="00FE79A0">
      <w:t xml:space="preserve"> </w:t>
    </w:r>
    <w:r w:rsidRPr="00FE79A0">
      <w:tab/>
      <w:t xml:space="preserve">mnr: </w:t>
    </w:r>
    <w:r w:rsidRPr="00FE79A0">
      <w:fldChar w:fldCharType="begin" w:fldLock="1"/>
    </w:r>
    <w:r w:rsidRPr="00FE79A0">
      <w:instrText xml:space="preserve"> DOCPROPERTY</w:instrText>
    </w:r>
    <w:r w:rsidRPr="00FE79A0">
      <w:rPr>
        <w:sz w:val="18"/>
      </w:rPr>
      <w:instrText xml:space="preserve"> "Motionsnummer" *\charformat </w:instrText>
    </w:r>
    <w:r w:rsidRPr="00FE79A0">
      <w:fldChar w:fldCharType="separate"/>
    </w:r>
    <w:r w:rsidRPr="00FE79A0">
      <w:t>So334</w:t>
    </w:r>
    <w:r w:rsidRPr="00FE79A0">
      <w:fldChar w:fldCharType="end"/>
    </w:r>
    <w:r w:rsidRPr="00FE79A0">
      <w:br/>
    </w:r>
    <w:r w:rsidRPr="00FE79A0">
      <w:fldChar w:fldCharType="begin" w:fldLock="1"/>
    </w:r>
    <w:r w:rsidRPr="00FE79A0">
      <w:instrText xml:space="preserve"> DOCPROPERTY</w:instrText>
    </w:r>
    <w:r w:rsidRPr="00FE79A0">
      <w:rPr>
        <w:sz w:val="18"/>
      </w:rPr>
      <w:instrText xml:space="preserve"> "Samling" *\charformat </w:instrText>
    </w:r>
    <w:r w:rsidRPr="00FE79A0">
      <w:fldChar w:fldCharType="end"/>
    </w:r>
    <w:r w:rsidRPr="00FE79A0">
      <w:tab/>
      <w:t xml:space="preserve">pnr: </w:t>
    </w:r>
    <w:r w:rsidRPr="00FE79A0">
      <w:fldChar w:fldCharType="begin" w:fldLock="1"/>
    </w:r>
    <w:r w:rsidRPr="00FE79A0">
      <w:instrText xml:space="preserve"> DOCPROPERTY</w:instrText>
    </w:r>
    <w:r w:rsidRPr="00FE79A0">
      <w:rPr>
        <w:sz w:val="18"/>
      </w:rPr>
      <w:instrText xml:space="preserve"> "Partinummer" *\charformat </w:instrText>
    </w:r>
    <w:r w:rsidRPr="00FE79A0">
      <w:fldChar w:fldCharType="separate"/>
    </w:r>
    <w:r w:rsidRPr="00FE79A0">
      <w:t>fp824</w:t>
    </w:r>
    <w:r w:rsidRPr="00FE79A0">
      <w:fldChar w:fldCharType="end"/>
    </w:r>
  </w:p>
  <w:p w:rsidR="000535A2" w:rsidRPr="00FE79A0" w:rsidRDefault="000535A2">
    <w:pPr>
      <w:pStyle w:val="FSHRub1"/>
    </w:pPr>
    <w:r w:rsidRPr="00FE79A0">
      <w:t>Motion till riksdagen</w:t>
    </w:r>
    <w:r w:rsidRPr="00FE79A0">
      <w:br/>
    </w:r>
    <w:r w:rsidRPr="00FE79A0">
      <w:fldChar w:fldCharType="begin" w:fldLock="1"/>
    </w:r>
    <w:r w:rsidRPr="00FE79A0">
      <w:instrText xml:space="preserve"> DOCPROPERTY "YearUser" *\charformat </w:instrText>
    </w:r>
    <w:r w:rsidRPr="00FE79A0">
      <w:fldChar w:fldCharType="separate"/>
    </w:r>
    <w:r w:rsidRPr="00FE79A0">
      <w:t>2005/06</w:t>
    </w:r>
    <w:r w:rsidRPr="00FE79A0">
      <w:fldChar w:fldCharType="end"/>
    </w:r>
    <w:r w:rsidRPr="00FE79A0">
      <w:t>:</w:t>
    </w:r>
    <w:r w:rsidRPr="00FE79A0">
      <w:fldChar w:fldCharType="begin" w:fldLock="1"/>
    </w:r>
    <w:r w:rsidRPr="00FE79A0">
      <w:instrText xml:space="preserve"> DOCPROPERTY "Motionsnummer" *\charformat </w:instrText>
    </w:r>
    <w:r w:rsidRPr="00FE79A0">
      <w:fldChar w:fldCharType="separate"/>
    </w:r>
    <w:r w:rsidRPr="00FE79A0">
      <w:t>So334</w:t>
    </w:r>
    <w:r w:rsidRPr="00FE79A0">
      <w:fldChar w:fldCharType="end"/>
    </w:r>
  </w:p>
  <w:p w:rsidR="000535A2" w:rsidRPr="00FE79A0" w:rsidRDefault="000535A2">
    <w:pPr>
      <w:pStyle w:val="FSHNormalS5"/>
    </w:pPr>
    <w:r w:rsidRPr="00FE79A0">
      <w:fldChar w:fldCharType="begin" w:fldLock="1"/>
    </w:r>
    <w:r w:rsidRPr="00FE79A0">
      <w:instrText xml:space="preserve"> DOCPROPERTY "MotionarText" *\charformat </w:instrText>
    </w:r>
    <w:r w:rsidRPr="00FE79A0">
      <w:fldChar w:fldCharType="separate"/>
    </w:r>
    <w:r w:rsidRPr="00FE79A0">
      <w:t>av Gabriel Romanus (fp)</w:t>
    </w:r>
    <w:r w:rsidRPr="00FE79A0">
      <w:fldChar w:fldCharType="end"/>
    </w:r>
    <w:r w:rsidRPr="00FE79A0">
      <w:br/>
    </w:r>
    <w:r w:rsidRPr="00FE79A0">
      <w:fldChar w:fldCharType="begin" w:fldLock="1"/>
    </w:r>
    <w:r w:rsidRPr="00FE79A0">
      <w:instrText xml:space="preserve"> DOCPROPERTY "SvarFrasKort" *\charformat </w:instrText>
    </w:r>
    <w:r w:rsidRPr="00FE79A0">
      <w:fldChar w:fldCharType="end"/>
    </w:r>
  </w:p>
  <w:p w:rsidR="000535A2" w:rsidRPr="00FE79A0" w:rsidRDefault="000535A2">
    <w:pPr>
      <w:pStyle w:val="FSHTitel"/>
    </w:pPr>
    <w:r w:rsidRPr="00FE79A0">
      <w:fldChar w:fldCharType="begin" w:fldLock="1"/>
    </w:r>
    <w:r w:rsidRPr="00FE79A0">
      <w:instrText xml:space="preserve"> DOCPROPERTY</w:instrText>
    </w:r>
    <w:r w:rsidRPr="00FE79A0">
      <w:rPr>
        <w:sz w:val="18"/>
      </w:rPr>
      <w:instrText xml:space="preserve"> "RubrikSvar" *\charformat </w:instrText>
    </w:r>
    <w:r w:rsidRPr="00FE79A0">
      <w:fldChar w:fldCharType="separate"/>
    </w:r>
    <w:r w:rsidRPr="00FE79A0">
      <w:t>Spelpolitik</w:t>
    </w:r>
    <w:r w:rsidRPr="00FE79A0">
      <w:fldChar w:fldCharType="end"/>
    </w:r>
  </w:p>
  <w:p w:rsidR="000535A2" w:rsidRPr="00FE79A0" w:rsidRDefault="000535A2" w:rsidP="000535A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84723344">
    <w:abstractNumId w:val="13"/>
  </w:num>
  <w:num w:numId="2" w16cid:durableId="19474567">
    <w:abstractNumId w:val="10"/>
  </w:num>
  <w:num w:numId="3" w16cid:durableId="156728199">
    <w:abstractNumId w:val="11"/>
  </w:num>
  <w:num w:numId="4" w16cid:durableId="1282111004">
    <w:abstractNumId w:val="12"/>
  </w:num>
  <w:num w:numId="5" w16cid:durableId="1715764779">
    <w:abstractNumId w:val="8"/>
  </w:num>
  <w:num w:numId="6" w16cid:durableId="2146923887">
    <w:abstractNumId w:val="3"/>
  </w:num>
  <w:num w:numId="7" w16cid:durableId="2010980865">
    <w:abstractNumId w:val="2"/>
  </w:num>
  <w:num w:numId="8" w16cid:durableId="836653756">
    <w:abstractNumId w:val="1"/>
  </w:num>
  <w:num w:numId="9" w16cid:durableId="1179394055">
    <w:abstractNumId w:val="0"/>
  </w:num>
  <w:num w:numId="10" w16cid:durableId="1642078642">
    <w:abstractNumId w:val="9"/>
  </w:num>
  <w:num w:numId="11" w16cid:durableId="1529102259">
    <w:abstractNumId w:val="7"/>
  </w:num>
  <w:num w:numId="12" w16cid:durableId="9768657">
    <w:abstractNumId w:val="6"/>
  </w:num>
  <w:num w:numId="13" w16cid:durableId="603684665">
    <w:abstractNumId w:val="5"/>
  </w:num>
  <w:num w:numId="14" w16cid:durableId="2027630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1841BE"/>
    <w:rsid w:val="000535A2"/>
    <w:rsid w:val="00064BC3"/>
    <w:rsid w:val="00066775"/>
    <w:rsid w:val="00072FB9"/>
    <w:rsid w:val="00100531"/>
    <w:rsid w:val="00120860"/>
    <w:rsid w:val="001841BE"/>
    <w:rsid w:val="00201DFB"/>
    <w:rsid w:val="00204A63"/>
    <w:rsid w:val="00212FF1"/>
    <w:rsid w:val="00230193"/>
    <w:rsid w:val="0025068A"/>
    <w:rsid w:val="002818D3"/>
    <w:rsid w:val="002D11A8"/>
    <w:rsid w:val="00445271"/>
    <w:rsid w:val="004A0504"/>
    <w:rsid w:val="004E38D9"/>
    <w:rsid w:val="005F7E7F"/>
    <w:rsid w:val="00740D6D"/>
    <w:rsid w:val="00794149"/>
    <w:rsid w:val="007B67A7"/>
    <w:rsid w:val="007C6092"/>
    <w:rsid w:val="008116FC"/>
    <w:rsid w:val="00835CD2"/>
    <w:rsid w:val="008B6A8D"/>
    <w:rsid w:val="00975DB7"/>
    <w:rsid w:val="00A053C6"/>
    <w:rsid w:val="00A81582"/>
    <w:rsid w:val="00B13BF0"/>
    <w:rsid w:val="00BF0264"/>
    <w:rsid w:val="00C1285C"/>
    <w:rsid w:val="00C27B7D"/>
    <w:rsid w:val="00CA0D7C"/>
    <w:rsid w:val="00D1174F"/>
    <w:rsid w:val="00D300B6"/>
    <w:rsid w:val="00DC6C70"/>
    <w:rsid w:val="00E22893"/>
    <w:rsid w:val="00E360DE"/>
    <w:rsid w:val="00E75D28"/>
    <w:rsid w:val="00E84F25"/>
    <w:rsid w:val="00F96D9A"/>
    <w:rsid w:val="00FE79A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82B9DE-E7F7-4EAF-96CC-5BD80BAB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535A2"/>
    <w:pPr>
      <w:spacing w:after="250"/>
    </w:pPr>
  </w:style>
  <w:style w:type="paragraph" w:customStyle="1" w:styleId="Hemstlatt">
    <w:name w:val="Hemstl_att"/>
    <w:aliases w:val="HemstPunkt,HemstPunktFlera,HemställansPunkt,Förslagstext"/>
    <w:basedOn w:val="Normal"/>
    <w:next w:val="Normal"/>
    <w:rsid w:val="00835CD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51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472</Words>
  <Characters>2893</Characters>
  <Application>Microsoft Office Word</Application>
  <DocSecurity>4</DocSecurity>
  <Lines>54</Lines>
  <Paragraphs>13</Paragraphs>
  <ScaleCrop>false</ScaleCrop>
  <HeadingPairs>
    <vt:vector size="2" baseType="variant">
      <vt:variant>
        <vt:lpstr>Rubrik</vt:lpstr>
      </vt:variant>
      <vt:variant>
        <vt:i4>1</vt:i4>
      </vt:variant>
    </vt:vector>
  </HeadingPairs>
  <TitlesOfParts>
    <vt:vector size="1" baseType="lpstr">
      <vt:lpstr>So334</vt:lpstr>
    </vt:vector>
  </TitlesOfParts>
  <Company>Riksdagen</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So334</dc:title>
  <dc:subject>So334</dc:subject>
  <dc:creator>Riksdagen</dc:creator>
  <cp:keywords>Riksdagen</cp:keywords>
  <dc:description/>
  <cp:lastModifiedBy>Lars Brink</cp:lastModifiedBy>
  <cp:revision>2</cp:revision>
  <cp:lastPrinted>2005-10-24T06:13:00Z</cp:lastPrinted>
  <dcterms:created xsi:type="dcterms:W3CDTF">2025-12-16T21:13:00Z</dcterms:created>
  <dcterms:modified xsi:type="dcterms:W3CDTF">2025-12-16T21:13:00Z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Spelpolitik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Spelpolitik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fp824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Gabriel Romanus (fp)</vt:lpwstr>
  </property>
  <property fmtid="{D5CDD505-2E9C-101B-9397-08002B2CF9AE}" pid="26" name="MotionarLista">
    <vt:lpwstr>Romanus, Gabriel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Gabriel Romanus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avni.dervishi@riksdagen.se</vt:lpwstr>
  </property>
  <property fmtid="{D5CDD505-2E9C-101B-9397-08002B2CF9AE}" pid="45" name="ReservUID">
    <vt:lpwstr>peter jansson</vt:lpwstr>
  </property>
  <property fmtid="{D5CDD505-2E9C-101B-9397-08002B2CF9AE}" pid="46" name="MotionID">
    <vt:lpwstr>20052006000001020112000008240069</vt:lpwstr>
  </property>
  <property fmtid="{D5CDD505-2E9C-101B-9397-08002B2CF9AE}" pid="47" name="datum">
    <vt:lpwstr>050928</vt:lpwstr>
  </property>
  <property fmtid="{D5CDD505-2E9C-101B-9397-08002B2CF9AE}" pid="48" name="avsändar-e-post">
    <vt:lpwstr>avni.dervishi@riksdagen.se</vt:lpwstr>
  </property>
  <property fmtid="{D5CDD505-2E9C-101B-9397-08002B2CF9AE}" pid="49" name="id">
    <vt:lpwstr>20052006000001020112000008240069</vt:lpwstr>
  </property>
  <property fmtid="{D5CDD505-2E9C-101B-9397-08002B2CF9AE}" pid="50" name="nummer">
    <vt:lpwstr>334</vt:lpwstr>
  </property>
  <property fmtid="{D5CDD505-2E9C-101B-9397-08002B2CF9AE}" pid="51" name="utskottsbeteckning">
    <vt:lpwstr>So</vt:lpwstr>
  </property>
</Properties>
</file>