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F2DC5C9" w14:textId="77777777" w:rsidTr="00817817">
        <w:tc>
          <w:tcPr>
            <w:tcW w:w="2268" w:type="dxa"/>
          </w:tcPr>
          <w:p w14:paraId="2613889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6D038B" w14:textId="5D9AA29C" w:rsidR="006E4E11" w:rsidRDefault="00270EA8" w:rsidP="007242A3">
            <w:pPr>
              <w:framePr w:w="5035" w:h="1644" w:wrap="notBeside" w:vAnchor="page" w:hAnchor="page" w:x="6573" w:y="721"/>
              <w:rPr>
                <w:rFonts w:ascii="TradeGothic" w:hAnsi="TradeGothic"/>
                <w:i/>
                <w:sz w:val="18"/>
              </w:rPr>
            </w:pPr>
            <w:r>
              <w:rPr>
                <w:rFonts w:ascii="TradeGothic" w:hAnsi="TradeGothic"/>
                <w:i/>
                <w:sz w:val="18"/>
              </w:rPr>
              <w:t>Ku2014/1877/MFI</w:t>
            </w:r>
          </w:p>
        </w:tc>
      </w:tr>
      <w:tr w:rsidR="00817817" w14:paraId="2A4576BE" w14:textId="77777777" w:rsidTr="00817817">
        <w:tc>
          <w:tcPr>
            <w:tcW w:w="5267" w:type="dxa"/>
            <w:gridSpan w:val="3"/>
          </w:tcPr>
          <w:p w14:paraId="0A098524" w14:textId="77777777" w:rsidR="00817817" w:rsidRDefault="0081781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0805F0F" w14:textId="77777777" w:rsidTr="00817817">
        <w:tc>
          <w:tcPr>
            <w:tcW w:w="3402" w:type="dxa"/>
            <w:gridSpan w:val="2"/>
          </w:tcPr>
          <w:p w14:paraId="45E9277F" w14:textId="77777777" w:rsidR="006E4E11" w:rsidRPr="00817817" w:rsidRDefault="00817817" w:rsidP="00817817">
            <w:pPr>
              <w:framePr w:w="5035" w:h="1644" w:wrap="notBeside" w:vAnchor="page" w:hAnchor="page" w:x="6573" w:y="721"/>
              <w:rPr>
                <w:rFonts w:ascii="TradeGothic" w:hAnsi="TradeGothic"/>
                <w:b/>
                <w:sz w:val="22"/>
              </w:rPr>
            </w:pPr>
            <w:r>
              <w:rPr>
                <w:rFonts w:ascii="TradeGothic" w:hAnsi="TradeGothic"/>
                <w:b/>
                <w:sz w:val="22"/>
              </w:rPr>
              <w:t>Rådet (Utbildning, ungdom, kultur och idrott)</w:t>
            </w:r>
          </w:p>
        </w:tc>
        <w:tc>
          <w:tcPr>
            <w:tcW w:w="1865" w:type="dxa"/>
          </w:tcPr>
          <w:p w14:paraId="1C9D1020" w14:textId="77777777" w:rsidR="006E4E11" w:rsidRDefault="006E4E11" w:rsidP="007242A3">
            <w:pPr>
              <w:framePr w:w="5035" w:h="1644" w:wrap="notBeside" w:vAnchor="page" w:hAnchor="page" w:x="6573" w:y="721"/>
            </w:pPr>
          </w:p>
        </w:tc>
      </w:tr>
      <w:tr w:rsidR="006E4E11" w14:paraId="4F67D24C" w14:textId="77777777" w:rsidTr="00817817">
        <w:tc>
          <w:tcPr>
            <w:tcW w:w="2268" w:type="dxa"/>
          </w:tcPr>
          <w:p w14:paraId="67CBAE92" w14:textId="04434C46" w:rsidR="006E4E11" w:rsidRDefault="00817817" w:rsidP="00437366">
            <w:pPr>
              <w:framePr w:w="5035" w:h="1644" w:wrap="notBeside" w:vAnchor="page" w:hAnchor="page" w:x="6573" w:y="721"/>
            </w:pPr>
            <w:r>
              <w:t>2014-11-</w:t>
            </w:r>
            <w:r w:rsidR="00795A84">
              <w:t>17</w:t>
            </w:r>
          </w:p>
        </w:tc>
        <w:tc>
          <w:tcPr>
            <w:tcW w:w="2999" w:type="dxa"/>
            <w:gridSpan w:val="2"/>
          </w:tcPr>
          <w:p w14:paraId="0BF4F501" w14:textId="77777777" w:rsidR="006E4E11" w:rsidRPr="00ED583F" w:rsidRDefault="006E4E11" w:rsidP="007242A3">
            <w:pPr>
              <w:framePr w:w="5035" w:h="1644" w:wrap="notBeside" w:vAnchor="page" w:hAnchor="page" w:x="6573" w:y="721"/>
              <w:rPr>
                <w:sz w:val="20"/>
              </w:rPr>
            </w:pPr>
          </w:p>
        </w:tc>
      </w:tr>
      <w:tr w:rsidR="006E4E11" w14:paraId="0165C2B0" w14:textId="77777777" w:rsidTr="00817817">
        <w:tc>
          <w:tcPr>
            <w:tcW w:w="2268" w:type="dxa"/>
          </w:tcPr>
          <w:p w14:paraId="5CFB8A85" w14:textId="77777777" w:rsidR="006E4E11" w:rsidRDefault="006E4E11" w:rsidP="007242A3">
            <w:pPr>
              <w:framePr w:w="5035" w:h="1644" w:wrap="notBeside" w:vAnchor="page" w:hAnchor="page" w:x="6573" w:y="721"/>
            </w:pPr>
          </w:p>
        </w:tc>
        <w:tc>
          <w:tcPr>
            <w:tcW w:w="2999" w:type="dxa"/>
            <w:gridSpan w:val="2"/>
          </w:tcPr>
          <w:p w14:paraId="38FDF32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CFA6B7" w14:textId="77777777">
        <w:trPr>
          <w:trHeight w:val="284"/>
        </w:trPr>
        <w:tc>
          <w:tcPr>
            <w:tcW w:w="4911" w:type="dxa"/>
          </w:tcPr>
          <w:p w14:paraId="37EA9129" w14:textId="77777777" w:rsidR="006E4E11" w:rsidRDefault="00817817">
            <w:pPr>
              <w:pStyle w:val="Avsndare"/>
              <w:framePr w:h="2483" w:wrap="notBeside" w:x="1504"/>
              <w:rPr>
                <w:b/>
                <w:i w:val="0"/>
                <w:sz w:val="22"/>
              </w:rPr>
            </w:pPr>
            <w:r>
              <w:rPr>
                <w:b/>
                <w:i w:val="0"/>
                <w:sz w:val="22"/>
              </w:rPr>
              <w:t>Kulturdepartementet</w:t>
            </w:r>
          </w:p>
        </w:tc>
      </w:tr>
      <w:tr w:rsidR="006E4E11" w14:paraId="593A4505" w14:textId="77777777">
        <w:trPr>
          <w:trHeight w:val="284"/>
        </w:trPr>
        <w:tc>
          <w:tcPr>
            <w:tcW w:w="4911" w:type="dxa"/>
          </w:tcPr>
          <w:p w14:paraId="053B911A" w14:textId="77777777" w:rsidR="006E4E11" w:rsidRDefault="006E4E11">
            <w:pPr>
              <w:pStyle w:val="Avsndare"/>
              <w:framePr w:h="2483" w:wrap="notBeside" w:x="1504"/>
              <w:rPr>
                <w:bCs/>
                <w:iCs/>
              </w:rPr>
            </w:pPr>
          </w:p>
        </w:tc>
      </w:tr>
      <w:tr w:rsidR="006E4E11" w14:paraId="05FBB87D" w14:textId="77777777">
        <w:trPr>
          <w:trHeight w:val="284"/>
        </w:trPr>
        <w:tc>
          <w:tcPr>
            <w:tcW w:w="4911" w:type="dxa"/>
          </w:tcPr>
          <w:p w14:paraId="2B76C1F6" w14:textId="77777777" w:rsidR="006E4E11" w:rsidRDefault="006E4E11">
            <w:pPr>
              <w:pStyle w:val="Avsndare"/>
              <w:framePr w:h="2483" w:wrap="notBeside" w:x="1504"/>
              <w:rPr>
                <w:bCs/>
                <w:iCs/>
              </w:rPr>
            </w:pPr>
          </w:p>
        </w:tc>
      </w:tr>
      <w:tr w:rsidR="006E4E11" w14:paraId="6EFF3FF0" w14:textId="77777777">
        <w:trPr>
          <w:trHeight w:val="284"/>
        </w:trPr>
        <w:tc>
          <w:tcPr>
            <w:tcW w:w="4911" w:type="dxa"/>
          </w:tcPr>
          <w:p w14:paraId="24E136C7" w14:textId="77777777" w:rsidR="006E4E11" w:rsidRDefault="006E4E11">
            <w:pPr>
              <w:pStyle w:val="Avsndare"/>
              <w:framePr w:h="2483" w:wrap="notBeside" w:x="1504"/>
              <w:rPr>
                <w:bCs/>
                <w:iCs/>
              </w:rPr>
            </w:pPr>
          </w:p>
        </w:tc>
      </w:tr>
      <w:tr w:rsidR="006E4E11" w14:paraId="59F69A70" w14:textId="77777777">
        <w:trPr>
          <w:trHeight w:val="284"/>
        </w:trPr>
        <w:tc>
          <w:tcPr>
            <w:tcW w:w="4911" w:type="dxa"/>
          </w:tcPr>
          <w:p w14:paraId="5144DD9C" w14:textId="77777777" w:rsidR="006E4E11" w:rsidRDefault="006E4E11">
            <w:pPr>
              <w:pStyle w:val="Avsndare"/>
              <w:framePr w:h="2483" w:wrap="notBeside" w:x="1504"/>
              <w:rPr>
                <w:bCs/>
                <w:iCs/>
              </w:rPr>
            </w:pPr>
          </w:p>
        </w:tc>
      </w:tr>
      <w:tr w:rsidR="006E4E11" w14:paraId="75611845" w14:textId="77777777">
        <w:trPr>
          <w:trHeight w:val="284"/>
        </w:trPr>
        <w:tc>
          <w:tcPr>
            <w:tcW w:w="4911" w:type="dxa"/>
          </w:tcPr>
          <w:p w14:paraId="648FA2B0" w14:textId="77777777" w:rsidR="006E4E11" w:rsidRDefault="006E4E11">
            <w:pPr>
              <w:pStyle w:val="Avsndare"/>
              <w:framePr w:h="2483" w:wrap="notBeside" w:x="1504"/>
              <w:rPr>
                <w:bCs/>
                <w:iCs/>
              </w:rPr>
            </w:pPr>
          </w:p>
        </w:tc>
      </w:tr>
      <w:tr w:rsidR="006E4E11" w14:paraId="27A0D090" w14:textId="77777777">
        <w:trPr>
          <w:trHeight w:val="284"/>
        </w:trPr>
        <w:tc>
          <w:tcPr>
            <w:tcW w:w="4911" w:type="dxa"/>
          </w:tcPr>
          <w:p w14:paraId="28ED0335" w14:textId="48079BD8" w:rsidR="006E4E11" w:rsidRDefault="006E4E11">
            <w:pPr>
              <w:pStyle w:val="Avsndare"/>
              <w:framePr w:h="2483" w:wrap="notBeside" w:x="1504"/>
              <w:rPr>
                <w:bCs/>
                <w:iCs/>
              </w:rPr>
            </w:pPr>
            <w:bookmarkStart w:id="0" w:name="_GoBack"/>
            <w:bookmarkEnd w:id="0"/>
          </w:p>
        </w:tc>
      </w:tr>
      <w:tr w:rsidR="006E4E11" w14:paraId="159CFF4E" w14:textId="77777777">
        <w:trPr>
          <w:trHeight w:val="284"/>
        </w:trPr>
        <w:tc>
          <w:tcPr>
            <w:tcW w:w="4911" w:type="dxa"/>
          </w:tcPr>
          <w:p w14:paraId="5F6DE2A7" w14:textId="77777777" w:rsidR="006E4E11" w:rsidRDefault="006E4E11">
            <w:pPr>
              <w:pStyle w:val="Avsndare"/>
              <w:framePr w:h="2483" w:wrap="notBeside" w:x="1504"/>
              <w:rPr>
                <w:bCs/>
                <w:iCs/>
              </w:rPr>
            </w:pPr>
          </w:p>
        </w:tc>
      </w:tr>
      <w:tr w:rsidR="006E4E11" w14:paraId="359FAFF3" w14:textId="77777777">
        <w:trPr>
          <w:trHeight w:val="284"/>
        </w:trPr>
        <w:tc>
          <w:tcPr>
            <w:tcW w:w="4911" w:type="dxa"/>
          </w:tcPr>
          <w:p w14:paraId="42FB169F" w14:textId="77777777" w:rsidR="006E4E11" w:rsidRDefault="006E4E11">
            <w:pPr>
              <w:pStyle w:val="Avsndare"/>
              <w:framePr w:h="2483" w:wrap="notBeside" w:x="1504"/>
              <w:rPr>
                <w:bCs/>
                <w:iCs/>
              </w:rPr>
            </w:pPr>
          </w:p>
        </w:tc>
      </w:tr>
    </w:tbl>
    <w:p w14:paraId="4A2DBD1E" w14:textId="77777777" w:rsidR="006E4E11" w:rsidRDefault="006E4E11">
      <w:pPr>
        <w:framePr w:w="4400" w:h="2523" w:wrap="notBeside" w:vAnchor="page" w:hAnchor="page" w:x="6453" w:y="2445"/>
        <w:ind w:left="142"/>
        <w:rPr>
          <w:b/>
        </w:rPr>
      </w:pPr>
    </w:p>
    <w:p w14:paraId="57BCF872" w14:textId="60D3F944" w:rsidR="00817817" w:rsidRDefault="00B72326">
      <w:pPr>
        <w:pStyle w:val="RKrubrik"/>
        <w:pBdr>
          <w:bottom w:val="single" w:sz="6" w:space="1" w:color="auto"/>
        </w:pBdr>
      </w:pPr>
      <w:bookmarkStart w:id="1" w:name="bRubrik"/>
      <w:bookmarkEnd w:id="1"/>
      <w:r>
        <w:t>Rådets möte (u</w:t>
      </w:r>
      <w:r w:rsidRPr="00546E71">
        <w:t>tbildning, ungdom, kultur och idrott</w:t>
      </w:r>
      <w:r w:rsidR="00817817">
        <w:t xml:space="preserve">) den </w:t>
      </w:r>
      <w:r>
        <w:t>25 november 2014</w:t>
      </w:r>
    </w:p>
    <w:p w14:paraId="0794115F" w14:textId="38C1902F" w:rsidR="00817817" w:rsidRDefault="00817817">
      <w:pPr>
        <w:pStyle w:val="RKrubrik"/>
      </w:pPr>
      <w:r>
        <w:t>Kommenterad dagordning</w:t>
      </w:r>
      <w:r w:rsidR="00B72326">
        <w:t xml:space="preserve"> inför samråd med riksdagens EU</w:t>
      </w:r>
      <w:r w:rsidR="00B72326">
        <w:noBreakHyphen/>
        <w:t>nämnd den</w:t>
      </w:r>
      <w:r w:rsidR="00B72326">
        <w:rPr>
          <w:rFonts w:ascii="Times New Roman" w:hAnsi="Times New Roman"/>
        </w:rPr>
        <w:t> </w:t>
      </w:r>
      <w:r w:rsidR="00B72326">
        <w:t>21</w:t>
      </w:r>
      <w:r w:rsidR="00B72326">
        <w:rPr>
          <w:rFonts w:ascii="Times New Roman" w:hAnsi="Times New Roman"/>
        </w:rPr>
        <w:t> </w:t>
      </w:r>
      <w:r w:rsidR="00B72326">
        <w:t>november 2014</w:t>
      </w:r>
    </w:p>
    <w:p w14:paraId="566B28D3" w14:textId="77777777" w:rsidR="00817817" w:rsidRDefault="00817817">
      <w:pPr>
        <w:pStyle w:val="RKnormal"/>
      </w:pPr>
    </w:p>
    <w:p w14:paraId="082B7C03" w14:textId="02220A0E" w:rsidR="00B72326" w:rsidRPr="00603861" w:rsidRDefault="00B72326" w:rsidP="00B72326">
      <w:pPr>
        <w:pStyle w:val="RKrubrik"/>
      </w:pPr>
      <w:r w:rsidRPr="00603861">
        <w:t>1.</w:t>
      </w:r>
      <w:r w:rsidRPr="00603861">
        <w:tab/>
      </w:r>
      <w:r>
        <w:t>Godkännande av den preliminära dagordningen</w:t>
      </w:r>
    </w:p>
    <w:p w14:paraId="07412BFA" w14:textId="77777777" w:rsidR="00B72326" w:rsidRPr="00603861" w:rsidRDefault="00B72326" w:rsidP="00B72326">
      <w:pPr>
        <w:jc w:val="both"/>
        <w:rPr>
          <w:bCs/>
        </w:rPr>
      </w:pPr>
    </w:p>
    <w:p w14:paraId="6A40C1BA" w14:textId="77777777" w:rsidR="00B72326" w:rsidRPr="00603861" w:rsidRDefault="00B72326" w:rsidP="00B72326">
      <w:pPr>
        <w:rPr>
          <w:b/>
        </w:rPr>
      </w:pPr>
      <w:r w:rsidRPr="00603861">
        <w:rPr>
          <w:b/>
          <w:color w:val="000000"/>
          <w:u w:val="single"/>
        </w:rPr>
        <w:t>L</w:t>
      </w:r>
      <w:r>
        <w:rPr>
          <w:b/>
          <w:color w:val="000000"/>
          <w:u w:val="single"/>
        </w:rPr>
        <w:t>agstiftningsöverläggningar</w:t>
      </w:r>
    </w:p>
    <w:p w14:paraId="5154E758" w14:textId="77777777" w:rsidR="00B72326" w:rsidRPr="00864D7B" w:rsidRDefault="00B72326" w:rsidP="00B72326">
      <w:pPr>
        <w:pStyle w:val="RKnormal"/>
        <w:rPr>
          <w:i/>
        </w:rPr>
      </w:pPr>
      <w:r w:rsidRPr="00864D7B">
        <w:rPr>
          <w:i/>
        </w:rPr>
        <w:t>(Offentlig överläggning i enlighet med artikel 16.8 i fördraget om Europeiska unionen)</w:t>
      </w:r>
    </w:p>
    <w:p w14:paraId="413BEE97" w14:textId="77777777" w:rsidR="00B72326" w:rsidRPr="007152E7" w:rsidRDefault="00B72326" w:rsidP="00B72326">
      <w:pPr>
        <w:pStyle w:val="RKrubrik"/>
      </w:pPr>
      <w:r w:rsidRPr="007152E7">
        <w:t>2.</w:t>
      </w:r>
      <w:r w:rsidRPr="007152E7">
        <w:tab/>
        <w:t>(ev.) Godkännande av A-punktslistan</w:t>
      </w:r>
    </w:p>
    <w:p w14:paraId="536F3196" w14:textId="77777777" w:rsidR="006A453A" w:rsidRDefault="006A453A" w:rsidP="00B72326">
      <w:pPr>
        <w:rPr>
          <w:b/>
          <w:color w:val="000000"/>
          <w:u w:val="single"/>
        </w:rPr>
      </w:pPr>
    </w:p>
    <w:p w14:paraId="4241417A" w14:textId="77777777" w:rsidR="00B72326" w:rsidRPr="007152E7" w:rsidRDefault="00B72326" w:rsidP="00B72326">
      <w:pPr>
        <w:rPr>
          <w:b/>
          <w:color w:val="000000"/>
          <w:u w:val="single"/>
        </w:rPr>
      </w:pPr>
      <w:r>
        <w:rPr>
          <w:b/>
          <w:color w:val="000000"/>
          <w:u w:val="single"/>
        </w:rPr>
        <w:t>Icke lagstiftande verksamhet</w:t>
      </w:r>
    </w:p>
    <w:p w14:paraId="5C79BAD0" w14:textId="77777777" w:rsidR="00B72326" w:rsidRDefault="00B72326" w:rsidP="00B72326">
      <w:pPr>
        <w:pStyle w:val="RKrubrik"/>
      </w:pPr>
      <w:r w:rsidRPr="007152E7">
        <w:t>3.</w:t>
      </w:r>
      <w:r w:rsidRPr="007152E7">
        <w:tab/>
        <w:t>(ev.) Godkännande av A-punktslistan</w:t>
      </w:r>
    </w:p>
    <w:p w14:paraId="15D87838" w14:textId="77777777" w:rsidR="00AF6C4B" w:rsidRDefault="00AF6C4B" w:rsidP="00AF6C4B">
      <w:pPr>
        <w:pStyle w:val="RKrubrik"/>
        <w:rPr>
          <w:u w:val="single"/>
        </w:rPr>
      </w:pPr>
    </w:p>
    <w:p w14:paraId="6DCFA6D0" w14:textId="2C88C9E5" w:rsidR="00AF6C4B" w:rsidRPr="00327116" w:rsidRDefault="00AF6C4B" w:rsidP="00AF6C4B">
      <w:pPr>
        <w:pStyle w:val="RKrubrik"/>
        <w:rPr>
          <w:u w:val="single"/>
        </w:rPr>
      </w:pPr>
      <w:r w:rsidRPr="00327116">
        <w:rPr>
          <w:u w:val="single"/>
        </w:rPr>
        <w:t>KULTUR</w:t>
      </w:r>
      <w:r>
        <w:rPr>
          <w:u w:val="single"/>
        </w:rPr>
        <w:t xml:space="preserve"> OCH AUDIOVISUELLA FRÅGOR</w:t>
      </w:r>
    </w:p>
    <w:p w14:paraId="738443B6" w14:textId="183ED9E7" w:rsidR="006A453A" w:rsidRDefault="006A453A" w:rsidP="006A453A">
      <w:pPr>
        <w:pStyle w:val="RKrubrik"/>
        <w:ind w:left="705" w:hanging="705"/>
      </w:pPr>
      <w:r w:rsidRPr="007F0D6C">
        <w:t>4</w:t>
      </w:r>
      <w:r>
        <w:t>.</w:t>
      </w:r>
      <w:r>
        <w:tab/>
        <w:t>Utkast till rådets slutsatser om europeisk audiovisuell politik i den digitala eran</w:t>
      </w:r>
    </w:p>
    <w:p w14:paraId="34269B99" w14:textId="77777777" w:rsidR="006A453A" w:rsidRDefault="006A453A" w:rsidP="006A453A">
      <w:pPr>
        <w:pStyle w:val="RKnormal"/>
        <w:rPr>
          <w:i/>
        </w:rPr>
      </w:pPr>
      <w:r w:rsidRPr="000B6305">
        <w:t>-</w:t>
      </w:r>
      <w:r w:rsidRPr="000B6305">
        <w:tab/>
      </w:r>
      <w:r>
        <w:rPr>
          <w:i/>
        </w:rPr>
        <w:t>Antagande</w:t>
      </w:r>
    </w:p>
    <w:p w14:paraId="482C076F" w14:textId="77777777" w:rsidR="006A453A" w:rsidRPr="000B6305" w:rsidRDefault="006A453A" w:rsidP="006A453A">
      <w:pPr>
        <w:pStyle w:val="RKnormal"/>
      </w:pPr>
      <w:r w:rsidRPr="000B6305">
        <w:tab/>
      </w:r>
    </w:p>
    <w:p w14:paraId="5C2618C5" w14:textId="654DABF4" w:rsidR="006A453A" w:rsidRDefault="006A453A" w:rsidP="006A453A">
      <w:pPr>
        <w:pStyle w:val="RKnormal"/>
      </w:pPr>
      <w:r w:rsidRPr="000B6305">
        <w:tab/>
        <w:t xml:space="preserve">Dok. </w:t>
      </w:r>
      <w:r w:rsidR="00103817" w:rsidRPr="000B6305">
        <w:t>1</w:t>
      </w:r>
      <w:r w:rsidR="008F730A">
        <w:t>5317</w:t>
      </w:r>
      <w:r w:rsidR="00103817" w:rsidRPr="000B6305">
        <w:t>/</w:t>
      </w:r>
      <w:r w:rsidR="00CA7594">
        <w:t>1/</w:t>
      </w:r>
      <w:r w:rsidR="00103817" w:rsidRPr="000B6305">
        <w:t>14</w:t>
      </w:r>
      <w:r w:rsidR="008F730A">
        <w:t xml:space="preserve"> AUDIO 65 TELECOM 199</w:t>
      </w:r>
      <w:r w:rsidR="00103817">
        <w:t xml:space="preserve"> PI </w:t>
      </w:r>
      <w:r w:rsidR="008F730A">
        <w:t>125</w:t>
      </w:r>
    </w:p>
    <w:p w14:paraId="201BAB71" w14:textId="77777777" w:rsidR="006A453A" w:rsidRPr="000B6305" w:rsidRDefault="006A453A" w:rsidP="006A453A">
      <w:pPr>
        <w:pStyle w:val="RKnormal"/>
      </w:pPr>
    </w:p>
    <w:p w14:paraId="046860B9" w14:textId="77777777" w:rsidR="006A453A" w:rsidRDefault="006A453A" w:rsidP="006A453A">
      <w:pPr>
        <w:pStyle w:val="RKnormal"/>
        <w:rPr>
          <w:b/>
          <w:i/>
        </w:rPr>
      </w:pPr>
      <w:r>
        <w:rPr>
          <w:b/>
          <w:i/>
        </w:rPr>
        <w:t>Tidigare behandling i EU-nämnden</w:t>
      </w:r>
    </w:p>
    <w:p w14:paraId="2D1C931A" w14:textId="2DBD1863" w:rsidR="006A453A" w:rsidRDefault="006A453A" w:rsidP="006A453A">
      <w:pPr>
        <w:pStyle w:val="RKnormal"/>
        <w:rPr>
          <w:b/>
          <w:i/>
        </w:rPr>
      </w:pPr>
      <w:r>
        <w:t>Rådsslutsatserna</w:t>
      </w:r>
      <w:r w:rsidRPr="002622FB">
        <w:t xml:space="preserve"> har inte tidigare behandlats i EU-nämnden</w:t>
      </w:r>
      <w:r>
        <w:t>.</w:t>
      </w:r>
    </w:p>
    <w:p w14:paraId="3C91298A" w14:textId="77777777" w:rsidR="00103817" w:rsidRPr="00327116" w:rsidRDefault="00103817" w:rsidP="00103817">
      <w:pPr>
        <w:pStyle w:val="Rubrik4"/>
      </w:pPr>
      <w:r w:rsidRPr="00327116">
        <w:lastRenderedPageBreak/>
        <w:t>Bakgrund och innehåll</w:t>
      </w:r>
    </w:p>
    <w:p w14:paraId="77CC9D3E" w14:textId="77777777" w:rsidR="00103817" w:rsidRDefault="00103817" w:rsidP="00103817">
      <w:pPr>
        <w:pStyle w:val="RKnormal"/>
      </w:pPr>
      <w:r>
        <w:t xml:space="preserve">Rådsslutsatserna är medlemsstaternas svar på den nya kommissions-ordföranden Jean-Claude Junckers vision om en digital inre marknad där audiovisuellt innehåll kan distribueras oberoende av gränser. Denna vision syftar till att skapa arbetstillfällen och tillväxt i den kreativa sektorn. </w:t>
      </w:r>
    </w:p>
    <w:p w14:paraId="7FB95E36" w14:textId="77777777" w:rsidR="00103817" w:rsidRDefault="00103817" w:rsidP="00103817">
      <w:pPr>
        <w:pStyle w:val="RKnormal"/>
      </w:pPr>
    </w:p>
    <w:p w14:paraId="14885462" w14:textId="6C05EE7F" w:rsidR="00103817" w:rsidRDefault="00103817" w:rsidP="00103817">
      <w:pPr>
        <w:pStyle w:val="RKnormal"/>
      </w:pPr>
      <w:r>
        <w:t xml:space="preserve">Rådsslutsatserna välkomnar en översyn </w:t>
      </w:r>
      <w:r w:rsidR="00671994">
        <w:t>av</w:t>
      </w:r>
      <w:r>
        <w:t xml:space="preserve"> hur väl anpassad den europeiska regleringen är till den digitala eran. Kommissionen inbjuds att se över jurisdiktionsreglerna baserade på ursprungslandsprincipen för nya globaliserade tjänster, sa</w:t>
      </w:r>
      <w:r w:rsidRPr="001D437B">
        <w:t>mt hur väl uppdelning</w:t>
      </w:r>
      <w:r>
        <w:t xml:space="preserve">en i linjära och icke-linjära tjänster svarar mot den önskade teknik-neutraliteten. </w:t>
      </w:r>
      <w:r w:rsidR="00671994">
        <w:t xml:space="preserve">Vidare välkomnas en analys av </w:t>
      </w:r>
      <w:r>
        <w:t xml:space="preserve">dagens regler för att främja europeisk produktion liksom </w:t>
      </w:r>
      <w:r w:rsidR="00671994">
        <w:t xml:space="preserve">nödvändiga förslag för </w:t>
      </w:r>
      <w:r>
        <w:t xml:space="preserve">att modernisera den europeiska upphovsrätten. </w:t>
      </w:r>
    </w:p>
    <w:p w14:paraId="38CA074B" w14:textId="77777777" w:rsidR="00671994" w:rsidRDefault="00671994" w:rsidP="00103817">
      <w:pPr>
        <w:pStyle w:val="RKnormal"/>
      </w:pPr>
    </w:p>
    <w:p w14:paraId="4D1A014D" w14:textId="6117E8F8" w:rsidR="00103817" w:rsidRDefault="00103817" w:rsidP="00103817">
      <w:pPr>
        <w:pStyle w:val="RKnormal"/>
      </w:pPr>
      <w:r>
        <w:t xml:space="preserve">Medlemsstaterna uppmanas att se över sina egna stöd till bl.a. medie- och filmkunnighet, innovativa sätt att distribuera och marknadsföra film </w:t>
      </w:r>
      <w:r w:rsidR="007B40E1">
        <w:t>samt</w:t>
      </w:r>
      <w:r>
        <w:t xml:space="preserve"> digitalisering av filmarvet, men också att se till så att nationella stöd och stöd från de europeiska fonderna kompletterar varandra. </w:t>
      </w:r>
    </w:p>
    <w:p w14:paraId="79B0CEAC" w14:textId="77777777" w:rsidR="00103817" w:rsidRPr="00327116" w:rsidRDefault="00103817" w:rsidP="00103817">
      <w:pPr>
        <w:pStyle w:val="Rubrik4"/>
      </w:pPr>
      <w:r w:rsidRPr="00327116">
        <w:t>Svensk ståndpunkt</w:t>
      </w:r>
    </w:p>
    <w:p w14:paraId="0EF58550" w14:textId="77777777" w:rsidR="00103817" w:rsidRDefault="00103817" w:rsidP="00103817">
      <w:pPr>
        <w:pStyle w:val="RKnormal"/>
      </w:pPr>
    </w:p>
    <w:p w14:paraId="7C080608" w14:textId="77777777" w:rsidR="00103817" w:rsidRDefault="00103817" w:rsidP="00103817">
      <w:pPr>
        <w:pStyle w:val="RKnormal"/>
      </w:pPr>
      <w:r>
        <w:t xml:space="preserve">Regeringen välkomnar en diskussion om den europeiska audiovisuella politiken i relation till den digitala inre marknaden. Att skapa goda förutsättningar för en inre marknad också för audiovisuellt medieinnehåll är en viktig gemensam europeisk fråga. Samtidigt har regeringen arbetat för att slutsatserna inte ska föregripa kommissionens analysarbete och ställningstagande när det gäller ett eventuellt behov av förändrad reglering. </w:t>
      </w:r>
    </w:p>
    <w:p w14:paraId="5ADC550B" w14:textId="77777777" w:rsidR="00103817" w:rsidRDefault="00103817" w:rsidP="00103817">
      <w:pPr>
        <w:pStyle w:val="RKnormal"/>
      </w:pPr>
    </w:p>
    <w:p w14:paraId="0F6E9081" w14:textId="3EF54D8C" w:rsidR="00103817" w:rsidRDefault="004F4D57" w:rsidP="00103817">
      <w:pPr>
        <w:pStyle w:val="RKnormal"/>
      </w:pPr>
      <w:r>
        <w:t>Regeringen föreslår att Sverige stödjer antagandet av</w:t>
      </w:r>
      <w:r w:rsidRPr="00F516FF">
        <w:t xml:space="preserve"> </w:t>
      </w:r>
      <w:r>
        <w:t xml:space="preserve">rådslutsatserna om </w:t>
      </w:r>
      <w:r w:rsidRPr="004F4D57">
        <w:t>europeisk audiovisuell politik i den digitala eran</w:t>
      </w:r>
      <w:r w:rsidR="00103817">
        <w:t>.</w:t>
      </w:r>
    </w:p>
    <w:p w14:paraId="624FD5DE" w14:textId="39C115BE" w:rsidR="00C31455" w:rsidRDefault="00C31455" w:rsidP="00103817">
      <w:pPr>
        <w:pStyle w:val="RKnormal"/>
      </w:pPr>
    </w:p>
    <w:p w14:paraId="3A8FCD3B" w14:textId="62A378BD" w:rsidR="00C31455" w:rsidRDefault="00C31455" w:rsidP="00103817">
      <w:pPr>
        <w:pStyle w:val="RKnormal"/>
      </w:pPr>
      <w:r>
        <w:rPr>
          <w:i/>
        </w:rPr>
        <w:t>Rådets slutsatser bifogas.</w:t>
      </w:r>
    </w:p>
    <w:p w14:paraId="05A9EFD6" w14:textId="77777777" w:rsidR="00103817" w:rsidRPr="00103817" w:rsidRDefault="00103817" w:rsidP="00103817">
      <w:pPr>
        <w:pStyle w:val="RKnormal"/>
      </w:pPr>
    </w:p>
    <w:p w14:paraId="64D2A9F3" w14:textId="77777777" w:rsidR="00103817" w:rsidRPr="007F0D6C" w:rsidRDefault="00437366" w:rsidP="00103817">
      <w:pPr>
        <w:pStyle w:val="RKrubrik"/>
        <w:ind w:left="705" w:hanging="705"/>
      </w:pPr>
      <w:r w:rsidRPr="007F0D6C">
        <w:t>5.</w:t>
      </w:r>
      <w:r w:rsidRPr="007F0D6C">
        <w:tab/>
      </w:r>
      <w:r w:rsidR="00103817" w:rsidRPr="007F0D6C">
        <w:t>Utkast till slutsatser av rådet och företrädarna för medlemsstaternas regeringar, församlade i rådet, om en arbetsplan för kultur (2015</w:t>
      </w:r>
      <w:r w:rsidR="00103817" w:rsidRPr="007F0D6C">
        <w:noBreakHyphen/>
        <w:t>2018)</w:t>
      </w:r>
    </w:p>
    <w:p w14:paraId="00CEBC14" w14:textId="77777777" w:rsidR="00103817" w:rsidRPr="007F0D6C" w:rsidRDefault="00103817" w:rsidP="00103817">
      <w:pPr>
        <w:pStyle w:val="RKnormal"/>
        <w:rPr>
          <w:i/>
          <w:lang w:val="en-US"/>
        </w:rPr>
      </w:pPr>
      <w:r w:rsidRPr="007F0D6C">
        <w:rPr>
          <w:lang w:val="en-US"/>
        </w:rPr>
        <w:t>-</w:t>
      </w:r>
      <w:r w:rsidRPr="007F0D6C">
        <w:rPr>
          <w:lang w:val="en-US"/>
        </w:rPr>
        <w:tab/>
      </w:r>
      <w:r w:rsidRPr="007F0D6C">
        <w:rPr>
          <w:i/>
          <w:lang w:val="en-US"/>
        </w:rPr>
        <w:t>Antagande</w:t>
      </w:r>
    </w:p>
    <w:p w14:paraId="1611F4DB" w14:textId="77777777" w:rsidR="00103817" w:rsidRPr="007F0D6C" w:rsidRDefault="00103817" w:rsidP="00103817">
      <w:pPr>
        <w:pStyle w:val="RKnormal"/>
        <w:rPr>
          <w:lang w:val="en-US"/>
        </w:rPr>
      </w:pPr>
      <w:r w:rsidRPr="007F0D6C">
        <w:rPr>
          <w:lang w:val="en-US"/>
        </w:rPr>
        <w:tab/>
      </w:r>
    </w:p>
    <w:p w14:paraId="49EB21C4" w14:textId="0FA716F4" w:rsidR="00103817" w:rsidRPr="007F0D6C" w:rsidRDefault="00103817" w:rsidP="00103817">
      <w:pPr>
        <w:pStyle w:val="RKnormal"/>
        <w:ind w:left="709"/>
        <w:rPr>
          <w:lang w:val="en-US"/>
        </w:rPr>
      </w:pPr>
      <w:r w:rsidRPr="007F0D6C">
        <w:rPr>
          <w:lang w:val="en-US"/>
        </w:rPr>
        <w:t xml:space="preserve">Dok. </w:t>
      </w:r>
      <w:r w:rsidR="00771298" w:rsidRPr="007F0D6C">
        <w:rPr>
          <w:lang w:val="en-US"/>
        </w:rPr>
        <w:t>15319</w:t>
      </w:r>
      <w:r w:rsidRPr="007F0D6C">
        <w:rPr>
          <w:lang w:val="en-US"/>
        </w:rPr>
        <w:t xml:space="preserve">/14 CULT </w:t>
      </w:r>
      <w:r w:rsidR="00771298" w:rsidRPr="007F0D6C">
        <w:rPr>
          <w:lang w:val="en-US"/>
        </w:rPr>
        <w:t xml:space="preserve">126 </w:t>
      </w:r>
      <w:r w:rsidRPr="007F0D6C">
        <w:rPr>
          <w:lang w:val="en-US"/>
        </w:rPr>
        <w:t xml:space="preserve">AUDIO </w:t>
      </w:r>
      <w:r w:rsidR="00771298" w:rsidRPr="007F0D6C">
        <w:rPr>
          <w:lang w:val="en-US"/>
        </w:rPr>
        <w:t xml:space="preserve">66 </w:t>
      </w:r>
      <w:r w:rsidRPr="007F0D6C">
        <w:rPr>
          <w:lang w:val="en-US"/>
        </w:rPr>
        <w:t xml:space="preserve">MI </w:t>
      </w:r>
      <w:r w:rsidR="00771298" w:rsidRPr="007F0D6C">
        <w:rPr>
          <w:lang w:val="en-US"/>
        </w:rPr>
        <w:t xml:space="preserve">869 </w:t>
      </w:r>
      <w:r w:rsidRPr="007F0D6C">
        <w:rPr>
          <w:lang w:val="en-US"/>
        </w:rPr>
        <w:t xml:space="preserve">RELEX </w:t>
      </w:r>
      <w:r w:rsidR="00771298" w:rsidRPr="007F0D6C">
        <w:rPr>
          <w:lang w:val="en-US"/>
        </w:rPr>
        <w:t xml:space="preserve">907 </w:t>
      </w:r>
      <w:r w:rsidRPr="007F0D6C">
        <w:rPr>
          <w:lang w:val="en-US"/>
        </w:rPr>
        <w:t xml:space="preserve">STATIS </w:t>
      </w:r>
      <w:r w:rsidR="00771298" w:rsidRPr="007F0D6C">
        <w:rPr>
          <w:lang w:val="en-US"/>
        </w:rPr>
        <w:t>121</w:t>
      </w:r>
    </w:p>
    <w:p w14:paraId="24B720FF" w14:textId="77777777" w:rsidR="00103817" w:rsidRPr="007F0D6C" w:rsidRDefault="00103817" w:rsidP="00103817">
      <w:pPr>
        <w:pStyle w:val="RKnormal"/>
        <w:rPr>
          <w:b/>
          <w:i/>
          <w:lang w:val="en-US"/>
        </w:rPr>
      </w:pPr>
    </w:p>
    <w:p w14:paraId="3B4AAB2F" w14:textId="77777777" w:rsidR="00103817" w:rsidRDefault="00103817" w:rsidP="00103817">
      <w:pPr>
        <w:pStyle w:val="RKnormal"/>
        <w:rPr>
          <w:b/>
          <w:i/>
        </w:rPr>
      </w:pPr>
      <w:r>
        <w:rPr>
          <w:b/>
          <w:i/>
        </w:rPr>
        <w:t>Tidigare behandling i EU-nämnden</w:t>
      </w:r>
    </w:p>
    <w:p w14:paraId="3A95ED23" w14:textId="77777777" w:rsidR="00103817" w:rsidRDefault="00103817" w:rsidP="00103817">
      <w:pPr>
        <w:pStyle w:val="RKnormal"/>
        <w:rPr>
          <w:b/>
          <w:i/>
        </w:rPr>
      </w:pPr>
      <w:r>
        <w:t>Rådsslutsatserna</w:t>
      </w:r>
      <w:r w:rsidRPr="002622FB">
        <w:t xml:space="preserve"> har inte tidigare behandlats i EU-nämnden</w:t>
      </w:r>
      <w:r>
        <w:t>.</w:t>
      </w:r>
    </w:p>
    <w:p w14:paraId="5C7B47FC" w14:textId="77777777" w:rsidR="00103817" w:rsidRPr="00327116" w:rsidRDefault="00103817" w:rsidP="00103817">
      <w:pPr>
        <w:pStyle w:val="Rubrik4"/>
      </w:pPr>
      <w:r w:rsidRPr="00327116">
        <w:lastRenderedPageBreak/>
        <w:t>Bakgrund och innehåll</w:t>
      </w:r>
    </w:p>
    <w:p w14:paraId="008586BC" w14:textId="60BD277D" w:rsidR="00103817" w:rsidRDefault="00103817" w:rsidP="00103817">
      <w:pPr>
        <w:pStyle w:val="RKnormal"/>
      </w:pPr>
      <w:r>
        <w:t xml:space="preserve">Rådets arbetsplan för kultur </w:t>
      </w:r>
      <w:r w:rsidR="004F4D57">
        <w:t>anger</w:t>
      </w:r>
      <w:r>
        <w:t xml:space="preserve"> de fokusområden som rådet avser att arbeta med under åren 2015-2018 samt de arbetsmetoder som ska nyttjas i arbetet. Arbetsplanen knyter an till och bygger vidare på det som uppnåtts i den nuvarande arbetsplanen för perioden 2011</w:t>
      </w:r>
      <w:r>
        <w:noBreakHyphen/>
        <w:t xml:space="preserve">2014. Samtidigt har </w:t>
      </w:r>
      <w:r w:rsidRPr="00E9208B">
        <w:t xml:space="preserve">en mer strategisk dimension </w:t>
      </w:r>
      <w:r>
        <w:t xml:space="preserve">lagts till i syfte att </w:t>
      </w:r>
      <w:r w:rsidRPr="00E9208B">
        <w:t>stärka kopplingen mellan arbetsplanen och rådets och de roterande ordförandeskapens arbete</w:t>
      </w:r>
      <w:r>
        <w:t xml:space="preserve">. </w:t>
      </w:r>
    </w:p>
    <w:p w14:paraId="1D8E9B43" w14:textId="77777777" w:rsidR="00103817" w:rsidRDefault="00103817" w:rsidP="00103817">
      <w:pPr>
        <w:pStyle w:val="RKnormal"/>
      </w:pPr>
    </w:p>
    <w:p w14:paraId="02E71F54" w14:textId="77777777" w:rsidR="00103817" w:rsidRDefault="00103817" w:rsidP="00103817">
      <w:pPr>
        <w:pStyle w:val="RKnormal"/>
      </w:pPr>
      <w:r>
        <w:t>Arbetsplanen tar liksom de</w:t>
      </w:r>
      <w:r w:rsidRPr="00C2275B">
        <w:t xml:space="preserve"> föregående sin utgångspunkt i den europeiska agenda</w:t>
      </w:r>
      <w:r>
        <w:t>n</w:t>
      </w:r>
      <w:r w:rsidRPr="00C2275B">
        <w:t xml:space="preserve"> för kultur </w:t>
      </w:r>
      <w:r>
        <w:t>från</w:t>
      </w:r>
      <w:r w:rsidRPr="00C2275B">
        <w:t xml:space="preserve"> 2007</w:t>
      </w:r>
      <w:r w:rsidRPr="00B45A4E">
        <w:t xml:space="preserve"> </w:t>
      </w:r>
      <w:r w:rsidRPr="004050F7">
        <w:t xml:space="preserve">och </w:t>
      </w:r>
      <w:r>
        <w:t>dess strategiska mål:</w:t>
      </w:r>
      <w:r w:rsidRPr="004050F7">
        <w:t xml:space="preserve"> </w:t>
      </w:r>
      <w:r>
        <w:t>F</w:t>
      </w:r>
      <w:r w:rsidRPr="004050F7">
        <w:t>rämjande av kulturell mångfald och interkulturell dialog, främjande av kultur som en drivkraft för kreativitet samt främjande av kultur som ett väsentligt inslag i unionens internationella förbindelser</w:t>
      </w:r>
      <w:r>
        <w:t>.</w:t>
      </w:r>
      <w:r w:rsidRPr="00C2275B">
        <w:t xml:space="preserve"> </w:t>
      </w:r>
      <w:r>
        <w:t>En annan utgångspunkt är målen i programmet Kreativa Europa och i Europa </w:t>
      </w:r>
      <w:r w:rsidRPr="00C2275B">
        <w:t>2</w:t>
      </w:r>
      <w:r>
        <w:t>020-</w:t>
      </w:r>
      <w:r w:rsidRPr="00C2275B">
        <w:t>strategin</w:t>
      </w:r>
      <w:r>
        <w:t xml:space="preserve"> om att främja </w:t>
      </w:r>
      <w:r w:rsidRPr="00C2275B">
        <w:t>smart och hållbar tillväxt för alla.</w:t>
      </w:r>
    </w:p>
    <w:p w14:paraId="77A98B27" w14:textId="77777777" w:rsidR="00103817" w:rsidRDefault="00103817" w:rsidP="00103817">
      <w:pPr>
        <w:pStyle w:val="RKnormal"/>
      </w:pPr>
    </w:p>
    <w:p w14:paraId="3E4C511E" w14:textId="77777777" w:rsidR="00103817" w:rsidRDefault="00103817" w:rsidP="00103817">
      <w:pPr>
        <w:pStyle w:val="RKnormal"/>
        <w:rPr>
          <w:i/>
        </w:rPr>
      </w:pPr>
      <w:r>
        <w:t>Prioriteringarna som medlemsstaterna enats om är:</w:t>
      </w:r>
    </w:p>
    <w:p w14:paraId="10D0BAF3" w14:textId="37781E3E" w:rsidR="00103817" w:rsidRPr="00A71F46" w:rsidRDefault="00BF3A8B" w:rsidP="00103817">
      <w:pPr>
        <w:pStyle w:val="RKnormal"/>
        <w:numPr>
          <w:ilvl w:val="0"/>
          <w:numId w:val="5"/>
        </w:numPr>
      </w:pPr>
      <w:r>
        <w:t xml:space="preserve">Tillgänglig </w:t>
      </w:r>
      <w:r w:rsidR="00103817" w:rsidRPr="00A71F46">
        <w:t>kultur</w:t>
      </w:r>
      <w:r>
        <w:t xml:space="preserve"> för alla</w:t>
      </w:r>
      <w:r w:rsidR="00103817" w:rsidRPr="00A71F46">
        <w:t xml:space="preserve">, </w:t>
      </w:r>
    </w:p>
    <w:p w14:paraId="32A0C7F5" w14:textId="77777777" w:rsidR="00103817" w:rsidRPr="00A71F46" w:rsidRDefault="00103817" w:rsidP="00103817">
      <w:pPr>
        <w:pStyle w:val="RKnormal"/>
        <w:numPr>
          <w:ilvl w:val="0"/>
          <w:numId w:val="5"/>
        </w:numPr>
      </w:pPr>
      <w:r w:rsidRPr="00A71F46">
        <w:t xml:space="preserve">kulturarv, </w:t>
      </w:r>
    </w:p>
    <w:p w14:paraId="5D23C703" w14:textId="56B3EA54" w:rsidR="00103817" w:rsidRPr="00A71F46" w:rsidRDefault="00103817" w:rsidP="00B67E5F">
      <w:pPr>
        <w:pStyle w:val="RKnormal"/>
        <w:numPr>
          <w:ilvl w:val="0"/>
          <w:numId w:val="5"/>
        </w:numPr>
      </w:pPr>
      <w:r>
        <w:t xml:space="preserve">den </w:t>
      </w:r>
      <w:r w:rsidRPr="00A71F46">
        <w:t>kulturella och kreativa sektorn,</w:t>
      </w:r>
      <w:r w:rsidR="00B67E5F" w:rsidRPr="00B67E5F">
        <w:t xml:space="preserve"> kreativ ekonomi och innovation</w:t>
      </w:r>
      <w:r w:rsidR="00B67E5F">
        <w:t>,</w:t>
      </w:r>
    </w:p>
    <w:p w14:paraId="4096A318" w14:textId="469D61E6" w:rsidR="00103817" w:rsidRPr="00A71F46" w:rsidRDefault="00103817" w:rsidP="00103817">
      <w:pPr>
        <w:pStyle w:val="RKnormal"/>
        <w:numPr>
          <w:ilvl w:val="0"/>
          <w:numId w:val="5"/>
        </w:numPr>
      </w:pPr>
      <w:r w:rsidRPr="00A71F46">
        <w:t xml:space="preserve">främjande av kulturell mångfald, kulturens roll i EU:s yttre förbindelser samt </w:t>
      </w:r>
      <w:r w:rsidR="00B67E5F">
        <w:t>rörlighet</w:t>
      </w:r>
      <w:r w:rsidRPr="00A71F46">
        <w:t xml:space="preserve">. </w:t>
      </w:r>
    </w:p>
    <w:p w14:paraId="6DFBA3DC" w14:textId="77777777" w:rsidR="00103817" w:rsidRDefault="00103817" w:rsidP="00103817">
      <w:pPr>
        <w:pStyle w:val="RKnormal"/>
      </w:pPr>
    </w:p>
    <w:p w14:paraId="69CA2E73" w14:textId="5BD6668F" w:rsidR="00103817" w:rsidRDefault="00103817" w:rsidP="00103817">
      <w:pPr>
        <w:pStyle w:val="RKnormal"/>
      </w:pPr>
      <w:r>
        <w:t xml:space="preserve">Den huvudsakliga arbetsmetoden är den s.k. öppna samordnings-metoden, ofta förkortad OMC (från engelskans ”Open Method of Coordination”). </w:t>
      </w:r>
      <w:r w:rsidRPr="009A0673">
        <w:t>De</w:t>
      </w:r>
      <w:r>
        <w:t>nn</w:t>
      </w:r>
      <w:r w:rsidRPr="009A0673">
        <w:t xml:space="preserve">a innebär att </w:t>
      </w:r>
      <w:r w:rsidR="009D4AFA">
        <w:t>a</w:t>
      </w:r>
      <w:r w:rsidRPr="009A0673">
        <w:t>rbetsgrupper</w:t>
      </w:r>
      <w:r>
        <w:t xml:space="preserve">, s.k. OMC-grupper, </w:t>
      </w:r>
      <w:r w:rsidRPr="009A0673">
        <w:t xml:space="preserve">organiseras för att </w:t>
      </w:r>
      <w:r>
        <w:t xml:space="preserve">utbyta </w:t>
      </w:r>
      <w:r w:rsidR="00A958C8">
        <w:t xml:space="preserve">erfarenhet och </w:t>
      </w:r>
      <w:r>
        <w:t xml:space="preserve">goda exempel </w:t>
      </w:r>
      <w:r w:rsidR="00A958C8">
        <w:t>samt</w:t>
      </w:r>
      <w:r>
        <w:t xml:space="preserve"> </w:t>
      </w:r>
      <w:r w:rsidRPr="009A0673">
        <w:t>analysera särskilda områden eller frågeställningar</w:t>
      </w:r>
      <w:r w:rsidR="009D4AFA">
        <w:t xml:space="preserve"> utifrån de prioriteringar som läggs fast i arbetsplanen</w:t>
      </w:r>
      <w:r w:rsidRPr="009A0673">
        <w:t xml:space="preserve">. </w:t>
      </w:r>
      <w:r>
        <w:t>OMC-grupperna består av experter utsedda av medlemsstaterna.  Deltagandet är frivilligt för medlemsstaterna men innebär ett effektivt utbyte av erfarenheter och kunskapsuppbyggande. Medlemsstaterna avgör själva om och hur de vill använda resultatet av arbetet i de olika OMC-grupperna. Arbetet för varje OMC-grupp pågår</w:t>
      </w:r>
      <w:r w:rsidR="009D4AFA">
        <w:t xml:space="preserve"> normalt sett</w:t>
      </w:r>
      <w:r>
        <w:t xml:space="preserve"> under minst ett år.</w:t>
      </w:r>
    </w:p>
    <w:p w14:paraId="0C64D177" w14:textId="77777777" w:rsidR="00103817" w:rsidRDefault="00103817" w:rsidP="00103817">
      <w:pPr>
        <w:pStyle w:val="RKnormal"/>
      </w:pPr>
    </w:p>
    <w:p w14:paraId="12C473FC" w14:textId="77777777" w:rsidR="00103817" w:rsidRDefault="00103817" w:rsidP="00103817">
      <w:pPr>
        <w:pStyle w:val="RKnormal"/>
      </w:pPr>
      <w:r>
        <w:t>Andra arbetsmetoder som nämns i arbetsplanen är bl.a. informella möten mellan tjänstemän från kulturministerier, konferenser och särskilda expertgrupper, tematiska seminarier eller utvärderingsmöten anordnade av kommissionen.</w:t>
      </w:r>
    </w:p>
    <w:p w14:paraId="15A25567" w14:textId="77777777" w:rsidR="00103817" w:rsidRPr="00327116" w:rsidRDefault="00103817" w:rsidP="00103817">
      <w:pPr>
        <w:pStyle w:val="Rubrik4"/>
      </w:pPr>
      <w:r w:rsidRPr="00327116">
        <w:t>Svensk ståndpunkt</w:t>
      </w:r>
    </w:p>
    <w:p w14:paraId="0FB31581" w14:textId="54CAF355" w:rsidR="00103817" w:rsidRDefault="00103817" w:rsidP="00103817">
      <w:pPr>
        <w:pStyle w:val="RKnormal"/>
      </w:pPr>
      <w:r>
        <w:t>Regeringen föreslår att Sverige stödjer antagandet av</w:t>
      </w:r>
      <w:r w:rsidRPr="00F516FF">
        <w:t xml:space="preserve"> </w:t>
      </w:r>
      <w:r>
        <w:t>rådslutsatser</w:t>
      </w:r>
      <w:r w:rsidR="004F4D57">
        <w:t>na</w:t>
      </w:r>
      <w:r>
        <w:t xml:space="preserve"> om rådets arbetsplan för kultur för perioden 2015-2018.</w:t>
      </w:r>
    </w:p>
    <w:p w14:paraId="5EFF12C5" w14:textId="77777777" w:rsidR="00C31455" w:rsidRDefault="00C31455" w:rsidP="00C31455">
      <w:pPr>
        <w:pStyle w:val="RKnormal"/>
      </w:pPr>
    </w:p>
    <w:p w14:paraId="7A7FF8B0" w14:textId="77777777" w:rsidR="00C31455" w:rsidRDefault="00C31455" w:rsidP="00C31455">
      <w:pPr>
        <w:pStyle w:val="RKnormal"/>
      </w:pPr>
      <w:r>
        <w:rPr>
          <w:i/>
        </w:rPr>
        <w:t>Rådets slutsatser bifogas.</w:t>
      </w:r>
    </w:p>
    <w:p w14:paraId="5495DE31" w14:textId="14E308BB" w:rsidR="00437366" w:rsidRPr="00437366" w:rsidRDefault="00437366" w:rsidP="00103817">
      <w:pPr>
        <w:overflowPunct/>
        <w:autoSpaceDE/>
        <w:autoSpaceDN/>
        <w:adjustRightInd/>
        <w:spacing w:line="240" w:lineRule="auto"/>
        <w:ind w:left="567" w:hanging="567"/>
        <w:textAlignment w:val="auto"/>
        <w:rPr>
          <w:rFonts w:ascii="Times New Roman" w:hAnsi="Times New Roman"/>
          <w:szCs w:val="24"/>
        </w:rPr>
      </w:pPr>
    </w:p>
    <w:p w14:paraId="1479EFB2" w14:textId="77777777" w:rsidR="00437366" w:rsidRPr="00437366" w:rsidRDefault="00437366" w:rsidP="00437366">
      <w:pPr>
        <w:overflowPunct/>
        <w:autoSpaceDE/>
        <w:autoSpaceDN/>
        <w:adjustRightInd/>
        <w:spacing w:line="240" w:lineRule="auto"/>
        <w:textAlignment w:val="auto"/>
        <w:outlineLvl w:val="0"/>
        <w:rPr>
          <w:rFonts w:ascii="Times New Roman" w:hAnsi="Times New Roman"/>
          <w:szCs w:val="24"/>
        </w:rPr>
      </w:pPr>
    </w:p>
    <w:p w14:paraId="4A074F4A" w14:textId="4843CDC2" w:rsidR="000501DD" w:rsidRPr="007F0D6C" w:rsidRDefault="00437366" w:rsidP="000501DD">
      <w:pPr>
        <w:pStyle w:val="RKrubrik"/>
        <w:ind w:left="705" w:hanging="705"/>
      </w:pPr>
      <w:r w:rsidRPr="007F0D6C">
        <w:lastRenderedPageBreak/>
        <w:t>6.</w:t>
      </w:r>
      <w:r w:rsidRPr="007F0D6C">
        <w:tab/>
      </w:r>
      <w:r w:rsidR="000501DD" w:rsidRPr="007F0D6C">
        <w:t xml:space="preserve">Utkast till rådets slutsatser om delaktighetsbaserad styrning </w:t>
      </w:r>
      <w:r w:rsidR="00ED6039" w:rsidRPr="007F0D6C">
        <w:rPr>
          <w:i/>
        </w:rPr>
        <w:t xml:space="preserve">(participatory governance) </w:t>
      </w:r>
      <w:r w:rsidR="000501DD" w:rsidRPr="007F0D6C">
        <w:t xml:space="preserve">av kulturarvet </w:t>
      </w:r>
    </w:p>
    <w:p w14:paraId="1579A4EC" w14:textId="77777777" w:rsidR="000501DD" w:rsidRPr="007F0D6C" w:rsidRDefault="000501DD" w:rsidP="000501DD">
      <w:pPr>
        <w:pStyle w:val="RKnormal"/>
        <w:rPr>
          <w:i/>
          <w:lang w:val="en-US"/>
        </w:rPr>
      </w:pPr>
      <w:r w:rsidRPr="007F0D6C">
        <w:rPr>
          <w:lang w:val="en-US"/>
        </w:rPr>
        <w:t>-</w:t>
      </w:r>
      <w:r w:rsidRPr="007F0D6C">
        <w:rPr>
          <w:lang w:val="en-US"/>
        </w:rPr>
        <w:tab/>
      </w:r>
      <w:r w:rsidRPr="007F0D6C">
        <w:rPr>
          <w:i/>
          <w:lang w:val="en-US"/>
        </w:rPr>
        <w:t>Antagande</w:t>
      </w:r>
    </w:p>
    <w:p w14:paraId="76B8BFCF" w14:textId="77777777" w:rsidR="000501DD" w:rsidRPr="007F0D6C" w:rsidRDefault="000501DD" w:rsidP="000501DD">
      <w:pPr>
        <w:pStyle w:val="RKnormal"/>
        <w:rPr>
          <w:lang w:val="en-US"/>
        </w:rPr>
      </w:pPr>
      <w:r w:rsidRPr="007F0D6C">
        <w:rPr>
          <w:lang w:val="en-US"/>
        </w:rPr>
        <w:tab/>
      </w:r>
    </w:p>
    <w:p w14:paraId="28A34C61" w14:textId="6B4DCA29" w:rsidR="000501DD" w:rsidRPr="007F0D6C" w:rsidRDefault="000501DD" w:rsidP="000501DD">
      <w:pPr>
        <w:pStyle w:val="RKnormal"/>
        <w:rPr>
          <w:lang w:val="en-US"/>
        </w:rPr>
      </w:pPr>
      <w:r w:rsidRPr="007F0D6C">
        <w:rPr>
          <w:lang w:val="en-US"/>
        </w:rPr>
        <w:tab/>
        <w:t>Dok. 1</w:t>
      </w:r>
      <w:r w:rsidR="00BB4843" w:rsidRPr="007F0D6C">
        <w:rPr>
          <w:lang w:val="en-US"/>
        </w:rPr>
        <w:t>5320</w:t>
      </w:r>
      <w:r w:rsidRPr="007F0D6C">
        <w:rPr>
          <w:lang w:val="en-US"/>
        </w:rPr>
        <w:t>/14</w:t>
      </w:r>
      <w:r w:rsidR="00BB4843" w:rsidRPr="007F0D6C">
        <w:rPr>
          <w:lang w:val="en-US"/>
        </w:rPr>
        <w:t xml:space="preserve"> CULT 127 TOUR 24 REGIO 123</w:t>
      </w:r>
      <w:r w:rsidRPr="007F0D6C">
        <w:rPr>
          <w:lang w:val="en-US"/>
        </w:rPr>
        <w:t xml:space="preserve"> RELEX </w:t>
      </w:r>
      <w:r w:rsidR="00BB4843" w:rsidRPr="007F0D6C">
        <w:rPr>
          <w:lang w:val="en-US"/>
        </w:rPr>
        <w:t>908</w:t>
      </w:r>
    </w:p>
    <w:p w14:paraId="0B855F96" w14:textId="77777777" w:rsidR="000501DD" w:rsidRPr="007F0D6C" w:rsidRDefault="000501DD" w:rsidP="000501DD">
      <w:pPr>
        <w:pStyle w:val="RKnormal"/>
        <w:rPr>
          <w:b/>
          <w:i/>
          <w:lang w:val="en-US"/>
        </w:rPr>
      </w:pPr>
    </w:p>
    <w:p w14:paraId="4025E4BE" w14:textId="77777777" w:rsidR="000501DD" w:rsidRDefault="000501DD" w:rsidP="000501DD">
      <w:pPr>
        <w:pStyle w:val="RKnormal"/>
        <w:rPr>
          <w:b/>
          <w:i/>
        </w:rPr>
      </w:pPr>
      <w:r>
        <w:rPr>
          <w:b/>
          <w:i/>
        </w:rPr>
        <w:t>Tidigare behandling i EU-nämnden</w:t>
      </w:r>
    </w:p>
    <w:p w14:paraId="08C51363" w14:textId="77777777" w:rsidR="000501DD" w:rsidRDefault="000501DD" w:rsidP="000501DD">
      <w:pPr>
        <w:pStyle w:val="RKnormal"/>
        <w:rPr>
          <w:b/>
          <w:i/>
        </w:rPr>
      </w:pPr>
      <w:r>
        <w:t>Rådsslutsatserna</w:t>
      </w:r>
      <w:r w:rsidRPr="002622FB">
        <w:t xml:space="preserve"> har inte tidigare behandlats i EU-nämnden</w:t>
      </w:r>
      <w:r>
        <w:t>.</w:t>
      </w:r>
    </w:p>
    <w:p w14:paraId="1BB5F989" w14:textId="77777777" w:rsidR="000501DD" w:rsidRPr="00327116" w:rsidRDefault="000501DD" w:rsidP="000501DD">
      <w:pPr>
        <w:pStyle w:val="Rubrik4"/>
      </w:pPr>
      <w:r w:rsidRPr="00327116">
        <w:t>Bakgrund och innehåll</w:t>
      </w:r>
    </w:p>
    <w:p w14:paraId="2F32BD82" w14:textId="52909C84" w:rsidR="000501DD" w:rsidRDefault="000501DD" w:rsidP="000501DD">
      <w:pPr>
        <w:pStyle w:val="RKnormal"/>
      </w:pPr>
      <w:r w:rsidRPr="008D14E5">
        <w:t xml:space="preserve">Det italienska ordförandeskapet har mot bakgrund av tidigare rådslutsatser </w:t>
      </w:r>
      <w:r w:rsidRPr="00155C61">
        <w:t>om kulturpolitisk styrning (</w:t>
      </w:r>
      <w:r w:rsidRPr="00554305">
        <w:rPr>
          <w:i/>
        </w:rPr>
        <w:t>cultural governance</w:t>
      </w:r>
      <w:r>
        <w:t>) från november 2012 och</w:t>
      </w:r>
      <w:r w:rsidRPr="00155C61">
        <w:t xml:space="preserve"> </w:t>
      </w:r>
      <w:r w:rsidRPr="008D14E5">
        <w:t>om kulturarvet som en strategisk resurs för ett långsiktigt hållbart Europa</w:t>
      </w:r>
      <w:r>
        <w:t xml:space="preserve"> från maj 2014, samt </w:t>
      </w:r>
      <w:r w:rsidRPr="008D14E5">
        <w:t xml:space="preserve">kommissionens meddelande ”En integrerad kulturarvsstrategi för Europa” </w:t>
      </w:r>
      <w:r>
        <w:t>från juli 2014</w:t>
      </w:r>
      <w:r w:rsidR="00BB78FA">
        <w:t>,</w:t>
      </w:r>
      <w:r>
        <w:t xml:space="preserve"> </w:t>
      </w:r>
      <w:r w:rsidRPr="008D14E5">
        <w:t xml:space="preserve">valt att presentera ett utkast till rådslutsatser om </w:t>
      </w:r>
      <w:r>
        <w:t>delaktighetsbaserad styrning av kulturarvet (</w:t>
      </w:r>
      <w:r w:rsidRPr="00554305">
        <w:rPr>
          <w:i/>
        </w:rPr>
        <w:t>participatory governance of cultural heritage</w:t>
      </w:r>
      <w:r>
        <w:t>).</w:t>
      </w:r>
    </w:p>
    <w:p w14:paraId="489CFBAB" w14:textId="77777777" w:rsidR="000501DD" w:rsidRPr="008D14E5" w:rsidRDefault="000501DD" w:rsidP="000501DD">
      <w:pPr>
        <w:pStyle w:val="RKnormal"/>
      </w:pPr>
    </w:p>
    <w:p w14:paraId="787FD3E2" w14:textId="48455AC8" w:rsidR="00037765" w:rsidRDefault="000501DD" w:rsidP="000501DD">
      <w:pPr>
        <w:pStyle w:val="RKnormal"/>
      </w:pPr>
      <w:r>
        <w:t>Rådsslutsatserna lyfter fram betydelsen av kulturarvet som utvecklingsfaktor</w:t>
      </w:r>
      <w:r w:rsidR="00BB78FA">
        <w:t xml:space="preserve"> - </w:t>
      </w:r>
      <w:r>
        <w:t xml:space="preserve">digitalt, socialt, ekonomiskt och historiskt. </w:t>
      </w:r>
    </w:p>
    <w:p w14:paraId="56064C3A" w14:textId="77777777" w:rsidR="00037765" w:rsidRDefault="00037765" w:rsidP="000501DD">
      <w:pPr>
        <w:pStyle w:val="RKnormal"/>
      </w:pPr>
    </w:p>
    <w:p w14:paraId="496FA7FC" w14:textId="5AF076B1" w:rsidR="000501DD" w:rsidRDefault="000501DD" w:rsidP="000501DD">
      <w:pPr>
        <w:pStyle w:val="RKnormal"/>
      </w:pPr>
      <w:r>
        <w:t>Rådslutsatserna fokuserar på vikten att involvera relevanta intressenter, medborgarna, det civila samhället, privata aktörer och de olika offentliga beslutsnivåerna för att på bästa sätt ta vara på den potential som kulturarvet besitter.</w:t>
      </w:r>
      <w:r w:rsidR="00037765" w:rsidRPr="00037765">
        <w:t xml:space="preserve"> </w:t>
      </w:r>
      <w:r w:rsidR="00037765">
        <w:t>En delaktighetsbaserad styrning av kulturarvet bidrar till demokratiskt deltagande, hållbarhet och social sammanhållning.</w:t>
      </w:r>
    </w:p>
    <w:p w14:paraId="5B8C58B8" w14:textId="77777777" w:rsidR="000501DD" w:rsidRDefault="000501DD" w:rsidP="000501DD">
      <w:pPr>
        <w:pStyle w:val="RKnormal"/>
      </w:pPr>
    </w:p>
    <w:p w14:paraId="32347372" w14:textId="77777777" w:rsidR="000501DD" w:rsidRDefault="000501DD" w:rsidP="000501DD">
      <w:pPr>
        <w:pStyle w:val="RKnormal"/>
      </w:pPr>
      <w:r>
        <w:t>Medlemsstaterna uppmanas att stärka banden mellan lokal, regional, nationell och EU-nivå samt ge relevanta aktörer möjlighet att delta</w:t>
      </w:r>
      <w:r w:rsidRPr="00E166E1">
        <w:t xml:space="preserve"> </w:t>
      </w:r>
      <w:r>
        <w:t xml:space="preserve">i förvaltningen av kulturarvet. Medlemsstaterna uppmanas också att stärka kopplingarna mellan hållbar turism och lokala kulturella och kreativa näringar som involverar lokalbefolkningen. Rådsslutsatserna betonar också vikten av kunskapsöverföring mellan generationer. </w:t>
      </w:r>
    </w:p>
    <w:p w14:paraId="213DA5C5" w14:textId="77777777" w:rsidR="000501DD" w:rsidRDefault="000501DD" w:rsidP="000501DD">
      <w:pPr>
        <w:pStyle w:val="RKnormal"/>
      </w:pPr>
    </w:p>
    <w:p w14:paraId="550D49BC" w14:textId="77777777" w:rsidR="000501DD" w:rsidRDefault="000501DD" w:rsidP="000501DD">
      <w:pPr>
        <w:pStyle w:val="RKnormal"/>
      </w:pPr>
      <w:r>
        <w:t xml:space="preserve">Slutligen uppmanas kommissionen att </w:t>
      </w:r>
      <w:r w:rsidRPr="00783748">
        <w:t>främja evidensbaserad forskning och statistik</w:t>
      </w:r>
      <w:r>
        <w:t xml:space="preserve"> inom området och dessutom överväga att föreslå ett europeiskt kulturarvsår.</w:t>
      </w:r>
    </w:p>
    <w:p w14:paraId="79D2A2F6" w14:textId="77777777" w:rsidR="000501DD" w:rsidRPr="00327116" w:rsidRDefault="000501DD" w:rsidP="000501DD">
      <w:pPr>
        <w:pStyle w:val="Rubrik4"/>
      </w:pPr>
      <w:r w:rsidRPr="00327116">
        <w:t>Svensk ståndpunkt</w:t>
      </w:r>
    </w:p>
    <w:p w14:paraId="20C2A643" w14:textId="1E1ADB4E" w:rsidR="000501DD" w:rsidRDefault="000501DD" w:rsidP="000501DD">
      <w:pPr>
        <w:pStyle w:val="RKnormal"/>
      </w:pPr>
      <w:r>
        <w:t>Regeringen föreslår att Sverige stödjer antagandet av</w:t>
      </w:r>
      <w:r w:rsidRPr="00F516FF">
        <w:t xml:space="preserve"> rådslutsa</w:t>
      </w:r>
      <w:r>
        <w:t>t</w:t>
      </w:r>
      <w:r w:rsidRPr="00F516FF">
        <w:t>ser</w:t>
      </w:r>
      <w:r>
        <w:t>na om delaktighetsbaserad styrning av kulturarvet.</w:t>
      </w:r>
    </w:p>
    <w:p w14:paraId="49ADFE19" w14:textId="77777777" w:rsidR="00C31455" w:rsidRDefault="00C31455" w:rsidP="00C31455">
      <w:pPr>
        <w:pStyle w:val="RKnormal"/>
      </w:pPr>
    </w:p>
    <w:p w14:paraId="32F9EBF6" w14:textId="77777777" w:rsidR="00C31455" w:rsidRDefault="00C31455" w:rsidP="00C31455">
      <w:pPr>
        <w:pStyle w:val="RKnormal"/>
      </w:pPr>
      <w:r>
        <w:rPr>
          <w:i/>
        </w:rPr>
        <w:t>Rådets slutsatser bifogas.</w:t>
      </w:r>
    </w:p>
    <w:p w14:paraId="0A8DF400" w14:textId="77777777" w:rsidR="00C31455" w:rsidRPr="007A5839" w:rsidRDefault="00C31455" w:rsidP="000501DD">
      <w:pPr>
        <w:pStyle w:val="RKnormal"/>
      </w:pPr>
    </w:p>
    <w:p w14:paraId="4A36ECCD" w14:textId="5BA452BF" w:rsidR="00437366" w:rsidRPr="00437366" w:rsidRDefault="00437366" w:rsidP="000501DD">
      <w:pPr>
        <w:overflowPunct/>
        <w:autoSpaceDE/>
        <w:autoSpaceDN/>
        <w:adjustRightInd/>
        <w:spacing w:line="240" w:lineRule="auto"/>
        <w:ind w:left="567" w:hanging="567"/>
        <w:textAlignment w:val="auto"/>
        <w:rPr>
          <w:rFonts w:ascii="Times New Roman" w:hAnsi="Times New Roman"/>
          <w:i/>
          <w:iCs/>
          <w:color w:val="000000"/>
          <w:szCs w:val="24"/>
        </w:rPr>
      </w:pPr>
    </w:p>
    <w:p w14:paraId="703D2ADE" w14:textId="77777777" w:rsidR="00665BE2" w:rsidRPr="007F0D6C" w:rsidRDefault="00437366" w:rsidP="00665BE2">
      <w:pPr>
        <w:pStyle w:val="RKrubrik"/>
        <w:ind w:left="705" w:hanging="705"/>
      </w:pPr>
      <w:r w:rsidRPr="007F0D6C">
        <w:lastRenderedPageBreak/>
        <w:t>7.</w:t>
      </w:r>
      <w:r w:rsidRPr="007F0D6C">
        <w:tab/>
      </w:r>
      <w:r w:rsidR="00665BE2" w:rsidRPr="007F0D6C">
        <w:t>Förstärkning av bidraget från den kulturella och den kreativa sektorn, inbegripet kulturarvet, till Europa 2020-strategins mål</w:t>
      </w:r>
    </w:p>
    <w:p w14:paraId="75A27B89" w14:textId="77777777" w:rsidR="00665BE2" w:rsidRPr="007F0D6C" w:rsidRDefault="00665BE2" w:rsidP="00665BE2">
      <w:pPr>
        <w:pStyle w:val="RKnormal"/>
      </w:pPr>
    </w:p>
    <w:p w14:paraId="756A1E64" w14:textId="77777777" w:rsidR="00665BE2" w:rsidRDefault="00665BE2" w:rsidP="00665BE2">
      <w:pPr>
        <w:pStyle w:val="RKnormal"/>
        <w:rPr>
          <w:i/>
          <w:iCs/>
        </w:rPr>
      </w:pPr>
      <w:r w:rsidRPr="000B6305">
        <w:t>-</w:t>
      </w:r>
      <w:r w:rsidRPr="000B6305">
        <w:tab/>
      </w:r>
      <w:r w:rsidRPr="00B354DF">
        <w:rPr>
          <w:i/>
          <w:iCs/>
        </w:rPr>
        <w:t>Riktlinjedebatt</w:t>
      </w:r>
    </w:p>
    <w:p w14:paraId="031CEAA0" w14:textId="77777777" w:rsidR="00665BE2" w:rsidRPr="000B6305" w:rsidRDefault="00665BE2" w:rsidP="00665BE2">
      <w:pPr>
        <w:pStyle w:val="RKnormal"/>
        <w:ind w:left="709"/>
      </w:pPr>
    </w:p>
    <w:p w14:paraId="0761BF31" w14:textId="77777777" w:rsidR="00665BE2" w:rsidRPr="000B6305" w:rsidRDefault="00665BE2" w:rsidP="00665BE2">
      <w:pPr>
        <w:pStyle w:val="RKnormal"/>
        <w:ind w:left="709"/>
      </w:pPr>
      <w:r w:rsidRPr="000B6305">
        <w:t>(Offentlig debatt i enlighet med artikel 8.2 i rådets arbetsordning [förslag från ordförandeskapet])</w:t>
      </w:r>
    </w:p>
    <w:p w14:paraId="4BF05DB8" w14:textId="77777777" w:rsidR="00665BE2" w:rsidRPr="000B6305" w:rsidRDefault="00665BE2" w:rsidP="00665BE2">
      <w:pPr>
        <w:pStyle w:val="RKnormal"/>
        <w:ind w:firstLine="709"/>
      </w:pPr>
    </w:p>
    <w:p w14:paraId="5F483F0A" w14:textId="77777777" w:rsidR="00665BE2" w:rsidRPr="007F0D6C" w:rsidRDefault="00665BE2" w:rsidP="00665BE2">
      <w:pPr>
        <w:pStyle w:val="RKnormal"/>
        <w:ind w:left="709"/>
        <w:rPr>
          <w:lang w:val="en-US"/>
        </w:rPr>
      </w:pPr>
      <w:r w:rsidRPr="007F0D6C">
        <w:rPr>
          <w:lang w:val="en-US"/>
        </w:rPr>
        <w:t>Dok. 14752/14 CULT 121 AUDIO 64 SOC 758 COMPET 605 EMPL 149 TOUR 23 TELECOM 197</w:t>
      </w:r>
    </w:p>
    <w:p w14:paraId="71A74011" w14:textId="77777777" w:rsidR="00665BE2" w:rsidRPr="007F0D6C" w:rsidRDefault="00665BE2" w:rsidP="00665BE2">
      <w:pPr>
        <w:pStyle w:val="RKnormal"/>
        <w:rPr>
          <w:lang w:val="en-US"/>
        </w:rPr>
      </w:pPr>
      <w:r w:rsidRPr="007F0D6C">
        <w:rPr>
          <w:lang w:val="en-US"/>
        </w:rPr>
        <w:tab/>
      </w:r>
    </w:p>
    <w:p w14:paraId="1F6CD0E8" w14:textId="77777777" w:rsidR="00781C57" w:rsidRDefault="00781C57" w:rsidP="00781C57">
      <w:pPr>
        <w:pStyle w:val="RKnormal"/>
        <w:rPr>
          <w:b/>
          <w:i/>
        </w:rPr>
      </w:pPr>
      <w:r>
        <w:rPr>
          <w:b/>
          <w:i/>
        </w:rPr>
        <w:t>Tidigare behandling i EU-nämnden</w:t>
      </w:r>
    </w:p>
    <w:p w14:paraId="2C971C10" w14:textId="3AFD6F41" w:rsidR="00781C57" w:rsidRDefault="00781C57" w:rsidP="00781C57">
      <w:pPr>
        <w:pStyle w:val="RKnormal"/>
        <w:rPr>
          <w:b/>
          <w:i/>
        </w:rPr>
      </w:pPr>
      <w:r>
        <w:t>Frågan</w:t>
      </w:r>
      <w:r w:rsidRPr="002622FB">
        <w:t xml:space="preserve"> har inte tidigare behandlats i EU-nämnden</w:t>
      </w:r>
      <w:r>
        <w:t>.</w:t>
      </w:r>
    </w:p>
    <w:p w14:paraId="3851B96C" w14:textId="77777777" w:rsidR="00665BE2" w:rsidRDefault="00665BE2" w:rsidP="00665BE2">
      <w:pPr>
        <w:pStyle w:val="Rubrik4"/>
      </w:pPr>
      <w:r w:rsidRPr="00327116">
        <w:t>Bakgrund och innehåll</w:t>
      </w:r>
    </w:p>
    <w:p w14:paraId="324337A1" w14:textId="77777777" w:rsidR="00665BE2" w:rsidRDefault="00665BE2" w:rsidP="00665BE2">
      <w:pPr>
        <w:pStyle w:val="RKnormal"/>
      </w:pPr>
      <w:r>
        <w:t>Det italienska ordförandeskapet har valt att hålla en riktlinjedebatt om kulturens roll i Europa 2020-strategin. Det finns två frågeställningar som ministrarna ombeds reflektera kring:</w:t>
      </w:r>
    </w:p>
    <w:p w14:paraId="57B9FBB2" w14:textId="77777777" w:rsidR="00665BE2" w:rsidRDefault="00665BE2" w:rsidP="00665BE2">
      <w:pPr>
        <w:pStyle w:val="RKnormal"/>
      </w:pPr>
    </w:p>
    <w:p w14:paraId="14F9BE33" w14:textId="4B296F0A" w:rsidR="00665BE2" w:rsidRDefault="00BC513C" w:rsidP="00BC513C">
      <w:pPr>
        <w:pStyle w:val="RKnormal"/>
        <w:numPr>
          <w:ilvl w:val="0"/>
          <w:numId w:val="6"/>
        </w:numPr>
      </w:pPr>
      <w:r w:rsidRPr="00BC513C">
        <w:t>Hur kan den kulturella och den kreativa sektorn praktiskt bidra till att uppnå en "smart och hållbar tillväxt för alla" i enlighet med Europa 2020-strategin</w:t>
      </w:r>
      <w:r w:rsidR="00665BE2">
        <w:t xml:space="preserve">? </w:t>
      </w:r>
    </w:p>
    <w:p w14:paraId="55A95870" w14:textId="77777777" w:rsidR="005D4EA7" w:rsidRDefault="005D4EA7" w:rsidP="005D4EA7">
      <w:pPr>
        <w:pStyle w:val="RKnormal"/>
        <w:ind w:left="720"/>
      </w:pPr>
    </w:p>
    <w:p w14:paraId="4C025888" w14:textId="0F95AC7A" w:rsidR="00665BE2" w:rsidRDefault="00BC513C" w:rsidP="00BC513C">
      <w:pPr>
        <w:pStyle w:val="RKnormal"/>
        <w:numPr>
          <w:ilvl w:val="0"/>
          <w:numId w:val="6"/>
        </w:numPr>
      </w:pPr>
      <w:r w:rsidRPr="00BC513C">
        <w:t>Hur kan medlemsstaterna tillsammans med sina berörda aktörer samverka för att stimulera social och ekonomisk innovation genom den kulturella och den kreativa sektorn</w:t>
      </w:r>
      <w:r w:rsidR="00665BE2">
        <w:t>?</w:t>
      </w:r>
    </w:p>
    <w:p w14:paraId="110B477B" w14:textId="77777777" w:rsidR="00665BE2" w:rsidRPr="00327116" w:rsidRDefault="00665BE2" w:rsidP="00665BE2">
      <w:pPr>
        <w:pStyle w:val="Rubrik4"/>
      </w:pPr>
      <w:r w:rsidRPr="00327116">
        <w:t>Svensk ståndpunkt</w:t>
      </w:r>
    </w:p>
    <w:p w14:paraId="78C1E6A3" w14:textId="358DAC5B" w:rsidR="00665BE2" w:rsidRDefault="00665BE2" w:rsidP="00665BE2">
      <w:pPr>
        <w:pStyle w:val="RKnormal"/>
      </w:pPr>
      <w:r>
        <w:t>Regeringen</w:t>
      </w:r>
      <w:r w:rsidRPr="008322B2">
        <w:t xml:space="preserve"> avser </w:t>
      </w:r>
      <w:r>
        <w:t>att bekräfta</w:t>
      </w:r>
      <w:r w:rsidRPr="008322B2">
        <w:t xml:space="preserve"> kulturens roll för social sammanhållning,</w:t>
      </w:r>
      <w:r>
        <w:t xml:space="preserve"> hållbar </w:t>
      </w:r>
      <w:r w:rsidR="00550CA3">
        <w:t xml:space="preserve">tillväxt och attraktionskraft. </w:t>
      </w:r>
      <w:r w:rsidRPr="008322B2">
        <w:t xml:space="preserve">Sverige </w:t>
      </w:r>
      <w:r w:rsidR="00550CA3">
        <w:t>kommer</w:t>
      </w:r>
      <w:r w:rsidRPr="008322B2">
        <w:t xml:space="preserve"> </w:t>
      </w:r>
      <w:r>
        <w:t>framhålla</w:t>
      </w:r>
      <w:r w:rsidRPr="008322B2">
        <w:t xml:space="preserve"> </w:t>
      </w:r>
      <w:r>
        <w:t>den konstnärliga frihetens betydelse</w:t>
      </w:r>
      <w:r w:rsidR="00550CA3" w:rsidRPr="00550CA3">
        <w:t xml:space="preserve"> </w:t>
      </w:r>
      <w:r w:rsidR="00550CA3">
        <w:t>för att nå målen i Europa 2020-strategin</w:t>
      </w:r>
      <w:r w:rsidR="00B449F0">
        <w:t xml:space="preserve"> samt</w:t>
      </w:r>
      <w:r w:rsidR="00B449F0" w:rsidRPr="00B449F0">
        <w:t xml:space="preserve"> </w:t>
      </w:r>
      <w:r w:rsidR="00B449F0" w:rsidRPr="008322B2">
        <w:t>kulturen</w:t>
      </w:r>
      <w:r w:rsidR="00B449F0">
        <w:t>s</w:t>
      </w:r>
      <w:r w:rsidR="00B449F0" w:rsidRPr="008322B2">
        <w:t xml:space="preserve"> egenvärde</w:t>
      </w:r>
      <w:r w:rsidR="00B449F0">
        <w:t>.</w:t>
      </w:r>
    </w:p>
    <w:p w14:paraId="74753FE7" w14:textId="77777777" w:rsidR="006465A6" w:rsidRDefault="006465A6" w:rsidP="00665BE2">
      <w:pPr>
        <w:pStyle w:val="RKnormal"/>
      </w:pPr>
    </w:p>
    <w:p w14:paraId="2531A3AE" w14:textId="77777777" w:rsidR="001C60F3" w:rsidRDefault="001C60F3" w:rsidP="001C60F3">
      <w:pPr>
        <w:pStyle w:val="RKnormal"/>
      </w:pPr>
      <w:r w:rsidRPr="00F2558C">
        <w:rPr>
          <w:i/>
        </w:rPr>
        <w:t>Diskussionsunderlag</w:t>
      </w:r>
      <w:r>
        <w:rPr>
          <w:i/>
        </w:rPr>
        <w:t>et</w:t>
      </w:r>
      <w:r w:rsidRPr="00F2558C">
        <w:rPr>
          <w:i/>
        </w:rPr>
        <w:t xml:space="preserve"> </w:t>
      </w:r>
      <w:r w:rsidRPr="00967090">
        <w:rPr>
          <w:i/>
        </w:rPr>
        <w:t>bifogas</w:t>
      </w:r>
      <w:r w:rsidRPr="009F6803">
        <w:rPr>
          <w:i/>
        </w:rPr>
        <w:t>.</w:t>
      </w:r>
    </w:p>
    <w:p w14:paraId="7E8F33EC" w14:textId="77777777" w:rsidR="001C60F3" w:rsidRDefault="001C60F3" w:rsidP="00665BE2">
      <w:pPr>
        <w:pStyle w:val="RKnormal"/>
      </w:pPr>
    </w:p>
    <w:p w14:paraId="7389BEB1" w14:textId="4857ED73" w:rsidR="006E4E11" w:rsidRDefault="006E4E11" w:rsidP="00665BE2">
      <w:pPr>
        <w:overflowPunct/>
        <w:autoSpaceDE/>
        <w:autoSpaceDN/>
        <w:adjustRightInd/>
        <w:spacing w:before="200" w:line="240" w:lineRule="auto"/>
        <w:ind w:left="567" w:hanging="567"/>
        <w:textAlignment w:val="auto"/>
      </w:pPr>
    </w:p>
    <w:p w14:paraId="18AE25F6" w14:textId="77777777" w:rsidR="0025318B" w:rsidRPr="0025318B" w:rsidRDefault="0025318B">
      <w:pPr>
        <w:overflowPunct/>
        <w:autoSpaceDE/>
        <w:autoSpaceDN/>
        <w:adjustRightInd/>
        <w:spacing w:line="240" w:lineRule="auto"/>
        <w:textAlignment w:val="auto"/>
        <w:rPr>
          <w:bCs/>
        </w:rPr>
      </w:pPr>
      <w:r w:rsidRPr="0025318B">
        <w:rPr>
          <w:bCs/>
        </w:rPr>
        <w:br w:type="page"/>
      </w:r>
    </w:p>
    <w:p w14:paraId="4ADC67FB" w14:textId="5989DB47" w:rsidR="006A453A" w:rsidRDefault="006A453A">
      <w:pPr>
        <w:pStyle w:val="RKnormal"/>
      </w:pPr>
      <w:r w:rsidRPr="00DD19E0">
        <w:rPr>
          <w:bCs/>
          <w:u w:val="single"/>
        </w:rPr>
        <w:lastRenderedPageBreak/>
        <w:t>IDROTT</w:t>
      </w:r>
    </w:p>
    <w:p w14:paraId="05FF9E64" w14:textId="77777777" w:rsidR="005A6EFA" w:rsidRDefault="00437366" w:rsidP="005A6EFA">
      <w:pPr>
        <w:pStyle w:val="RKrubrik"/>
        <w:ind w:left="705" w:hanging="705"/>
      </w:pPr>
      <w:r w:rsidRPr="00C31455">
        <w:t>8.</w:t>
      </w:r>
      <w:r w:rsidRPr="00C31455">
        <w:tab/>
      </w:r>
      <w:r w:rsidR="005A6EFA">
        <w:t>Utkast till slutsatser</w:t>
      </w:r>
      <w:r w:rsidR="005A6EFA" w:rsidRPr="00FF37C3">
        <w:t xml:space="preserve"> från rådet och företrädarna för medlems-staternas regeringar, församlade i rådet, om </w:t>
      </w:r>
      <w:r w:rsidR="005A6EFA">
        <w:t>idrott som drivkraft för innovation och ekonomisk tillväxt</w:t>
      </w:r>
    </w:p>
    <w:p w14:paraId="3A6C1714" w14:textId="77777777" w:rsidR="005A6EFA" w:rsidRDefault="005A6EFA" w:rsidP="005A6EFA">
      <w:pPr>
        <w:pStyle w:val="RKnormal"/>
        <w:rPr>
          <w:i/>
        </w:rPr>
      </w:pPr>
      <w:r w:rsidRPr="00660687">
        <w:t>-</w:t>
      </w:r>
      <w:r w:rsidRPr="00660687">
        <w:tab/>
      </w:r>
      <w:r>
        <w:rPr>
          <w:i/>
        </w:rPr>
        <w:t>Antagande</w:t>
      </w:r>
    </w:p>
    <w:p w14:paraId="5FBE2F4F" w14:textId="77777777" w:rsidR="005A6EFA" w:rsidRPr="00660687" w:rsidRDefault="005A6EFA" w:rsidP="005A6EFA">
      <w:pPr>
        <w:pStyle w:val="RKnormal"/>
      </w:pPr>
      <w:r w:rsidRPr="00660687">
        <w:tab/>
      </w:r>
    </w:p>
    <w:p w14:paraId="1E29C9C2" w14:textId="77777777" w:rsidR="005A6EFA" w:rsidRPr="00660687" w:rsidRDefault="005A6EFA" w:rsidP="005A6EFA">
      <w:pPr>
        <w:pStyle w:val="RKnormal"/>
        <w:ind w:left="709"/>
      </w:pPr>
      <w:r w:rsidRPr="00660687">
        <w:t xml:space="preserve">Dok. </w:t>
      </w:r>
      <w:r>
        <w:t xml:space="preserve">14954/14 </w:t>
      </w:r>
      <w:r w:rsidRPr="00A024C3">
        <w:t>SPORT 52 SOC 745 RECH 421 IND 311 COMPET 596</w:t>
      </w:r>
    </w:p>
    <w:p w14:paraId="30B5DC06" w14:textId="77777777" w:rsidR="005A6EFA" w:rsidRDefault="005A6EFA" w:rsidP="005A6EFA">
      <w:pPr>
        <w:pStyle w:val="RKnormal"/>
        <w:rPr>
          <w:b/>
          <w:i/>
        </w:rPr>
      </w:pPr>
    </w:p>
    <w:p w14:paraId="36C3642C" w14:textId="77777777" w:rsidR="005A6EFA" w:rsidRDefault="005A6EFA" w:rsidP="005A6EFA">
      <w:pPr>
        <w:pStyle w:val="RKnormal"/>
        <w:rPr>
          <w:b/>
          <w:i/>
        </w:rPr>
      </w:pPr>
      <w:r>
        <w:rPr>
          <w:b/>
          <w:i/>
        </w:rPr>
        <w:t>Tidigare behandling i EU-nämnden</w:t>
      </w:r>
    </w:p>
    <w:p w14:paraId="00E6C8E6" w14:textId="77777777" w:rsidR="005A6EFA" w:rsidRDefault="005A6EFA" w:rsidP="005A6EFA">
      <w:pPr>
        <w:pStyle w:val="RKnormal"/>
        <w:rPr>
          <w:b/>
          <w:i/>
        </w:rPr>
      </w:pPr>
      <w:r>
        <w:t>Rådsslutsatserna</w:t>
      </w:r>
      <w:r w:rsidRPr="002622FB">
        <w:t xml:space="preserve"> har inte tidigare behandlats i EU-nämnden</w:t>
      </w:r>
      <w:r>
        <w:t>.</w:t>
      </w:r>
    </w:p>
    <w:p w14:paraId="442DEC12" w14:textId="77777777" w:rsidR="005A6EFA" w:rsidRPr="00327116" w:rsidRDefault="005A6EFA" w:rsidP="005A6EFA">
      <w:pPr>
        <w:pStyle w:val="Rubrik4"/>
      </w:pPr>
      <w:r w:rsidRPr="00327116">
        <w:t>Bakgrund och innehåll</w:t>
      </w:r>
    </w:p>
    <w:p w14:paraId="30C64B27" w14:textId="77777777" w:rsidR="005A6EFA" w:rsidRDefault="005A6EFA" w:rsidP="005A6EFA">
      <w:pPr>
        <w:pStyle w:val="RKnormal"/>
      </w:pPr>
      <w:r>
        <w:t xml:space="preserve">Det italienska ordförandeskapet har de ekonomiska effekterna av idrott som ett prioriterat område. </w:t>
      </w:r>
      <w:r w:rsidRPr="00EB503F">
        <w:t xml:space="preserve">Slutsatserna lyfter </w:t>
      </w:r>
      <w:r>
        <w:t xml:space="preserve">på olika sätt fram idrottens betydelse för ekonomisk tillväxt och innovation samt den potential som finns att ytterligare förstärka detta. Medlemsstaterna, kommissionen och intressenter inom idrotten uppmanas till ett brett fält av insatser. </w:t>
      </w:r>
    </w:p>
    <w:p w14:paraId="423DDE20" w14:textId="77777777" w:rsidR="005A6EFA" w:rsidRPr="00327116" w:rsidRDefault="005A6EFA" w:rsidP="005A6EFA">
      <w:pPr>
        <w:pStyle w:val="Rubrik4"/>
      </w:pPr>
      <w:r w:rsidRPr="00327116">
        <w:t>Svensk ståndpunkt</w:t>
      </w:r>
    </w:p>
    <w:p w14:paraId="5A7F4BFD" w14:textId="16A05F6E" w:rsidR="005A6EFA" w:rsidRDefault="005A6EFA" w:rsidP="005A6EFA">
      <w:pPr>
        <w:pStyle w:val="RKnormal"/>
        <w:rPr>
          <w:iCs/>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r>
        <w:rPr>
          <w:szCs w:val="24"/>
          <w:lang w:eastAsia="fr-BE"/>
        </w:rPr>
        <w:t xml:space="preserve"> </w:t>
      </w:r>
      <w:r w:rsidRPr="009C6D0C">
        <w:rPr>
          <w:szCs w:val="24"/>
          <w:lang w:eastAsia="fr-BE"/>
        </w:rPr>
        <w:t>I förhandlingarna har Sverige dock ifrågasatt lämpligheten i att rådsslutsatserna i så stor utsträckning fokuserar på idrottsindustrin då detta mer rör näringspoliti</w:t>
      </w:r>
      <w:r>
        <w:rPr>
          <w:szCs w:val="24"/>
          <w:lang w:eastAsia="fr-BE"/>
        </w:rPr>
        <w:t>k än idrottspolitik</w:t>
      </w:r>
      <w:r w:rsidR="00EC3331">
        <w:rPr>
          <w:szCs w:val="24"/>
          <w:lang w:eastAsia="fr-BE"/>
        </w:rPr>
        <w:t xml:space="preserve"> </w:t>
      </w:r>
      <w:r>
        <w:rPr>
          <w:szCs w:val="24"/>
          <w:lang w:eastAsia="fr-BE"/>
        </w:rPr>
        <w:t>(art 165). Sverige</w:t>
      </w:r>
      <w:r w:rsidRPr="009C6D0C">
        <w:rPr>
          <w:szCs w:val="24"/>
          <w:lang w:eastAsia="fr-BE"/>
        </w:rPr>
        <w:t xml:space="preserve"> har därigenom uppnått vissa justeringar av texten varför bedömningen nu är att den bör kunna accepteras.</w:t>
      </w:r>
      <w:r>
        <w:rPr>
          <w:szCs w:val="24"/>
          <w:lang w:eastAsia="fr-BE"/>
        </w:rPr>
        <w:t xml:space="preserve"> </w:t>
      </w:r>
    </w:p>
    <w:p w14:paraId="7E0FB38C" w14:textId="77777777" w:rsidR="001C60F3" w:rsidRDefault="001C60F3" w:rsidP="001C60F3">
      <w:pPr>
        <w:pStyle w:val="RKnormal"/>
      </w:pPr>
    </w:p>
    <w:p w14:paraId="3B67F759" w14:textId="77777777" w:rsidR="001C60F3" w:rsidRDefault="001C60F3" w:rsidP="001C60F3">
      <w:pPr>
        <w:pStyle w:val="RKnormal"/>
      </w:pPr>
      <w:r>
        <w:rPr>
          <w:i/>
        </w:rPr>
        <w:t>Rådets slutsatser bifogas.</w:t>
      </w:r>
    </w:p>
    <w:p w14:paraId="799112CD" w14:textId="0C60E5B9" w:rsidR="00437366" w:rsidRPr="001C60F3" w:rsidRDefault="00437366" w:rsidP="001C60F3">
      <w:pPr>
        <w:pStyle w:val="RKnormal"/>
      </w:pPr>
    </w:p>
    <w:p w14:paraId="4D8B46A6" w14:textId="77777777" w:rsidR="00437366" w:rsidRPr="007F0D6C" w:rsidRDefault="00437366" w:rsidP="00437366">
      <w:pPr>
        <w:overflowPunct/>
        <w:autoSpaceDE/>
        <w:autoSpaceDN/>
        <w:adjustRightInd/>
        <w:spacing w:line="240" w:lineRule="auto"/>
        <w:textAlignment w:val="auto"/>
        <w:rPr>
          <w:rFonts w:ascii="Times New Roman" w:hAnsi="Times New Roman"/>
          <w:color w:val="000000"/>
          <w:szCs w:val="24"/>
        </w:rPr>
      </w:pPr>
    </w:p>
    <w:p w14:paraId="3ADFFCCA" w14:textId="77777777" w:rsidR="00AF6C4B" w:rsidRPr="003B339F" w:rsidRDefault="00437366" w:rsidP="00AF6C4B">
      <w:pPr>
        <w:pStyle w:val="RKrubrik"/>
        <w:ind w:left="705" w:hanging="705"/>
      </w:pPr>
      <w:r w:rsidRPr="00C31455">
        <w:t>9.</w:t>
      </w:r>
      <w:r w:rsidRPr="00C31455">
        <w:tab/>
      </w:r>
      <w:r w:rsidR="00AF6C4B" w:rsidRPr="00C31455">
        <w:t>Idrott</w:t>
      </w:r>
      <w:r w:rsidR="00AF6C4B" w:rsidRPr="003B339F">
        <w:t xml:space="preserve"> och fysisk aktivitet i skolåldern</w:t>
      </w:r>
    </w:p>
    <w:p w14:paraId="3DF1A7ED" w14:textId="77777777" w:rsidR="00AF6C4B" w:rsidRPr="007F0D6C" w:rsidRDefault="00AF6C4B" w:rsidP="00AF6C4B">
      <w:pPr>
        <w:pStyle w:val="RKnormal"/>
      </w:pPr>
    </w:p>
    <w:p w14:paraId="7AC40111" w14:textId="77777777" w:rsidR="00AF6C4B" w:rsidRDefault="00AF6C4B" w:rsidP="00AF6C4B">
      <w:pPr>
        <w:pStyle w:val="RKnormal"/>
        <w:rPr>
          <w:i/>
          <w:iCs/>
        </w:rPr>
      </w:pPr>
      <w:r w:rsidRPr="00660687">
        <w:t>-</w:t>
      </w:r>
      <w:r w:rsidRPr="00660687">
        <w:tab/>
      </w:r>
      <w:r w:rsidRPr="00B354DF">
        <w:rPr>
          <w:i/>
          <w:iCs/>
        </w:rPr>
        <w:t>Riktlinjedebatt</w:t>
      </w:r>
    </w:p>
    <w:p w14:paraId="4C69DE70" w14:textId="77777777" w:rsidR="00AF6C4B" w:rsidRPr="00660687" w:rsidRDefault="00AF6C4B" w:rsidP="00AF6C4B">
      <w:pPr>
        <w:pStyle w:val="RKnormal"/>
        <w:ind w:left="709"/>
      </w:pPr>
    </w:p>
    <w:p w14:paraId="148752DF" w14:textId="77777777" w:rsidR="00AF6C4B" w:rsidRPr="00660687" w:rsidRDefault="00AF6C4B" w:rsidP="00AF6C4B">
      <w:pPr>
        <w:pStyle w:val="RKnormal"/>
        <w:ind w:left="709"/>
      </w:pPr>
      <w:r w:rsidRPr="00660687">
        <w:t>(Offentlig debatt i enlighet med artikel 8.2 i rådets arbetsordning [förslag från ordförandeskapet])</w:t>
      </w:r>
    </w:p>
    <w:p w14:paraId="2682E2DF" w14:textId="77777777" w:rsidR="00AF6C4B" w:rsidRPr="00660687" w:rsidRDefault="00AF6C4B" w:rsidP="00AF6C4B">
      <w:pPr>
        <w:pStyle w:val="RKnormal"/>
        <w:ind w:firstLine="709"/>
      </w:pPr>
    </w:p>
    <w:p w14:paraId="06463EC9" w14:textId="77777777" w:rsidR="00AF6C4B" w:rsidRPr="007E4252" w:rsidRDefault="00AF6C4B" w:rsidP="00AF6C4B">
      <w:pPr>
        <w:pStyle w:val="RKnormal"/>
        <w:ind w:firstLine="709"/>
        <w:rPr>
          <w:lang w:val="en-US"/>
        </w:rPr>
      </w:pPr>
      <w:r>
        <w:rPr>
          <w:lang w:val="en-US"/>
        </w:rPr>
        <w:t xml:space="preserve">Dok. </w:t>
      </w:r>
      <w:r w:rsidRPr="00660687">
        <w:rPr>
          <w:lang w:val="en-US"/>
        </w:rPr>
        <w:t>14956/</w:t>
      </w:r>
      <w:r>
        <w:rPr>
          <w:lang w:val="en-US"/>
        </w:rPr>
        <w:t xml:space="preserve">1/14 SPORT </w:t>
      </w:r>
      <w:r w:rsidRPr="00660687">
        <w:rPr>
          <w:lang w:val="en-US"/>
        </w:rPr>
        <w:t>53</w:t>
      </w:r>
      <w:r>
        <w:rPr>
          <w:lang w:val="en-US"/>
        </w:rPr>
        <w:t xml:space="preserve"> EDUC 314 JEUN 100 SAN </w:t>
      </w:r>
      <w:r w:rsidRPr="00660687">
        <w:rPr>
          <w:lang w:val="en-US"/>
        </w:rPr>
        <w:t>411</w:t>
      </w:r>
    </w:p>
    <w:p w14:paraId="4FE35A38" w14:textId="77777777" w:rsidR="00AF6C4B" w:rsidRPr="007E4252" w:rsidRDefault="00AF6C4B" w:rsidP="00AF6C4B">
      <w:pPr>
        <w:pStyle w:val="RKnormal"/>
        <w:rPr>
          <w:lang w:val="en-US"/>
        </w:rPr>
      </w:pPr>
      <w:r>
        <w:rPr>
          <w:lang w:val="en-US"/>
        </w:rPr>
        <w:tab/>
      </w:r>
    </w:p>
    <w:p w14:paraId="06CBD93C" w14:textId="77777777" w:rsidR="001C60F3" w:rsidRDefault="001C60F3" w:rsidP="001C60F3">
      <w:pPr>
        <w:pStyle w:val="RKnormal"/>
        <w:rPr>
          <w:b/>
          <w:i/>
        </w:rPr>
      </w:pPr>
      <w:r>
        <w:rPr>
          <w:b/>
          <w:i/>
        </w:rPr>
        <w:t>Tidigare behandling i EU-nämnden</w:t>
      </w:r>
    </w:p>
    <w:p w14:paraId="55597FD4" w14:textId="77777777" w:rsidR="001C60F3" w:rsidRDefault="001C60F3" w:rsidP="001C60F3">
      <w:pPr>
        <w:pStyle w:val="RKnormal"/>
        <w:rPr>
          <w:b/>
          <w:i/>
        </w:rPr>
      </w:pPr>
      <w:r>
        <w:t>Frågan</w:t>
      </w:r>
      <w:r w:rsidRPr="002622FB">
        <w:t xml:space="preserve"> har inte tidigare behandlats i EU-nämnden</w:t>
      </w:r>
      <w:r>
        <w:t>.</w:t>
      </w:r>
    </w:p>
    <w:p w14:paraId="6008EED5" w14:textId="77777777" w:rsidR="00AF6C4B" w:rsidRDefault="00AF6C4B" w:rsidP="00AF6C4B">
      <w:pPr>
        <w:pStyle w:val="Rubrik4"/>
      </w:pPr>
      <w:r w:rsidRPr="00327116">
        <w:lastRenderedPageBreak/>
        <w:t>Bakgrund och innehåll</w:t>
      </w:r>
    </w:p>
    <w:p w14:paraId="51BF4F13" w14:textId="77777777" w:rsidR="00AF6C4B" w:rsidRDefault="00AF6C4B" w:rsidP="00AF6C4B">
      <w:pPr>
        <w:pStyle w:val="RKnormal"/>
      </w:pPr>
      <w:r>
        <w:t>Enligt det italienska ordförandeskapet finns det allt mer forsknings-belägg som indikerar en upplevd minskning eller marginalisering av idrott och fysisk aktivitet bland barn i skolåldern. Mot denna bakgrund vill det italienska ordförandeskapet ha en diskussion om orsakerna till denna minskning och vad medlemsstaterna kan göra för att vända utvecklingen.</w:t>
      </w:r>
    </w:p>
    <w:p w14:paraId="334962BF" w14:textId="77777777" w:rsidR="00AF6C4B" w:rsidRPr="00327116" w:rsidRDefault="00AF6C4B" w:rsidP="00AF6C4B">
      <w:pPr>
        <w:pStyle w:val="Rubrik4"/>
      </w:pPr>
      <w:r w:rsidRPr="00327116">
        <w:t>Svensk ståndpunkt</w:t>
      </w:r>
    </w:p>
    <w:p w14:paraId="00B3608F" w14:textId="07DD3D6E" w:rsidR="00AA4612" w:rsidRDefault="00AA4612" w:rsidP="00AF6C4B">
      <w:pPr>
        <w:pStyle w:val="RKnormal"/>
        <w:rPr>
          <w:b/>
        </w:rPr>
      </w:pPr>
      <w:r w:rsidRPr="00AA4612">
        <w:t>Sverige avser i diskussionen framhålla att svensk statistik inte entydigt visar på minskande fysisk aktivitet i skolåldern. Vi kan se en stabil nivå av fysisk aktivitet i åldersgruppen 7-14 år och en svag minsk</w:t>
      </w:r>
      <w:r w:rsidR="00BA0EE2">
        <w:t>n</w:t>
      </w:r>
      <w:r w:rsidRPr="00AA4612">
        <w:t>ing i åldersgruppen 15-19 år. Det finns dock oroande skillnader mellan olika socioekonomiska grupper och vissa studier visar på en kraftig nedgång av fysisk aktivitet i gruppen unga män.</w:t>
      </w:r>
      <w:r>
        <w:rPr>
          <w:b/>
        </w:rPr>
        <w:t xml:space="preserve"> </w:t>
      </w:r>
    </w:p>
    <w:p w14:paraId="1FE65DE1" w14:textId="77777777" w:rsidR="00AA4612" w:rsidRDefault="00AA4612" w:rsidP="00AF6C4B">
      <w:pPr>
        <w:pStyle w:val="RKnormal"/>
        <w:rPr>
          <w:b/>
        </w:rPr>
      </w:pPr>
    </w:p>
    <w:p w14:paraId="2E54296E" w14:textId="70BB32F3" w:rsidR="00AF6C4B" w:rsidRDefault="00AA4612" w:rsidP="00AF6C4B">
      <w:pPr>
        <w:pStyle w:val="RKnormal"/>
      </w:pPr>
      <w:r>
        <w:t>Vi kan också se ett minskat</w:t>
      </w:r>
      <w:r w:rsidR="00AF6C4B">
        <w:t xml:space="preserve"> d</w:t>
      </w:r>
      <w:r>
        <w:t>eltagande i idrottsföreningar</w:t>
      </w:r>
      <w:r w:rsidR="00AF6C4B">
        <w:t xml:space="preserve"> bland tonåringar</w:t>
      </w:r>
      <w:r w:rsidR="0025318B">
        <w:t>. I</w:t>
      </w:r>
      <w:r w:rsidR="00AF6C4B">
        <w:t xml:space="preserve">stället för att idrotta i föreningar väljer de att göra det på egen hand eller i olika kommersiella alternativ. </w:t>
      </w:r>
    </w:p>
    <w:p w14:paraId="6DC62033" w14:textId="77777777" w:rsidR="00AF6C4B" w:rsidRDefault="00AF6C4B" w:rsidP="00AF6C4B">
      <w:pPr>
        <w:pStyle w:val="RKnormal"/>
      </w:pPr>
    </w:p>
    <w:p w14:paraId="64CE2A0E" w14:textId="77777777" w:rsidR="00AF6C4B" w:rsidRPr="009B48DD" w:rsidRDefault="00AF6C4B" w:rsidP="00AF6C4B">
      <w:pPr>
        <w:pStyle w:val="RKnormal"/>
      </w:pPr>
      <w:r>
        <w:t>Utifrån svenska förhållanden</w:t>
      </w:r>
      <w:r w:rsidRPr="00654DD2">
        <w:t xml:space="preserve"> är</w:t>
      </w:r>
      <w:r>
        <w:t xml:space="preserve"> det</w:t>
      </w:r>
      <w:r w:rsidRPr="00654DD2">
        <w:t xml:space="preserve"> viktigt att idrottsrörelsen har ett starkt samhällsstöd </w:t>
      </w:r>
      <w:r>
        <w:t>och</w:t>
      </w:r>
      <w:r w:rsidRPr="00654DD2">
        <w:t xml:space="preserve"> att </w:t>
      </w:r>
      <w:r>
        <w:t>föreningsidrotten har en inkluderande verksamhet som passar för alla barn och ungdomar. Detta gäller såväl idrottsverksamhetens inriktning som familjernas kostnader för deltagandet.</w:t>
      </w:r>
      <w:r w:rsidRPr="00654DD2">
        <w:t xml:space="preserve"> Det är också viktigt att det finns idrottsvänliga skolgårdar och bostadsområden som inbjuder till fysisk aktivitet.</w:t>
      </w:r>
      <w:r>
        <w:t xml:space="preserve"> Även inom skolan måste idrotten vara anpassad för alla och vara inkluderande. Ett av de huvudsakliga syftena med svensk idrottsundervisning är</w:t>
      </w:r>
      <w:r w:rsidRPr="009B48DD">
        <w:t xml:space="preserve"> att eleverna utvecklar allsidiga rörelseförmågor och intresse för att vara fysiskt aktiva och vistas i naturen</w:t>
      </w:r>
      <w:r>
        <w:t>.</w:t>
      </w:r>
      <w:r w:rsidRPr="009B48DD">
        <w:t xml:space="preserve"> </w:t>
      </w:r>
    </w:p>
    <w:p w14:paraId="543039B8" w14:textId="77777777" w:rsidR="00AF6C4B" w:rsidRPr="00654DD2" w:rsidRDefault="00AF6C4B" w:rsidP="00AF6C4B">
      <w:pPr>
        <w:pStyle w:val="RKnormal"/>
      </w:pPr>
    </w:p>
    <w:p w14:paraId="3D87D641" w14:textId="77777777" w:rsidR="001C60F3" w:rsidRDefault="001C60F3" w:rsidP="001C60F3">
      <w:pPr>
        <w:pStyle w:val="RKnormal"/>
      </w:pPr>
      <w:r w:rsidRPr="00F2558C">
        <w:rPr>
          <w:i/>
        </w:rPr>
        <w:t>Diskussionsunderlag</w:t>
      </w:r>
      <w:r>
        <w:rPr>
          <w:i/>
        </w:rPr>
        <w:t>et</w:t>
      </w:r>
      <w:r w:rsidRPr="00F2558C">
        <w:rPr>
          <w:i/>
        </w:rPr>
        <w:t xml:space="preserve"> </w:t>
      </w:r>
      <w:r w:rsidRPr="00967090">
        <w:rPr>
          <w:i/>
        </w:rPr>
        <w:t>bifogas</w:t>
      </w:r>
      <w:r w:rsidRPr="009F6803">
        <w:rPr>
          <w:i/>
        </w:rPr>
        <w:t>.</w:t>
      </w:r>
    </w:p>
    <w:p w14:paraId="589E9454" w14:textId="22330066" w:rsidR="0025318B" w:rsidRDefault="0025318B" w:rsidP="001C60F3">
      <w:pPr>
        <w:pStyle w:val="RKnormal"/>
      </w:pPr>
    </w:p>
    <w:p w14:paraId="3D167929" w14:textId="77777777" w:rsidR="0025318B" w:rsidRDefault="0025318B" w:rsidP="001C60F3">
      <w:pPr>
        <w:pStyle w:val="RKnormal"/>
      </w:pPr>
    </w:p>
    <w:p w14:paraId="7A945681" w14:textId="2875663D" w:rsidR="006A453A" w:rsidRDefault="006A453A" w:rsidP="00AF6C4B">
      <w:pPr>
        <w:overflowPunct/>
        <w:autoSpaceDE/>
        <w:autoSpaceDN/>
        <w:adjustRightInd/>
        <w:spacing w:line="240" w:lineRule="auto"/>
        <w:textAlignment w:val="auto"/>
      </w:pPr>
    </w:p>
    <w:p w14:paraId="17E5E5A4" w14:textId="77777777" w:rsidR="006A453A" w:rsidRDefault="006A453A">
      <w:pPr>
        <w:pStyle w:val="RKnormal"/>
      </w:pPr>
    </w:p>
    <w:p w14:paraId="2F71E52F" w14:textId="77777777" w:rsidR="006A453A" w:rsidRPr="007D7DF2" w:rsidRDefault="006A453A" w:rsidP="006A453A">
      <w:pPr>
        <w:widowControl w:val="0"/>
        <w:tabs>
          <w:tab w:val="left" w:pos="567"/>
          <w:tab w:val="left" w:pos="1134"/>
          <w:tab w:val="left" w:pos="1701"/>
        </w:tabs>
        <w:rPr>
          <w:b/>
          <w:u w:val="single"/>
          <w:lang w:eastAsia="fr-BE"/>
        </w:rPr>
      </w:pPr>
      <w:r>
        <w:rPr>
          <w:b/>
          <w:u w:val="single"/>
          <w:lang w:eastAsia="fr-BE"/>
        </w:rPr>
        <w:t>Övriga frågor</w:t>
      </w:r>
    </w:p>
    <w:p w14:paraId="649369C8" w14:textId="77777777" w:rsidR="006A453A" w:rsidRDefault="006A453A">
      <w:pPr>
        <w:pStyle w:val="RKnormal"/>
      </w:pPr>
    </w:p>
    <w:p w14:paraId="130BDDC1" w14:textId="77777777" w:rsidR="00437366" w:rsidRPr="00C31455" w:rsidRDefault="00437366" w:rsidP="00437366">
      <w:pPr>
        <w:rPr>
          <w:rFonts w:ascii="TradeGothic" w:hAnsi="TradeGothic"/>
          <w:b/>
          <w:sz w:val="22"/>
        </w:rPr>
      </w:pPr>
      <w:r w:rsidRPr="00C31455">
        <w:rPr>
          <w:rFonts w:ascii="TradeGothic" w:hAnsi="TradeGothic"/>
          <w:b/>
          <w:sz w:val="22"/>
        </w:rPr>
        <w:t>10.</w:t>
      </w:r>
      <w:r w:rsidRPr="00C31455">
        <w:rPr>
          <w:rFonts w:ascii="TradeGothic" w:hAnsi="TradeGothic"/>
          <w:b/>
          <w:sz w:val="22"/>
        </w:rPr>
        <w:tab/>
        <w:t>Kultur/audiovisuella frågor</w:t>
      </w:r>
    </w:p>
    <w:p w14:paraId="4946EA76" w14:textId="77777777" w:rsidR="00437366" w:rsidRPr="00C9385B" w:rsidRDefault="00437366" w:rsidP="00437366">
      <w:pPr>
        <w:outlineLvl w:val="0"/>
        <w:rPr>
          <w:color w:val="000000"/>
          <w:u w:val="single"/>
        </w:rPr>
      </w:pPr>
    </w:p>
    <w:p w14:paraId="78C1FDB2" w14:textId="69E505C3" w:rsidR="00437366" w:rsidRPr="00C9385B" w:rsidRDefault="00437366" w:rsidP="003A2B80">
      <w:pPr>
        <w:pStyle w:val="Pointabc1"/>
      </w:pPr>
      <w:r w:rsidRPr="00C9385B">
        <w:t>Förhandlingar om ett omfattande handels- och</w:t>
      </w:r>
      <w:r w:rsidR="003A2B80">
        <w:t xml:space="preserve"> investeringsavtal, kallat det </w:t>
      </w:r>
      <w:r w:rsidRPr="00C9385B">
        <w:t>transatlantis</w:t>
      </w:r>
      <w:r w:rsidR="003A2B80">
        <w:t xml:space="preserve">ka partnerskapet för handel och </w:t>
      </w:r>
      <w:r w:rsidRPr="00C9385B">
        <w:t>investeringar, mellan Europeiska unionen och Amerikas förenta stater</w:t>
      </w:r>
    </w:p>
    <w:p w14:paraId="452E939E" w14:textId="77777777" w:rsidR="00437366" w:rsidRPr="00C9385B" w:rsidRDefault="00437366" w:rsidP="00437366">
      <w:pPr>
        <w:pStyle w:val="Dash2"/>
      </w:pPr>
      <w:r w:rsidRPr="00C9385B">
        <w:t>Information från kommissionen</w:t>
      </w:r>
    </w:p>
    <w:p w14:paraId="26E1FB47" w14:textId="77777777" w:rsidR="00437366" w:rsidRPr="00C9385B" w:rsidRDefault="00437366" w:rsidP="00437366">
      <w:pPr>
        <w:pStyle w:val="Text1"/>
      </w:pPr>
    </w:p>
    <w:p w14:paraId="46719554" w14:textId="77777777" w:rsidR="00437366" w:rsidRPr="00C9385B" w:rsidRDefault="00437366" w:rsidP="00437366">
      <w:pPr>
        <w:pStyle w:val="Text1"/>
      </w:pPr>
    </w:p>
    <w:p w14:paraId="22CFD53E" w14:textId="77777777" w:rsidR="0025318B" w:rsidRDefault="0025318B">
      <w:pPr>
        <w:overflowPunct/>
        <w:autoSpaceDE/>
        <w:autoSpaceDN/>
        <w:adjustRightInd/>
        <w:spacing w:line="240" w:lineRule="auto"/>
        <w:textAlignment w:val="auto"/>
        <w:rPr>
          <w:rFonts w:ascii="TradeGothic" w:hAnsi="TradeGothic"/>
          <w:b/>
          <w:sz w:val="22"/>
        </w:rPr>
      </w:pPr>
      <w:r>
        <w:rPr>
          <w:rFonts w:ascii="TradeGothic" w:hAnsi="TradeGothic"/>
          <w:b/>
          <w:sz w:val="22"/>
        </w:rPr>
        <w:br w:type="page"/>
      </w:r>
    </w:p>
    <w:p w14:paraId="0E7A9CBF" w14:textId="61AC1C8A" w:rsidR="00437366" w:rsidRPr="00C31455" w:rsidRDefault="00437366" w:rsidP="00437366">
      <w:pPr>
        <w:rPr>
          <w:rFonts w:ascii="TradeGothic" w:hAnsi="TradeGothic"/>
          <w:b/>
          <w:sz w:val="22"/>
        </w:rPr>
      </w:pPr>
      <w:r w:rsidRPr="00C31455">
        <w:rPr>
          <w:rFonts w:ascii="TradeGothic" w:hAnsi="TradeGothic"/>
          <w:b/>
          <w:sz w:val="22"/>
        </w:rPr>
        <w:lastRenderedPageBreak/>
        <w:t>10.</w:t>
      </w:r>
      <w:r w:rsidRPr="00C31455">
        <w:rPr>
          <w:rFonts w:ascii="TradeGothic" w:hAnsi="TradeGothic"/>
          <w:b/>
          <w:sz w:val="22"/>
        </w:rPr>
        <w:tab/>
        <w:t>Idrott</w:t>
      </w:r>
    </w:p>
    <w:p w14:paraId="10DC0E13" w14:textId="77777777" w:rsidR="00437366" w:rsidRPr="00C9385B" w:rsidRDefault="00437366" w:rsidP="00437366">
      <w:pPr>
        <w:pStyle w:val="Text1"/>
      </w:pPr>
    </w:p>
    <w:p w14:paraId="295563B9" w14:textId="77777777" w:rsidR="003A2B80" w:rsidRDefault="00437366" w:rsidP="00437366">
      <w:pPr>
        <w:pStyle w:val="Pointabc1"/>
        <w:numPr>
          <w:ilvl w:val="3"/>
          <w:numId w:val="4"/>
        </w:numPr>
      </w:pPr>
      <w:r w:rsidRPr="00C9385B">
        <w:t>Världsantidopnings</w:t>
      </w:r>
      <w:r w:rsidR="003A2B80">
        <w:t xml:space="preserve">byråns (Wadas) möte </w:t>
      </w:r>
    </w:p>
    <w:p w14:paraId="6514BBB4" w14:textId="4BDF8194" w:rsidR="00437366" w:rsidRPr="00C9385B" w:rsidRDefault="003A2B80" w:rsidP="002C0E72">
      <w:pPr>
        <w:pStyle w:val="Pointabc1"/>
        <w:numPr>
          <w:ilvl w:val="0"/>
          <w:numId w:val="0"/>
        </w:numPr>
        <w:ind w:left="1134"/>
      </w:pPr>
      <w:r>
        <w:t>(Paris, den </w:t>
      </w:r>
      <w:r w:rsidR="00437366" w:rsidRPr="00C9385B">
        <w:t>15</w:t>
      </w:r>
      <w:r>
        <w:noBreakHyphen/>
        <w:t>16 </w:t>
      </w:r>
      <w:r w:rsidR="00437366" w:rsidRPr="00C9385B">
        <w:t>november 2014)</w:t>
      </w:r>
    </w:p>
    <w:p w14:paraId="13407715" w14:textId="4B06185E" w:rsidR="00437366" w:rsidRPr="00774713" w:rsidRDefault="00437366" w:rsidP="00437366">
      <w:pPr>
        <w:pStyle w:val="Dash2"/>
        <w:numPr>
          <w:ilvl w:val="0"/>
          <w:numId w:val="3"/>
        </w:numPr>
        <w:rPr>
          <w:i/>
          <w:iCs/>
        </w:rPr>
      </w:pPr>
      <w:r w:rsidRPr="00C9385B">
        <w:t>Information från EU:s medlemsstaters företrädare (BE/LU/MT)</w:t>
      </w:r>
    </w:p>
    <w:p w14:paraId="2B251408" w14:textId="77777777" w:rsidR="00437366" w:rsidRPr="00C9385B" w:rsidRDefault="00437366" w:rsidP="00437366">
      <w:pPr>
        <w:rPr>
          <w:color w:val="000000"/>
        </w:rPr>
      </w:pPr>
    </w:p>
    <w:p w14:paraId="789067EC" w14:textId="5C8F3DB2" w:rsidR="00437366" w:rsidRPr="00C9385B" w:rsidRDefault="00437366" w:rsidP="00774713">
      <w:pPr>
        <w:jc w:val="center"/>
        <w:rPr>
          <w:color w:val="000000"/>
        </w:rPr>
      </w:pPr>
      <w:r w:rsidRPr="00C9385B">
        <w:rPr>
          <w:color w:val="000000"/>
        </w:rPr>
        <w:t>*</w:t>
      </w:r>
    </w:p>
    <w:p w14:paraId="56EFBE5F" w14:textId="77777777" w:rsidR="00437366" w:rsidRPr="00C9385B" w:rsidRDefault="00437366" w:rsidP="00437366">
      <w:pPr>
        <w:rPr>
          <w:color w:val="000000"/>
        </w:rPr>
      </w:pPr>
    </w:p>
    <w:p w14:paraId="46672318" w14:textId="77777777" w:rsidR="00437366" w:rsidRPr="00C9385B" w:rsidRDefault="00437366" w:rsidP="00437366">
      <w:pPr>
        <w:pStyle w:val="Pointabc1"/>
        <w:numPr>
          <w:ilvl w:val="3"/>
          <w:numId w:val="4"/>
        </w:numPr>
        <w:rPr>
          <w:i/>
          <w:iCs/>
        </w:rPr>
      </w:pPr>
      <w:r w:rsidRPr="00C9385B">
        <w:t>Det kommande ordförandeskapets arbetsprogram</w:t>
      </w:r>
    </w:p>
    <w:p w14:paraId="7DBA2EB9" w14:textId="77777777" w:rsidR="00437366" w:rsidRPr="00C9385B" w:rsidRDefault="00437366" w:rsidP="00437366">
      <w:pPr>
        <w:pStyle w:val="Dash2"/>
        <w:numPr>
          <w:ilvl w:val="0"/>
          <w:numId w:val="3"/>
        </w:numPr>
      </w:pPr>
      <w:r w:rsidRPr="00C9385B">
        <w:t>Information från den lettiska delegationen</w:t>
      </w:r>
    </w:p>
    <w:p w14:paraId="6A9F7BB2" w14:textId="77777777" w:rsidR="00437366" w:rsidRPr="00C9385B" w:rsidRDefault="00437366" w:rsidP="00437366">
      <w:pPr>
        <w:rPr>
          <w:color w:val="000000"/>
          <w:u w:val="single"/>
        </w:rPr>
      </w:pPr>
    </w:p>
    <w:p w14:paraId="4D344CCD" w14:textId="2C6C0910" w:rsidR="00437366" w:rsidRDefault="00200A38">
      <w:pPr>
        <w:pStyle w:val="RKnormal"/>
      </w:pPr>
      <w:r>
        <w:t xml:space="preserve"> </w:t>
      </w:r>
    </w:p>
    <w:sectPr w:rsidR="0043736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C2C7F" w14:textId="77777777" w:rsidR="00DF29C5" w:rsidRDefault="00DF29C5">
      <w:r>
        <w:separator/>
      </w:r>
    </w:p>
  </w:endnote>
  <w:endnote w:type="continuationSeparator" w:id="0">
    <w:p w14:paraId="25D00158" w14:textId="77777777" w:rsidR="00DF29C5" w:rsidRDefault="00DF29C5">
      <w:r>
        <w:continuationSeparator/>
      </w:r>
    </w:p>
  </w:endnote>
  <w:endnote w:type="continuationNotice" w:id="1">
    <w:p w14:paraId="4F7DF675" w14:textId="77777777" w:rsidR="00DF29C5" w:rsidRDefault="00DF2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49667" w14:textId="77777777" w:rsidR="00DF29C5" w:rsidRDefault="00DF29C5">
      <w:r>
        <w:separator/>
      </w:r>
    </w:p>
  </w:footnote>
  <w:footnote w:type="continuationSeparator" w:id="0">
    <w:p w14:paraId="68A54D35" w14:textId="77777777" w:rsidR="00DF29C5" w:rsidRDefault="00DF29C5">
      <w:r>
        <w:continuationSeparator/>
      </w:r>
    </w:p>
  </w:footnote>
  <w:footnote w:type="continuationNotice" w:id="1">
    <w:p w14:paraId="31BB37DA" w14:textId="77777777" w:rsidR="00DF29C5" w:rsidRDefault="00DF29C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0128" w14:textId="77777777" w:rsidR="00DF29C5" w:rsidRDefault="00DF29C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4264">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F29C5" w14:paraId="49D3E3C2" w14:textId="77777777">
      <w:trPr>
        <w:cantSplit/>
      </w:trPr>
      <w:tc>
        <w:tcPr>
          <w:tcW w:w="3119" w:type="dxa"/>
        </w:tcPr>
        <w:p w14:paraId="178CFC81" w14:textId="77777777" w:rsidR="00DF29C5" w:rsidRDefault="00DF29C5">
          <w:pPr>
            <w:pStyle w:val="Sidhuvud"/>
            <w:spacing w:line="200" w:lineRule="atLeast"/>
            <w:ind w:right="357"/>
            <w:rPr>
              <w:rFonts w:ascii="TradeGothic" w:hAnsi="TradeGothic"/>
              <w:b/>
              <w:bCs/>
              <w:sz w:val="16"/>
            </w:rPr>
          </w:pPr>
        </w:p>
      </w:tc>
      <w:tc>
        <w:tcPr>
          <w:tcW w:w="4111" w:type="dxa"/>
          <w:tcMar>
            <w:left w:w="567" w:type="dxa"/>
          </w:tcMar>
        </w:tcPr>
        <w:p w14:paraId="16BF9159" w14:textId="77777777" w:rsidR="00DF29C5" w:rsidRDefault="00DF29C5">
          <w:pPr>
            <w:pStyle w:val="Sidhuvud"/>
            <w:ind w:right="360"/>
          </w:pPr>
        </w:p>
      </w:tc>
      <w:tc>
        <w:tcPr>
          <w:tcW w:w="1525" w:type="dxa"/>
        </w:tcPr>
        <w:p w14:paraId="4E37B2D1" w14:textId="77777777" w:rsidR="00DF29C5" w:rsidRDefault="00DF29C5">
          <w:pPr>
            <w:pStyle w:val="Sidhuvud"/>
            <w:ind w:right="360"/>
          </w:pPr>
        </w:p>
      </w:tc>
    </w:tr>
  </w:tbl>
  <w:p w14:paraId="60D561BE" w14:textId="77777777" w:rsidR="00DF29C5" w:rsidRDefault="00DF29C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AA4C5" w14:textId="77777777" w:rsidR="00DF29C5" w:rsidRDefault="00DF29C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B4264">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F29C5" w14:paraId="0DBCC7EA" w14:textId="77777777">
      <w:trPr>
        <w:cantSplit/>
      </w:trPr>
      <w:tc>
        <w:tcPr>
          <w:tcW w:w="3119" w:type="dxa"/>
        </w:tcPr>
        <w:p w14:paraId="526FDFEC" w14:textId="77777777" w:rsidR="00DF29C5" w:rsidRDefault="00DF29C5">
          <w:pPr>
            <w:pStyle w:val="Sidhuvud"/>
            <w:spacing w:line="200" w:lineRule="atLeast"/>
            <w:ind w:right="357"/>
            <w:rPr>
              <w:rFonts w:ascii="TradeGothic" w:hAnsi="TradeGothic"/>
              <w:b/>
              <w:bCs/>
              <w:sz w:val="16"/>
            </w:rPr>
          </w:pPr>
        </w:p>
      </w:tc>
      <w:tc>
        <w:tcPr>
          <w:tcW w:w="4111" w:type="dxa"/>
          <w:tcMar>
            <w:left w:w="567" w:type="dxa"/>
          </w:tcMar>
        </w:tcPr>
        <w:p w14:paraId="28EE5014" w14:textId="77777777" w:rsidR="00DF29C5" w:rsidRDefault="00DF29C5">
          <w:pPr>
            <w:pStyle w:val="Sidhuvud"/>
            <w:ind w:right="360"/>
          </w:pPr>
        </w:p>
      </w:tc>
      <w:tc>
        <w:tcPr>
          <w:tcW w:w="1525" w:type="dxa"/>
        </w:tcPr>
        <w:p w14:paraId="5982E5F5" w14:textId="77777777" w:rsidR="00DF29C5" w:rsidRDefault="00DF29C5">
          <w:pPr>
            <w:pStyle w:val="Sidhuvud"/>
            <w:ind w:right="360"/>
          </w:pPr>
        </w:p>
      </w:tc>
    </w:tr>
  </w:tbl>
  <w:p w14:paraId="1E4E22AB" w14:textId="77777777" w:rsidR="00DF29C5" w:rsidRDefault="00DF29C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253F" w14:textId="49453B2B" w:rsidR="00DF29C5" w:rsidRDefault="00DF29C5">
    <w:pPr>
      <w:framePr w:w="2948" w:h="1321" w:hRule="exact" w:wrap="notBeside" w:vAnchor="page" w:hAnchor="page" w:x="1362" w:y="653"/>
    </w:pPr>
    <w:r>
      <w:rPr>
        <w:noProof/>
        <w:lang w:eastAsia="sv-SE"/>
      </w:rPr>
      <w:drawing>
        <wp:inline distT="0" distB="0" distL="0" distR="0" wp14:anchorId="05704FAD" wp14:editId="7EB6E391">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509CEE" w14:textId="77777777" w:rsidR="00DF29C5" w:rsidRDefault="00DF29C5">
    <w:pPr>
      <w:pStyle w:val="RKrubrik"/>
      <w:keepNext w:val="0"/>
      <w:tabs>
        <w:tab w:val="clear" w:pos="1134"/>
        <w:tab w:val="clear" w:pos="2835"/>
      </w:tabs>
      <w:spacing w:before="0" w:after="0" w:line="320" w:lineRule="atLeast"/>
      <w:rPr>
        <w:bCs/>
      </w:rPr>
    </w:pPr>
  </w:p>
  <w:p w14:paraId="34A13566" w14:textId="77777777" w:rsidR="00DF29C5" w:rsidRDefault="00DF29C5">
    <w:pPr>
      <w:rPr>
        <w:rFonts w:ascii="TradeGothic" w:hAnsi="TradeGothic"/>
        <w:b/>
        <w:bCs/>
        <w:spacing w:val="12"/>
        <w:sz w:val="22"/>
      </w:rPr>
    </w:pPr>
  </w:p>
  <w:p w14:paraId="278A59DB" w14:textId="77777777" w:rsidR="00DF29C5" w:rsidRDefault="00DF29C5">
    <w:pPr>
      <w:pStyle w:val="RKrubrik"/>
      <w:keepNext w:val="0"/>
      <w:tabs>
        <w:tab w:val="clear" w:pos="1134"/>
        <w:tab w:val="clear" w:pos="2835"/>
      </w:tabs>
      <w:spacing w:before="0" w:after="0" w:line="320" w:lineRule="atLeast"/>
      <w:rPr>
        <w:bCs/>
      </w:rPr>
    </w:pPr>
  </w:p>
  <w:p w14:paraId="01A5EB32" w14:textId="77777777" w:rsidR="00DF29C5" w:rsidRDefault="00DF29C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26708"/>
    <w:multiLevelType w:val="hybridMultilevel"/>
    <w:tmpl w:val="DD081C98"/>
    <w:lvl w:ilvl="0" w:tplc="76FE7492">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2">
    <w:nsid w:val="2F296E77"/>
    <w:multiLevelType w:val="multilevel"/>
    <w:tmpl w:val="AB3ED744"/>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rPr>
        <w:i w:val="0"/>
        <w:iCs w:val="0"/>
      </w:r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
    <w:nsid w:val="54812F74"/>
    <w:multiLevelType w:val="hybridMultilevel"/>
    <w:tmpl w:val="778E1AFA"/>
    <w:lvl w:ilvl="0" w:tplc="76FE749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Kulturdepartementet"/>
    <w:docVar w:name="Regering" w:val="N"/>
  </w:docVars>
  <w:rsids>
    <w:rsidRoot w:val="00817817"/>
    <w:rsid w:val="0002760D"/>
    <w:rsid w:val="00037765"/>
    <w:rsid w:val="000501DD"/>
    <w:rsid w:val="000516DB"/>
    <w:rsid w:val="000A7E8B"/>
    <w:rsid w:val="00103817"/>
    <w:rsid w:val="00150384"/>
    <w:rsid w:val="001559C1"/>
    <w:rsid w:val="00160901"/>
    <w:rsid w:val="001805B7"/>
    <w:rsid w:val="0019262D"/>
    <w:rsid w:val="001C60F3"/>
    <w:rsid w:val="00200A38"/>
    <w:rsid w:val="002410AA"/>
    <w:rsid w:val="0025318B"/>
    <w:rsid w:val="00270EA8"/>
    <w:rsid w:val="002B4264"/>
    <w:rsid w:val="002C0E72"/>
    <w:rsid w:val="00343FC2"/>
    <w:rsid w:val="00367B1C"/>
    <w:rsid w:val="00391FB0"/>
    <w:rsid w:val="003A2B80"/>
    <w:rsid w:val="003B339F"/>
    <w:rsid w:val="00437366"/>
    <w:rsid w:val="004A328D"/>
    <w:rsid w:val="004F4D57"/>
    <w:rsid w:val="00550CA3"/>
    <w:rsid w:val="00554305"/>
    <w:rsid w:val="0058762B"/>
    <w:rsid w:val="005A6EFA"/>
    <w:rsid w:val="005D4EA7"/>
    <w:rsid w:val="006465A6"/>
    <w:rsid w:val="00646DA2"/>
    <w:rsid w:val="00665BE2"/>
    <w:rsid w:val="00671994"/>
    <w:rsid w:val="006A453A"/>
    <w:rsid w:val="006E4E11"/>
    <w:rsid w:val="00702E6B"/>
    <w:rsid w:val="00720CA3"/>
    <w:rsid w:val="007242A3"/>
    <w:rsid w:val="00771298"/>
    <w:rsid w:val="00774713"/>
    <w:rsid w:val="00781C57"/>
    <w:rsid w:val="00795A84"/>
    <w:rsid w:val="007A6855"/>
    <w:rsid w:val="007B40E1"/>
    <w:rsid w:val="007F0D6C"/>
    <w:rsid w:val="00806936"/>
    <w:rsid w:val="00817817"/>
    <w:rsid w:val="008E3394"/>
    <w:rsid w:val="008F730A"/>
    <w:rsid w:val="009013E3"/>
    <w:rsid w:val="0092027A"/>
    <w:rsid w:val="00955E31"/>
    <w:rsid w:val="00992E72"/>
    <w:rsid w:val="009D4AFA"/>
    <w:rsid w:val="00A958C8"/>
    <w:rsid w:val="00AA4612"/>
    <w:rsid w:val="00AF26D1"/>
    <w:rsid w:val="00AF6C4B"/>
    <w:rsid w:val="00B449F0"/>
    <w:rsid w:val="00B67E5F"/>
    <w:rsid w:val="00B72326"/>
    <w:rsid w:val="00B84F9E"/>
    <w:rsid w:val="00BA0EE2"/>
    <w:rsid w:val="00BB4843"/>
    <w:rsid w:val="00BB78FA"/>
    <w:rsid w:val="00BC513C"/>
    <w:rsid w:val="00BF3A8B"/>
    <w:rsid w:val="00C31455"/>
    <w:rsid w:val="00CA7594"/>
    <w:rsid w:val="00CB1534"/>
    <w:rsid w:val="00D133D7"/>
    <w:rsid w:val="00DF29C5"/>
    <w:rsid w:val="00E025E1"/>
    <w:rsid w:val="00E715A2"/>
    <w:rsid w:val="00E80146"/>
    <w:rsid w:val="00E82EEA"/>
    <w:rsid w:val="00E904D0"/>
    <w:rsid w:val="00EC25F9"/>
    <w:rsid w:val="00EC3331"/>
    <w:rsid w:val="00ED583F"/>
    <w:rsid w:val="00ED6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28E2F"/>
  <w15:docId w15:val="{C95398C3-2783-457B-A8D7-78D8A934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78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7817"/>
    <w:rPr>
      <w:rFonts w:ascii="Tahoma" w:hAnsi="Tahoma" w:cs="Tahoma"/>
      <w:sz w:val="16"/>
      <w:szCs w:val="16"/>
      <w:lang w:eastAsia="en-US"/>
    </w:rPr>
  </w:style>
  <w:style w:type="character" w:customStyle="1" w:styleId="RKnormalChar">
    <w:name w:val="RKnormal Char"/>
    <w:link w:val="RKnormal"/>
    <w:rsid w:val="00B72326"/>
    <w:rPr>
      <w:rFonts w:ascii="OrigGarmnd BT" w:hAnsi="OrigGarmnd BT"/>
      <w:sz w:val="24"/>
      <w:lang w:eastAsia="en-US"/>
    </w:rPr>
  </w:style>
  <w:style w:type="paragraph" w:customStyle="1" w:styleId="Text1">
    <w:name w:val="Text 1"/>
    <w:basedOn w:val="Normal"/>
    <w:rsid w:val="00437366"/>
    <w:pPr>
      <w:overflowPunct/>
      <w:autoSpaceDE/>
      <w:autoSpaceDN/>
      <w:adjustRightInd/>
      <w:spacing w:line="240" w:lineRule="auto"/>
      <w:ind w:left="567"/>
      <w:textAlignment w:val="auto"/>
      <w:outlineLvl w:val="0"/>
    </w:pPr>
    <w:rPr>
      <w:rFonts w:ascii="Times New Roman" w:hAnsi="Times New Roman"/>
      <w:szCs w:val="24"/>
    </w:rPr>
  </w:style>
  <w:style w:type="paragraph" w:customStyle="1" w:styleId="Text2">
    <w:name w:val="Text 2"/>
    <w:basedOn w:val="Normal"/>
    <w:rsid w:val="00437366"/>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abc">
    <w:name w:val="Point abc"/>
    <w:basedOn w:val="Normal"/>
    <w:rsid w:val="00437366"/>
    <w:pPr>
      <w:numPr>
        <w:ilvl w:val="1"/>
        <w:numId w:val="1"/>
      </w:numPr>
      <w:overflowPunct/>
      <w:autoSpaceDE/>
      <w:autoSpaceDN/>
      <w:adjustRightInd/>
      <w:spacing w:before="200" w:line="240" w:lineRule="auto"/>
      <w:textAlignment w:val="auto"/>
    </w:pPr>
    <w:rPr>
      <w:rFonts w:ascii="Times New Roman" w:hAnsi="Times New Roman"/>
      <w:szCs w:val="24"/>
    </w:rPr>
  </w:style>
  <w:style w:type="paragraph" w:customStyle="1" w:styleId="Pointabc1">
    <w:name w:val="Point abc (1)"/>
    <w:basedOn w:val="Normal"/>
    <w:rsid w:val="00437366"/>
    <w:pPr>
      <w:numPr>
        <w:ilvl w:val="3"/>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Pointabc2">
    <w:name w:val="Point abc (2)"/>
    <w:basedOn w:val="Normal"/>
    <w:rsid w:val="00437366"/>
    <w:pPr>
      <w:numPr>
        <w:ilvl w:val="5"/>
        <w:numId w:val="1"/>
      </w:numPr>
      <w:overflowPunct/>
      <w:autoSpaceDE/>
      <w:autoSpaceDN/>
      <w:adjustRightInd/>
      <w:spacing w:line="240" w:lineRule="auto"/>
      <w:textAlignment w:val="auto"/>
      <w:outlineLvl w:val="1"/>
    </w:pPr>
    <w:rPr>
      <w:rFonts w:ascii="Times New Roman" w:hAnsi="Times New Roman"/>
      <w:szCs w:val="24"/>
    </w:rPr>
  </w:style>
  <w:style w:type="paragraph" w:customStyle="1" w:styleId="Pointabc3">
    <w:name w:val="Point abc (3)"/>
    <w:basedOn w:val="Normal"/>
    <w:rsid w:val="00437366"/>
    <w:pPr>
      <w:numPr>
        <w:ilvl w:val="7"/>
        <w:numId w:val="1"/>
      </w:numPr>
      <w:overflowPunct/>
      <w:autoSpaceDE/>
      <w:autoSpaceDN/>
      <w:adjustRightInd/>
      <w:spacing w:line="240" w:lineRule="auto"/>
      <w:textAlignment w:val="auto"/>
      <w:outlineLvl w:val="2"/>
    </w:pPr>
    <w:rPr>
      <w:rFonts w:ascii="Times New Roman" w:hAnsi="Times New Roman"/>
      <w:szCs w:val="24"/>
    </w:rPr>
  </w:style>
  <w:style w:type="paragraph" w:customStyle="1" w:styleId="Pointabc4">
    <w:name w:val="Point abc (4)"/>
    <w:basedOn w:val="Normal"/>
    <w:rsid w:val="00437366"/>
    <w:pPr>
      <w:numPr>
        <w:ilvl w:val="8"/>
        <w:numId w:val="1"/>
      </w:numPr>
      <w:overflowPunct/>
      <w:autoSpaceDE/>
      <w:autoSpaceDN/>
      <w:adjustRightInd/>
      <w:spacing w:line="240" w:lineRule="auto"/>
      <w:textAlignment w:val="auto"/>
      <w:outlineLvl w:val="3"/>
    </w:pPr>
    <w:rPr>
      <w:rFonts w:ascii="Times New Roman" w:hAnsi="Times New Roman"/>
      <w:szCs w:val="24"/>
    </w:rPr>
  </w:style>
  <w:style w:type="paragraph" w:customStyle="1" w:styleId="Point123">
    <w:name w:val="Point 123"/>
    <w:basedOn w:val="Normal"/>
    <w:rsid w:val="00437366"/>
    <w:pPr>
      <w:numPr>
        <w:numId w:val="1"/>
      </w:numPr>
      <w:overflowPunct/>
      <w:autoSpaceDE/>
      <w:autoSpaceDN/>
      <w:adjustRightInd/>
      <w:spacing w:before="200" w:line="240" w:lineRule="auto"/>
      <w:textAlignment w:val="auto"/>
    </w:pPr>
    <w:rPr>
      <w:rFonts w:ascii="Times New Roman" w:hAnsi="Times New Roman"/>
      <w:szCs w:val="24"/>
    </w:rPr>
  </w:style>
  <w:style w:type="paragraph" w:customStyle="1" w:styleId="Point1231">
    <w:name w:val="Point 123 (1)"/>
    <w:basedOn w:val="Normal"/>
    <w:rsid w:val="00437366"/>
    <w:pPr>
      <w:numPr>
        <w:ilvl w:val="2"/>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Point1232">
    <w:name w:val="Point 123 (2)"/>
    <w:basedOn w:val="Normal"/>
    <w:rsid w:val="00437366"/>
    <w:pPr>
      <w:numPr>
        <w:ilvl w:val="4"/>
        <w:numId w:val="1"/>
      </w:numPr>
      <w:overflowPunct/>
      <w:autoSpaceDE/>
      <w:autoSpaceDN/>
      <w:adjustRightInd/>
      <w:spacing w:line="240" w:lineRule="auto"/>
      <w:textAlignment w:val="auto"/>
      <w:outlineLvl w:val="1"/>
    </w:pPr>
    <w:rPr>
      <w:rFonts w:ascii="Times New Roman" w:hAnsi="Times New Roman"/>
      <w:szCs w:val="24"/>
    </w:rPr>
  </w:style>
  <w:style w:type="paragraph" w:customStyle="1" w:styleId="Point1233">
    <w:name w:val="Point 123 (3)"/>
    <w:basedOn w:val="Normal"/>
    <w:rsid w:val="00437366"/>
    <w:pPr>
      <w:numPr>
        <w:ilvl w:val="6"/>
        <w:numId w:val="1"/>
      </w:numPr>
      <w:overflowPunct/>
      <w:autoSpaceDE/>
      <w:autoSpaceDN/>
      <w:adjustRightInd/>
      <w:spacing w:line="240" w:lineRule="auto"/>
      <w:textAlignment w:val="auto"/>
      <w:outlineLvl w:val="2"/>
    </w:pPr>
    <w:rPr>
      <w:rFonts w:ascii="Times New Roman" w:hAnsi="Times New Roman"/>
      <w:szCs w:val="24"/>
    </w:rPr>
  </w:style>
  <w:style w:type="paragraph" w:customStyle="1" w:styleId="Dash2">
    <w:name w:val="Dash 2"/>
    <w:basedOn w:val="Normal"/>
    <w:rsid w:val="00437366"/>
    <w:pPr>
      <w:numPr>
        <w:numId w:val="2"/>
      </w:numPr>
      <w:overflowPunct/>
      <w:autoSpaceDE/>
      <w:autoSpaceDN/>
      <w:adjustRightInd/>
      <w:spacing w:line="240" w:lineRule="auto"/>
      <w:textAlignment w:val="auto"/>
      <w:outlineLvl w:val="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870E8B2E7855CF4AB026D1BF106CE452" ma:contentTypeVersion="11" ma:contentTypeDescription="Skapa ett nytt dokument." ma:contentTypeScope="" ma:versionID="4b959e72ca8994aba8c8a5ec819e7d91">
  <xsd:schema xmlns:xsd="http://www.w3.org/2001/XMLSchema" xmlns:xs="http://www.w3.org/2001/XMLSchema" xmlns:p="http://schemas.microsoft.com/office/2006/metadata/properties" xmlns:ns2="dc0cb0d3-b4db-401c-9419-d870d21d16fe" targetNamespace="http://schemas.microsoft.com/office/2006/metadata/properties" ma:root="true" ma:fieldsID="8d85c84e1511d78fe3f7b45f0b670a03" ns2:_="">
    <xsd:import namespace="dc0cb0d3-b4db-401c-9419-d870d21d16fe"/>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h13f43017dba4347ae6d03786073a212"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h13f43017dba4347ae6d03786073a212" ma:index="13" nillable="true" ma:taxonomy="true" ma:internalName="h13f43017dba4347ae6d03786073a212" ma:taxonomyFieldName="Aktivitetskategori" ma:displayName="Aktivitetskategori" ma:fieldId="{113f4301-7dba-4347-ae6d-03786073a212}"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Nyckelord xmlns="dc0cb0d3-b4db-401c-9419-d870d21d16fe" xsi:nil="true"/>
    <TaxCatchAll xmlns="dc0cb0d3-b4db-401c-9419-d870d21d16fe"/>
    <Sekretess_x0020_m.m. xmlns="dc0cb0d3-b4db-401c-9419-d870d21d16fe" xsi:nil="true"/>
    <h13f43017dba4347ae6d03786073a212 xmlns="dc0cb0d3-b4db-401c-9419-d870d21d16fe">
      <Terms xmlns="http://schemas.microsoft.com/office/infopath/2007/PartnerControls"/>
    </h13f43017dba4347ae6d03786073a212>
    <k46d94c0acf84ab9a79866a9d8b1905f xmlns="dc0cb0d3-b4db-401c-9419-d870d21d16fe">
      <Terms xmlns="http://schemas.microsoft.com/office/infopath/2007/PartnerControls"/>
    </k46d94c0acf84ab9a79866a9d8b1905f>
    <_dlc_DocId xmlns="dc0cb0d3-b4db-401c-9419-d870d21d16fe">HXH2FDT6ES47-249-1705</_dlc_DocId>
    <_dlc_DocIdUrl xmlns="dc0cb0d3-b4db-401c-9419-d870d21d16fe">
      <Url>http://rkdhs-ku/EU/_layouts/DocIdRedir.aspx?ID=HXH2FDT6ES47-249-1705</Url>
      <Description>HXH2FDT6ES47-249-1705</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D1505A9-7BEC-43A5-B24A-5C292AE92E96}">
  <ds:schemaRefs>
    <ds:schemaRef ds:uri="http://schemas.microsoft.com/office/2006/metadata/customXsn"/>
  </ds:schemaRefs>
</ds:datastoreItem>
</file>

<file path=customXml/itemProps2.xml><?xml version="1.0" encoding="utf-8"?>
<ds:datastoreItem xmlns:ds="http://schemas.openxmlformats.org/officeDocument/2006/customXml" ds:itemID="{2F34ED7A-178A-45B7-99EC-DDF5FF3C59D0}">
  <ds:schemaRefs>
    <ds:schemaRef ds:uri="http://schemas.microsoft.com/sharepoint/events"/>
  </ds:schemaRefs>
</ds:datastoreItem>
</file>

<file path=customXml/itemProps3.xml><?xml version="1.0" encoding="utf-8"?>
<ds:datastoreItem xmlns:ds="http://schemas.openxmlformats.org/officeDocument/2006/customXml" ds:itemID="{09AF9231-67BC-4703-B847-F864EFF7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3E213-3B40-4EA0-8C59-A8027E5FEAF7}">
  <ds:schemaRefs>
    <ds:schemaRef ds:uri="http://schemas.microsoft.com/sharepoint/v3/contenttype/forms"/>
  </ds:schemaRefs>
</ds:datastoreItem>
</file>

<file path=customXml/itemProps5.xml><?xml version="1.0" encoding="utf-8"?>
<ds:datastoreItem xmlns:ds="http://schemas.openxmlformats.org/officeDocument/2006/customXml" ds:itemID="{FA3EA8CF-748B-4844-8F94-7F1A2D0ABB77}">
  <ds:schemaRefs>
    <ds:schemaRef ds:uri="http://schemas.microsoft.com/office/2006/metadata/properties"/>
    <ds:schemaRef ds:uri="http://schemas.microsoft.com/office/infopath/2007/PartnerControls"/>
    <ds:schemaRef ds:uri="dc0cb0d3-b4db-401c-9419-d870d21d16fe"/>
  </ds:schemaRefs>
</ds:datastoreItem>
</file>

<file path=customXml/itemProps6.xml><?xml version="1.0" encoding="utf-8"?>
<ds:datastoreItem xmlns:ds="http://schemas.openxmlformats.org/officeDocument/2006/customXml" ds:itemID="{88ADE454-0688-4E8A-954C-0A23EE46DC2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1590</Words>
  <Characters>10439</Characters>
  <Application>Microsoft Office Word</Application>
  <DocSecurity>0</DocSecurity>
  <Lines>248</Lines>
  <Paragraphs>43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Olby</dc:creator>
  <cp:lastModifiedBy>Johan Eriksson</cp:lastModifiedBy>
  <cp:revision>3</cp:revision>
  <cp:lastPrinted>2014-11-17T13:19:00Z</cp:lastPrinted>
  <dcterms:created xsi:type="dcterms:W3CDTF">2014-11-17T13:20:00Z</dcterms:created>
  <dcterms:modified xsi:type="dcterms:W3CDTF">2014-11-17T13:20:00Z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0x01010053E1D612BA3F4E21AA250ECD751942B300870E8B2E7855CF4AB026D1BF106CE452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0f33e5e8-b1aa-40da-996f-b51680eb5464</vt:lpwstr>
  </property>
</Properties>
</file>