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6665">
        <w:tblPrEx>
          <w:tblCellMar>
            <w:top w:w="0" w:type="dxa"/>
            <w:bottom w:w="0" w:type="dxa"/>
          </w:tblCellMar>
        </w:tblPrEx>
        <w:tc>
          <w:tcPr>
            <w:tcW w:w="2268" w:type="dxa"/>
          </w:tcPr>
          <w:p w:rsidR="006E4E11" w:rsidRPr="00D1666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6665" w:rsidRDefault="006E4E11" w:rsidP="007242A3">
            <w:pPr>
              <w:framePr w:w="5035" w:h="1644" w:wrap="notBeside" w:vAnchor="page" w:hAnchor="page" w:x="6573" w:y="721"/>
              <w:rPr>
                <w:rFonts w:ascii="TradeGothic" w:hAnsi="TradeGothic"/>
                <w:i/>
                <w:sz w:val="18"/>
              </w:rPr>
            </w:pPr>
          </w:p>
        </w:tc>
      </w:tr>
      <w:tr w:rsidR="006E4E11" w:rsidRPr="00D16665">
        <w:tblPrEx>
          <w:tblCellMar>
            <w:top w:w="0" w:type="dxa"/>
            <w:bottom w:w="0" w:type="dxa"/>
          </w:tblCellMar>
        </w:tblPrEx>
        <w:tc>
          <w:tcPr>
            <w:tcW w:w="2268" w:type="dxa"/>
          </w:tcPr>
          <w:p w:rsidR="006E4E11" w:rsidRPr="00D16665" w:rsidRDefault="00856A3C" w:rsidP="007242A3">
            <w:pPr>
              <w:framePr w:w="5035" w:h="1644" w:wrap="notBeside" w:vAnchor="page" w:hAnchor="page" w:x="6573" w:y="721"/>
              <w:rPr>
                <w:rFonts w:ascii="TradeGothic" w:hAnsi="TradeGothic"/>
                <w:b/>
                <w:sz w:val="22"/>
              </w:rPr>
            </w:pPr>
            <w:r w:rsidRPr="00D16665">
              <w:rPr>
                <w:rFonts w:ascii="TradeGothic" w:hAnsi="TradeGothic"/>
                <w:b/>
                <w:sz w:val="22"/>
              </w:rPr>
              <w:t xml:space="preserve">Annoteringar </w:t>
            </w:r>
          </w:p>
        </w:tc>
        <w:tc>
          <w:tcPr>
            <w:tcW w:w="2999" w:type="dxa"/>
            <w:gridSpan w:val="2"/>
          </w:tcPr>
          <w:p w:rsidR="006E4E11" w:rsidRPr="00D16665" w:rsidRDefault="006E4E11" w:rsidP="007242A3">
            <w:pPr>
              <w:framePr w:w="5035" w:h="1644" w:wrap="notBeside" w:vAnchor="page" w:hAnchor="page" w:x="6573" w:y="721"/>
              <w:rPr>
                <w:rFonts w:ascii="TradeGothic" w:hAnsi="TradeGothic"/>
                <w:b/>
                <w:sz w:val="22"/>
              </w:rPr>
            </w:pPr>
          </w:p>
        </w:tc>
      </w:tr>
      <w:tr w:rsidR="006E4E11" w:rsidRPr="00D16665">
        <w:tblPrEx>
          <w:tblCellMar>
            <w:top w:w="0" w:type="dxa"/>
            <w:bottom w:w="0" w:type="dxa"/>
          </w:tblCellMar>
        </w:tblPrEx>
        <w:tc>
          <w:tcPr>
            <w:tcW w:w="3402" w:type="dxa"/>
            <w:gridSpan w:val="2"/>
          </w:tcPr>
          <w:p w:rsidR="006E4E11" w:rsidRPr="00D16665" w:rsidRDefault="006E4E11" w:rsidP="007242A3">
            <w:pPr>
              <w:framePr w:w="5035" w:h="1644" w:wrap="notBeside" w:vAnchor="page" w:hAnchor="page" w:x="6573" w:y="721"/>
            </w:pPr>
          </w:p>
        </w:tc>
        <w:tc>
          <w:tcPr>
            <w:tcW w:w="1865" w:type="dxa"/>
          </w:tcPr>
          <w:p w:rsidR="006E4E11" w:rsidRPr="00D16665" w:rsidRDefault="006E4E11" w:rsidP="007242A3">
            <w:pPr>
              <w:framePr w:w="5035" w:h="1644" w:wrap="notBeside" w:vAnchor="page" w:hAnchor="page" w:x="6573" w:y="721"/>
            </w:pPr>
          </w:p>
        </w:tc>
      </w:tr>
      <w:tr w:rsidR="006E4E11" w:rsidRPr="00D16665">
        <w:tblPrEx>
          <w:tblCellMar>
            <w:top w:w="0" w:type="dxa"/>
            <w:bottom w:w="0" w:type="dxa"/>
          </w:tblCellMar>
        </w:tblPrEx>
        <w:tc>
          <w:tcPr>
            <w:tcW w:w="2268" w:type="dxa"/>
          </w:tcPr>
          <w:p w:rsidR="006E4E11" w:rsidRPr="00D16665" w:rsidRDefault="00856A3C" w:rsidP="007242A3">
            <w:pPr>
              <w:framePr w:w="5035" w:h="1644" w:wrap="notBeside" w:vAnchor="page" w:hAnchor="page" w:x="6573" w:y="721"/>
            </w:pPr>
            <w:r w:rsidRPr="00D16665">
              <w:t>20</w:t>
            </w:r>
            <w:r w:rsidR="00557C90" w:rsidRPr="00D16665">
              <w:t>10-01-08</w:t>
            </w:r>
          </w:p>
        </w:tc>
        <w:tc>
          <w:tcPr>
            <w:tcW w:w="2999" w:type="dxa"/>
            <w:gridSpan w:val="2"/>
          </w:tcPr>
          <w:p w:rsidR="006E4E11" w:rsidRPr="00D16665" w:rsidRDefault="006E4E11" w:rsidP="007242A3">
            <w:pPr>
              <w:framePr w:w="5035" w:h="1644" w:wrap="notBeside" w:vAnchor="page" w:hAnchor="page" w:x="6573" w:y="721"/>
            </w:pPr>
          </w:p>
        </w:tc>
      </w:tr>
      <w:tr w:rsidR="006E4E11" w:rsidRPr="00D16665">
        <w:tblPrEx>
          <w:tblCellMar>
            <w:top w:w="0" w:type="dxa"/>
            <w:bottom w:w="0" w:type="dxa"/>
          </w:tblCellMar>
        </w:tblPrEx>
        <w:tc>
          <w:tcPr>
            <w:tcW w:w="2268" w:type="dxa"/>
          </w:tcPr>
          <w:p w:rsidR="006E4E11" w:rsidRPr="00D16665" w:rsidRDefault="006E4E11" w:rsidP="007242A3">
            <w:pPr>
              <w:framePr w:w="5035" w:h="1644" w:wrap="notBeside" w:vAnchor="page" w:hAnchor="page" w:x="6573" w:y="721"/>
            </w:pPr>
          </w:p>
        </w:tc>
        <w:tc>
          <w:tcPr>
            <w:tcW w:w="2999" w:type="dxa"/>
            <w:gridSpan w:val="2"/>
          </w:tcPr>
          <w:p w:rsidR="006E4E11" w:rsidRPr="00D1666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6665">
        <w:tblPrEx>
          <w:tblCellMar>
            <w:top w:w="0" w:type="dxa"/>
            <w:bottom w:w="0" w:type="dxa"/>
          </w:tblCellMar>
        </w:tblPrEx>
        <w:trPr>
          <w:trHeight w:val="284"/>
        </w:trPr>
        <w:tc>
          <w:tcPr>
            <w:tcW w:w="4911" w:type="dxa"/>
          </w:tcPr>
          <w:p w:rsidR="006E4E11" w:rsidRPr="00D16665" w:rsidRDefault="00856A3C">
            <w:pPr>
              <w:pStyle w:val="Avsndare"/>
              <w:framePr w:h="2483" w:wrap="notBeside" w:x="1504"/>
              <w:rPr>
                <w:b/>
                <w:i w:val="0"/>
                <w:sz w:val="22"/>
              </w:rPr>
            </w:pPr>
            <w:r w:rsidRPr="00D16665">
              <w:rPr>
                <w:b/>
                <w:i w:val="0"/>
                <w:sz w:val="22"/>
              </w:rPr>
              <w:t>Finansdepartementet</w:t>
            </w:r>
          </w:p>
        </w:tc>
      </w:tr>
      <w:tr w:rsidR="006E4E11" w:rsidRPr="00D16665">
        <w:tblPrEx>
          <w:tblCellMar>
            <w:top w:w="0" w:type="dxa"/>
            <w:bottom w:w="0" w:type="dxa"/>
          </w:tblCellMar>
        </w:tblPrEx>
        <w:trPr>
          <w:trHeight w:val="284"/>
        </w:trPr>
        <w:tc>
          <w:tcPr>
            <w:tcW w:w="4911" w:type="dxa"/>
          </w:tcPr>
          <w:p w:rsidR="006E4E11" w:rsidRPr="00D16665" w:rsidRDefault="006E4E11">
            <w:pPr>
              <w:pStyle w:val="Avsndare"/>
              <w:framePr w:h="2483" w:wrap="notBeside" w:x="1504"/>
              <w:rPr>
                <w:bCs/>
                <w:iCs/>
              </w:rPr>
            </w:pPr>
          </w:p>
        </w:tc>
      </w:tr>
      <w:tr w:rsidR="006E4E11" w:rsidRPr="00D16665">
        <w:tblPrEx>
          <w:tblCellMar>
            <w:top w:w="0" w:type="dxa"/>
            <w:bottom w:w="0" w:type="dxa"/>
          </w:tblCellMar>
        </w:tblPrEx>
        <w:trPr>
          <w:trHeight w:val="284"/>
        </w:trPr>
        <w:tc>
          <w:tcPr>
            <w:tcW w:w="4911" w:type="dxa"/>
          </w:tcPr>
          <w:p w:rsidR="006E4E11" w:rsidRPr="00D16665" w:rsidRDefault="006E4E11">
            <w:pPr>
              <w:pStyle w:val="Avsndare"/>
              <w:framePr w:h="2483" w:wrap="notBeside" w:x="1504"/>
              <w:rPr>
                <w:bCs/>
                <w:iCs/>
              </w:rPr>
            </w:pPr>
          </w:p>
        </w:tc>
      </w:tr>
      <w:tr w:rsidR="006E4E11" w:rsidRPr="00D16665">
        <w:tblPrEx>
          <w:tblCellMar>
            <w:top w:w="0" w:type="dxa"/>
            <w:bottom w:w="0" w:type="dxa"/>
          </w:tblCellMar>
        </w:tblPrEx>
        <w:trPr>
          <w:trHeight w:val="284"/>
        </w:trPr>
        <w:tc>
          <w:tcPr>
            <w:tcW w:w="4911" w:type="dxa"/>
          </w:tcPr>
          <w:p w:rsidR="006E4E11" w:rsidRPr="00D16665" w:rsidRDefault="00856A3C">
            <w:pPr>
              <w:pStyle w:val="Avsndare"/>
              <w:framePr w:h="2483" w:wrap="notBeside" w:x="1504"/>
              <w:rPr>
                <w:bCs/>
                <w:iCs/>
              </w:rPr>
            </w:pPr>
            <w:r w:rsidRPr="00D16665">
              <w:rPr>
                <w:bCs/>
                <w:iCs/>
              </w:rPr>
              <w:t>Peter Holmgren</w:t>
            </w:r>
          </w:p>
        </w:tc>
      </w:tr>
      <w:tr w:rsidR="006E4E11" w:rsidRPr="00D16665">
        <w:tblPrEx>
          <w:tblCellMar>
            <w:top w:w="0" w:type="dxa"/>
            <w:bottom w:w="0" w:type="dxa"/>
          </w:tblCellMar>
        </w:tblPrEx>
        <w:trPr>
          <w:trHeight w:val="284"/>
        </w:trPr>
        <w:tc>
          <w:tcPr>
            <w:tcW w:w="4911" w:type="dxa"/>
          </w:tcPr>
          <w:p w:rsidR="006E4E11" w:rsidRPr="00D16665" w:rsidRDefault="006E4E11">
            <w:pPr>
              <w:pStyle w:val="Avsndare"/>
              <w:framePr w:h="2483" w:wrap="notBeside" w:x="1504"/>
              <w:rPr>
                <w:bCs/>
                <w:iCs/>
              </w:rPr>
            </w:pPr>
          </w:p>
        </w:tc>
      </w:tr>
      <w:tr w:rsidR="006E4E11" w:rsidRPr="00D16665">
        <w:tblPrEx>
          <w:tblCellMar>
            <w:top w:w="0" w:type="dxa"/>
            <w:bottom w:w="0" w:type="dxa"/>
          </w:tblCellMar>
        </w:tblPrEx>
        <w:trPr>
          <w:trHeight w:val="284"/>
        </w:trPr>
        <w:tc>
          <w:tcPr>
            <w:tcW w:w="4911" w:type="dxa"/>
          </w:tcPr>
          <w:p w:rsidR="006E4E11" w:rsidRPr="00D16665" w:rsidRDefault="006E4E11">
            <w:pPr>
              <w:pStyle w:val="Avsndare"/>
              <w:framePr w:h="2483" w:wrap="notBeside" w:x="1504"/>
              <w:rPr>
                <w:bCs/>
                <w:iCs/>
              </w:rPr>
            </w:pPr>
          </w:p>
        </w:tc>
      </w:tr>
    </w:tbl>
    <w:p w:rsidR="00856A3C" w:rsidRPr="00D16665" w:rsidRDefault="00856A3C">
      <w:pPr>
        <w:framePr w:w="4400" w:h="2523" w:wrap="notBeside" w:vAnchor="page" w:hAnchor="page" w:x="6453" w:y="2445"/>
        <w:ind w:left="142"/>
      </w:pPr>
    </w:p>
    <w:p w:rsidR="00856A3C" w:rsidRPr="00D16665" w:rsidRDefault="00856A3C">
      <w:pPr>
        <w:framePr w:w="4400" w:h="2523" w:wrap="notBeside" w:vAnchor="page" w:hAnchor="page" w:x="6453" w:y="2445"/>
        <w:ind w:left="142"/>
      </w:pPr>
    </w:p>
    <w:p w:rsidR="00856A3C" w:rsidRPr="00D16665" w:rsidRDefault="00856A3C">
      <w:pPr>
        <w:framePr w:w="4400" w:h="2523" w:wrap="notBeside" w:vAnchor="page" w:hAnchor="page" w:x="6453" w:y="2445"/>
        <w:ind w:left="142"/>
      </w:pPr>
    </w:p>
    <w:p w:rsidR="00D07381" w:rsidRPr="00D16665" w:rsidRDefault="00856A3C" w:rsidP="00D07381">
      <w:pPr>
        <w:framePr w:w="4400" w:h="2523" w:wrap="notBeside" w:vAnchor="page" w:hAnchor="page" w:x="6453" w:y="2445"/>
        <w:ind w:left="142"/>
      </w:pPr>
      <w:r w:rsidRPr="00D16665">
        <w:t xml:space="preserve">Ekofinrådets möte </w:t>
      </w:r>
      <w:r w:rsidR="00D07381" w:rsidRPr="00D16665">
        <w:t>i Bryssel</w:t>
      </w:r>
    </w:p>
    <w:p w:rsidR="006E4E11" w:rsidRPr="00D16665" w:rsidRDefault="00856A3C">
      <w:pPr>
        <w:framePr w:w="4400" w:h="2523" w:wrap="notBeside" w:vAnchor="page" w:hAnchor="page" w:x="6453" w:y="2445"/>
        <w:ind w:left="142"/>
      </w:pPr>
      <w:r w:rsidRPr="00D16665">
        <w:t xml:space="preserve">den </w:t>
      </w:r>
      <w:r w:rsidR="003615CB" w:rsidRPr="00D16665">
        <w:t>19</w:t>
      </w:r>
      <w:r w:rsidR="009741D0" w:rsidRPr="00D16665">
        <w:t xml:space="preserve"> januari 20</w:t>
      </w:r>
      <w:r w:rsidR="003615CB" w:rsidRPr="00D16665">
        <w:t>10</w:t>
      </w:r>
    </w:p>
    <w:p w:rsidR="006E4E11" w:rsidRPr="00D16665" w:rsidRDefault="00856A3C" w:rsidP="00856A3C">
      <w:pPr>
        <w:pStyle w:val="RKrubrik"/>
        <w:pBdr>
          <w:bottom w:val="single" w:sz="4" w:space="1" w:color="000000"/>
        </w:pBdr>
        <w:spacing w:before="0" w:after="0"/>
      </w:pPr>
      <w:r w:rsidRPr="00D16665">
        <w:t>Kommentera</w:t>
      </w:r>
      <w:r w:rsidR="004706A2" w:rsidRPr="00D16665">
        <w:t>d</w:t>
      </w:r>
      <w:r w:rsidRPr="00D16665">
        <w:t xml:space="preserve"> dagordning</w:t>
      </w:r>
    </w:p>
    <w:p w:rsidR="006E4E11" w:rsidRPr="00D16665" w:rsidRDefault="004706A2">
      <w:pPr>
        <w:pStyle w:val="RKnormal"/>
        <w:rPr>
          <w:sz w:val="20"/>
        </w:rPr>
      </w:pPr>
      <w:r w:rsidRPr="00D16665">
        <w:rPr>
          <w:sz w:val="20"/>
        </w:rPr>
        <w:t xml:space="preserve">- enligt den preliminära dagordning som framkom vid Coreper den </w:t>
      </w:r>
      <w:r w:rsidR="003615CB" w:rsidRPr="00D16665">
        <w:rPr>
          <w:sz w:val="20"/>
        </w:rPr>
        <w:t>17 december 2009</w:t>
      </w:r>
    </w:p>
    <w:p w:rsidR="004706A2" w:rsidRPr="00D16665" w:rsidRDefault="004706A2" w:rsidP="00856A3C">
      <w:pPr>
        <w:pStyle w:val="RKnormal"/>
        <w:tabs>
          <w:tab w:val="clear" w:pos="2835"/>
          <w:tab w:val="left" w:pos="1701"/>
        </w:tabs>
        <w:rPr>
          <w:b/>
        </w:rPr>
      </w:pPr>
    </w:p>
    <w:p w:rsidR="006E4E11" w:rsidRPr="00D16665" w:rsidRDefault="00856A3C" w:rsidP="00856A3C">
      <w:pPr>
        <w:pStyle w:val="RKnormal"/>
        <w:tabs>
          <w:tab w:val="clear" w:pos="2835"/>
          <w:tab w:val="left" w:pos="1701"/>
        </w:tabs>
        <w:rPr>
          <w:b/>
        </w:rPr>
      </w:pPr>
      <w:r w:rsidRPr="00D16665">
        <w:rPr>
          <w:b/>
        </w:rPr>
        <w:t>1.</w:t>
      </w:r>
      <w:r w:rsidRPr="00D16665">
        <w:rPr>
          <w:b/>
        </w:rPr>
        <w:tab/>
        <w:t>Antagande av den preliminära dagordningen</w:t>
      </w:r>
    </w:p>
    <w:p w:rsidR="001F2632" w:rsidRPr="00D16665" w:rsidRDefault="001F2632" w:rsidP="00856A3C">
      <w:pPr>
        <w:pStyle w:val="RKnormal"/>
        <w:tabs>
          <w:tab w:val="clear" w:pos="2835"/>
          <w:tab w:val="left" w:pos="1701"/>
        </w:tabs>
      </w:pPr>
    </w:p>
    <w:p w:rsidR="00F7753D" w:rsidRPr="00D16665" w:rsidRDefault="00F7753D" w:rsidP="00856A3C">
      <w:pPr>
        <w:pStyle w:val="RKnormal"/>
        <w:tabs>
          <w:tab w:val="clear" w:pos="2835"/>
          <w:tab w:val="left" w:pos="1701"/>
        </w:tabs>
      </w:pPr>
    </w:p>
    <w:p w:rsidR="00856A3C" w:rsidRPr="00D16665" w:rsidRDefault="00856A3C" w:rsidP="00856A3C">
      <w:pPr>
        <w:pStyle w:val="RKnormal"/>
        <w:tabs>
          <w:tab w:val="clear" w:pos="2835"/>
          <w:tab w:val="left" w:pos="1701"/>
        </w:tabs>
        <w:rPr>
          <w:b/>
        </w:rPr>
      </w:pPr>
      <w:r w:rsidRPr="00D16665">
        <w:rPr>
          <w:b/>
        </w:rPr>
        <w:t>2.</w:t>
      </w:r>
      <w:r w:rsidRPr="00D16665">
        <w:rPr>
          <w:b/>
        </w:rPr>
        <w:tab/>
        <w:t>Godkännande av listan över A-punkter</w:t>
      </w:r>
    </w:p>
    <w:p w:rsidR="00856A3C" w:rsidRPr="00D16665" w:rsidRDefault="00856A3C" w:rsidP="00856A3C">
      <w:pPr>
        <w:pStyle w:val="RKnormal"/>
        <w:tabs>
          <w:tab w:val="clear" w:pos="2835"/>
          <w:tab w:val="left" w:pos="1701"/>
        </w:tabs>
      </w:pPr>
    </w:p>
    <w:p w:rsidR="009741D0" w:rsidRPr="00D16665" w:rsidRDefault="000F7186" w:rsidP="00856A3C">
      <w:pPr>
        <w:pStyle w:val="RKnormal"/>
        <w:tabs>
          <w:tab w:val="clear" w:pos="2835"/>
          <w:tab w:val="left" w:pos="1701"/>
        </w:tabs>
      </w:pPr>
      <w:r w:rsidRPr="00D16665">
        <w:t xml:space="preserve">Det finns </w:t>
      </w:r>
      <w:r w:rsidR="004F252D" w:rsidRPr="00D16665">
        <w:t xml:space="preserve">ännu </w:t>
      </w:r>
      <w:r w:rsidRPr="00D16665">
        <w:t>inga uppgifter om tänkbara a-punkter.</w:t>
      </w:r>
    </w:p>
    <w:p w:rsidR="000F7186" w:rsidRPr="00D16665" w:rsidRDefault="000F7186" w:rsidP="00856A3C">
      <w:pPr>
        <w:pStyle w:val="RKnormal"/>
        <w:tabs>
          <w:tab w:val="clear" w:pos="2835"/>
          <w:tab w:val="left" w:pos="1701"/>
        </w:tabs>
      </w:pPr>
    </w:p>
    <w:p w:rsidR="000F7186" w:rsidRPr="00D16665" w:rsidRDefault="000F7186" w:rsidP="00856A3C">
      <w:pPr>
        <w:pStyle w:val="RKnormal"/>
        <w:tabs>
          <w:tab w:val="clear" w:pos="2835"/>
          <w:tab w:val="left" w:pos="1701"/>
        </w:tabs>
      </w:pPr>
    </w:p>
    <w:p w:rsidR="001F2632" w:rsidRPr="00D16665" w:rsidRDefault="009741D0" w:rsidP="00856A3C">
      <w:pPr>
        <w:pStyle w:val="RKnormal"/>
        <w:tabs>
          <w:tab w:val="clear" w:pos="2835"/>
          <w:tab w:val="left" w:pos="1701"/>
        </w:tabs>
        <w:rPr>
          <w:b/>
        </w:rPr>
      </w:pPr>
      <w:r w:rsidRPr="00D16665">
        <w:rPr>
          <w:b/>
        </w:rPr>
        <w:t>3.</w:t>
      </w:r>
      <w:r w:rsidRPr="00D16665">
        <w:rPr>
          <w:b/>
        </w:rPr>
        <w:tab/>
        <w:t>Ordförandeskapets arbetsprogram</w:t>
      </w:r>
    </w:p>
    <w:p w:rsidR="009741D0" w:rsidRPr="00D16665" w:rsidRDefault="009741D0" w:rsidP="00856A3C">
      <w:pPr>
        <w:pStyle w:val="RKnormal"/>
        <w:tabs>
          <w:tab w:val="clear" w:pos="2835"/>
          <w:tab w:val="left" w:pos="1701"/>
        </w:tabs>
        <w:rPr>
          <w:i/>
        </w:rPr>
      </w:pPr>
      <w:r w:rsidRPr="00D16665">
        <w:rPr>
          <w:i/>
        </w:rPr>
        <w:tab/>
        <w:t xml:space="preserve">- </w:t>
      </w:r>
      <w:r w:rsidR="0035222F" w:rsidRPr="00D16665">
        <w:rPr>
          <w:i/>
        </w:rPr>
        <w:t xml:space="preserve">redovisning </w:t>
      </w:r>
      <w:r w:rsidRPr="00D16665">
        <w:rPr>
          <w:i/>
        </w:rPr>
        <w:t>och offentlig debatt</w:t>
      </w:r>
    </w:p>
    <w:p w:rsidR="009741D0" w:rsidRPr="00D16665" w:rsidRDefault="009741D0" w:rsidP="00856A3C">
      <w:pPr>
        <w:pStyle w:val="RKnormal"/>
        <w:tabs>
          <w:tab w:val="clear" w:pos="2835"/>
          <w:tab w:val="left" w:pos="1701"/>
        </w:tabs>
      </w:pPr>
    </w:p>
    <w:p w:rsidR="000F7186" w:rsidRPr="00D16665" w:rsidRDefault="000F7186" w:rsidP="00856A3C">
      <w:pPr>
        <w:pStyle w:val="RKnormal"/>
        <w:tabs>
          <w:tab w:val="clear" w:pos="2835"/>
          <w:tab w:val="left" w:pos="1701"/>
        </w:tabs>
      </w:pPr>
      <w:r w:rsidRPr="00D16665">
        <w:t xml:space="preserve">Sedvanlig </w:t>
      </w:r>
      <w:r w:rsidR="007E18BA" w:rsidRPr="00D16665">
        <w:t xml:space="preserve">redovisning av det inkommande </w:t>
      </w:r>
      <w:r w:rsidRPr="00D16665">
        <w:t>ordförandeskapets arbetsprogram för Ekofinrådet</w:t>
      </w:r>
      <w:r w:rsidR="00050A61" w:rsidRPr="00D16665">
        <w:t xml:space="preserve">. </w:t>
      </w:r>
      <w:r w:rsidRPr="00D16665">
        <w:t xml:space="preserve"> </w:t>
      </w:r>
    </w:p>
    <w:p w:rsidR="009741D0" w:rsidRPr="00D16665" w:rsidRDefault="009741D0" w:rsidP="00856A3C">
      <w:pPr>
        <w:pStyle w:val="RKnormal"/>
        <w:tabs>
          <w:tab w:val="clear" w:pos="2835"/>
          <w:tab w:val="left" w:pos="1701"/>
        </w:tabs>
      </w:pPr>
    </w:p>
    <w:p w:rsidR="00F7753D" w:rsidRPr="00D16665" w:rsidRDefault="006E6F31" w:rsidP="00856A3C">
      <w:pPr>
        <w:pStyle w:val="RKnormal"/>
        <w:tabs>
          <w:tab w:val="clear" w:pos="2835"/>
          <w:tab w:val="left" w:pos="1701"/>
        </w:tabs>
      </w:pPr>
      <w:r w:rsidRPr="00D16665">
        <w:t>Det spanska programmet lyfter fram följande prioriterade frågor;</w:t>
      </w:r>
    </w:p>
    <w:p w:rsidR="006E6F31" w:rsidRPr="00D16665" w:rsidRDefault="006E6F31" w:rsidP="00856A3C">
      <w:pPr>
        <w:pStyle w:val="RKnormal"/>
        <w:tabs>
          <w:tab w:val="clear" w:pos="2835"/>
          <w:tab w:val="left" w:pos="1701"/>
        </w:tabs>
      </w:pPr>
    </w:p>
    <w:p w:rsidR="006E6F31" w:rsidRPr="00D16665" w:rsidRDefault="006E6F31" w:rsidP="006E6F31">
      <w:pPr>
        <w:pStyle w:val="RKnormal"/>
        <w:numPr>
          <w:ilvl w:val="0"/>
          <w:numId w:val="2"/>
        </w:numPr>
        <w:tabs>
          <w:tab w:val="clear" w:pos="2835"/>
          <w:tab w:val="left" w:pos="1701"/>
        </w:tabs>
      </w:pPr>
      <w:r w:rsidRPr="00D16665">
        <w:t>genomförandet av exitstrategier för offentliga finanser</w:t>
      </w:r>
      <w:r w:rsidR="008C0F8F" w:rsidRPr="00D16665">
        <w:t xml:space="preserve"> och </w:t>
      </w:r>
      <w:r w:rsidRPr="00D16665">
        <w:t>finansmarknadsåtgärder</w:t>
      </w:r>
      <w:r w:rsidR="008C0F8F" w:rsidRPr="00D16665">
        <w:t xml:space="preserve"> samt ny struktur för finanstillsyn</w:t>
      </w:r>
      <w:r w:rsidRPr="00D16665">
        <w:t>,</w:t>
      </w:r>
    </w:p>
    <w:p w:rsidR="006E6F31" w:rsidRPr="00D16665" w:rsidRDefault="006E6F31" w:rsidP="00856A3C">
      <w:pPr>
        <w:pStyle w:val="RKnormal"/>
        <w:tabs>
          <w:tab w:val="clear" w:pos="2835"/>
          <w:tab w:val="left" w:pos="1701"/>
        </w:tabs>
      </w:pPr>
    </w:p>
    <w:p w:rsidR="006E6F31" w:rsidRPr="00D16665" w:rsidRDefault="006E6F31" w:rsidP="006E6F31">
      <w:pPr>
        <w:pStyle w:val="RKnormal"/>
        <w:numPr>
          <w:ilvl w:val="0"/>
          <w:numId w:val="2"/>
        </w:numPr>
        <w:tabs>
          <w:tab w:val="clear" w:pos="2835"/>
          <w:tab w:val="left" w:pos="1701"/>
        </w:tabs>
      </w:pPr>
      <w:r w:rsidRPr="00D16665">
        <w:t xml:space="preserve">beslut om </w:t>
      </w:r>
      <w:r w:rsidR="004F252D" w:rsidRPr="00D16665">
        <w:t xml:space="preserve">långsiktig strategi för hållbar tillväxt i form av en </w:t>
      </w:r>
      <w:r w:rsidRPr="00D16665">
        <w:t>uppföljning av Lissabonstrategin  (EU 2020),</w:t>
      </w:r>
    </w:p>
    <w:p w:rsidR="006E6F31" w:rsidRPr="00D16665" w:rsidRDefault="006E6F31" w:rsidP="00856A3C">
      <w:pPr>
        <w:pStyle w:val="RKnormal"/>
        <w:tabs>
          <w:tab w:val="clear" w:pos="2835"/>
          <w:tab w:val="left" w:pos="1701"/>
        </w:tabs>
      </w:pPr>
    </w:p>
    <w:p w:rsidR="006E6F31" w:rsidRPr="00D16665" w:rsidRDefault="006E6F31" w:rsidP="006E6F31">
      <w:pPr>
        <w:pStyle w:val="RKnormal"/>
        <w:numPr>
          <w:ilvl w:val="0"/>
          <w:numId w:val="2"/>
        </w:numPr>
        <w:tabs>
          <w:tab w:val="clear" w:pos="2835"/>
          <w:tab w:val="left" w:pos="1701"/>
        </w:tabs>
      </w:pPr>
      <w:r w:rsidRPr="00D16665">
        <w:t>förstärkning av EU:s externa dimension rörande G 20 och klimatf</w:t>
      </w:r>
      <w:r w:rsidR="004F252D" w:rsidRPr="00D16665">
        <w:t>inansiering</w:t>
      </w:r>
      <w:r w:rsidRPr="00D16665">
        <w:t>,</w:t>
      </w:r>
    </w:p>
    <w:p w:rsidR="006E6F31" w:rsidRPr="00D16665" w:rsidRDefault="006E6F31" w:rsidP="00856A3C">
      <w:pPr>
        <w:pStyle w:val="RKnormal"/>
        <w:tabs>
          <w:tab w:val="clear" w:pos="2835"/>
          <w:tab w:val="left" w:pos="1701"/>
        </w:tabs>
      </w:pPr>
    </w:p>
    <w:p w:rsidR="006E6F31" w:rsidRPr="00D16665" w:rsidRDefault="004F252D" w:rsidP="006E6F31">
      <w:pPr>
        <w:pStyle w:val="RKnormal"/>
        <w:numPr>
          <w:ilvl w:val="0"/>
          <w:numId w:val="2"/>
        </w:numPr>
        <w:tabs>
          <w:tab w:val="clear" w:pos="2835"/>
          <w:tab w:val="left" w:pos="1701"/>
        </w:tabs>
      </w:pPr>
      <w:r w:rsidRPr="00D16665">
        <w:t xml:space="preserve">fortsätta </w:t>
      </w:r>
      <w:r w:rsidR="008C0F8F" w:rsidRPr="00D16665">
        <w:t xml:space="preserve">arbetet med </w:t>
      </w:r>
      <w:r w:rsidR="006E6F31" w:rsidRPr="00D16665">
        <w:t>bedrägeribekämpning på skatteområdet,</w:t>
      </w:r>
    </w:p>
    <w:p w:rsidR="006E6F31" w:rsidRPr="00D16665" w:rsidRDefault="006E6F31" w:rsidP="00856A3C">
      <w:pPr>
        <w:pStyle w:val="RKnormal"/>
        <w:tabs>
          <w:tab w:val="clear" w:pos="2835"/>
          <w:tab w:val="left" w:pos="1701"/>
        </w:tabs>
      </w:pPr>
    </w:p>
    <w:p w:rsidR="006E6F31" w:rsidRPr="00D16665" w:rsidRDefault="004F252D" w:rsidP="006E6F31">
      <w:pPr>
        <w:pStyle w:val="RKnormal"/>
        <w:numPr>
          <w:ilvl w:val="0"/>
          <w:numId w:val="2"/>
        </w:numPr>
        <w:tabs>
          <w:tab w:val="clear" w:pos="2835"/>
          <w:tab w:val="left" w:pos="1701"/>
        </w:tabs>
      </w:pPr>
      <w:r w:rsidRPr="00D16665">
        <w:t xml:space="preserve">initiera </w:t>
      </w:r>
      <w:r w:rsidR="006E6F31" w:rsidRPr="00D16665">
        <w:t>effektivare skattesystem, inklusive energibeskattning.</w:t>
      </w:r>
    </w:p>
    <w:p w:rsidR="006E6F31" w:rsidRPr="00D16665" w:rsidRDefault="006E6F31" w:rsidP="00856A3C">
      <w:pPr>
        <w:pStyle w:val="RKnormal"/>
        <w:tabs>
          <w:tab w:val="clear" w:pos="2835"/>
          <w:tab w:val="left" w:pos="1701"/>
        </w:tabs>
      </w:pPr>
    </w:p>
    <w:p w:rsidR="00FB0CB3" w:rsidRPr="00D16665" w:rsidRDefault="006E6F31" w:rsidP="00856A3C">
      <w:pPr>
        <w:pStyle w:val="RKnormal"/>
        <w:tabs>
          <w:tab w:val="clear" w:pos="2835"/>
          <w:tab w:val="left" w:pos="1701"/>
        </w:tabs>
      </w:pPr>
      <w:r w:rsidRPr="00D16665">
        <w:t xml:space="preserve">Regeringen ställer sig bakom det spanska programmet och välkomnar </w:t>
      </w:r>
      <w:r w:rsidR="004F252D" w:rsidRPr="00D16665">
        <w:t xml:space="preserve">speciellt </w:t>
      </w:r>
      <w:r w:rsidRPr="00D16665">
        <w:t>dess fokusering på de frågor som är en direkt uppföljning av principbesluten under det svenska ordförandeskapet rö</w:t>
      </w:r>
      <w:r w:rsidR="00FB0CB3" w:rsidRPr="00D16665">
        <w:t>r</w:t>
      </w:r>
      <w:r w:rsidRPr="00D16665">
        <w:t>ande exitstra</w:t>
      </w:r>
      <w:r w:rsidRPr="00D16665">
        <w:lastRenderedPageBreak/>
        <w:t>tegier</w:t>
      </w:r>
      <w:r w:rsidR="00FB0CB3" w:rsidRPr="00D16665">
        <w:t xml:space="preserve">, ny finanstillsynsstruktur samt </w:t>
      </w:r>
      <w:r w:rsidRPr="00D16665">
        <w:t>post-Lissabon. Det är vidare</w:t>
      </w:r>
      <w:r w:rsidR="00FB0CB3" w:rsidRPr="00D16665">
        <w:t xml:space="preserve"> glädjande att </w:t>
      </w:r>
      <w:r w:rsidRPr="00D16665">
        <w:t>det spanska ordförandes</w:t>
      </w:r>
      <w:r w:rsidR="00FB0CB3" w:rsidRPr="00D16665">
        <w:t>k</w:t>
      </w:r>
      <w:r w:rsidRPr="00D16665">
        <w:t xml:space="preserve">apet </w:t>
      </w:r>
      <w:r w:rsidR="00FB0CB3" w:rsidRPr="00D16665">
        <w:t xml:space="preserve">lägger stor vikt vid att </w:t>
      </w:r>
      <w:r w:rsidR="004F252D" w:rsidRPr="00D16665">
        <w:t xml:space="preserve">fortsätta </w:t>
      </w:r>
      <w:r w:rsidR="00FB0CB3" w:rsidRPr="00D16665">
        <w:t>arbetet med bedrägeribekämpning på skatteområdet samt med att revidera energiskattedirektivet.</w:t>
      </w:r>
    </w:p>
    <w:p w:rsidR="006E6F31" w:rsidRPr="00D16665" w:rsidRDefault="00FB0CB3" w:rsidP="00856A3C">
      <w:pPr>
        <w:pStyle w:val="RKnormal"/>
        <w:tabs>
          <w:tab w:val="clear" w:pos="2835"/>
          <w:tab w:val="left" w:pos="1701"/>
        </w:tabs>
      </w:pPr>
      <w:r w:rsidRPr="00D16665">
        <w:t xml:space="preserve"> </w:t>
      </w:r>
      <w:r w:rsidR="006E6F31" w:rsidRPr="00D16665">
        <w:t xml:space="preserve">  </w:t>
      </w:r>
    </w:p>
    <w:p w:rsidR="006E6F31" w:rsidRPr="00D16665" w:rsidRDefault="006E6F31" w:rsidP="00856A3C">
      <w:pPr>
        <w:pStyle w:val="RKnormal"/>
        <w:tabs>
          <w:tab w:val="clear" w:pos="2835"/>
          <w:tab w:val="left" w:pos="1701"/>
        </w:tabs>
      </w:pPr>
    </w:p>
    <w:p w:rsidR="00557C90" w:rsidRPr="00D16665" w:rsidRDefault="00BC762F" w:rsidP="00856A3C">
      <w:pPr>
        <w:pStyle w:val="RKnormal"/>
        <w:tabs>
          <w:tab w:val="clear" w:pos="2835"/>
          <w:tab w:val="left" w:pos="1701"/>
        </w:tabs>
      </w:pPr>
      <w:r w:rsidRPr="00D16665">
        <w:rPr>
          <w:b/>
        </w:rPr>
        <w:t>4</w:t>
      </w:r>
      <w:r w:rsidR="00856A3C" w:rsidRPr="00D16665">
        <w:rPr>
          <w:b/>
        </w:rPr>
        <w:t>.</w:t>
      </w:r>
      <w:r w:rsidR="00856A3C" w:rsidRPr="00D16665">
        <w:rPr>
          <w:b/>
        </w:rPr>
        <w:tab/>
      </w:r>
      <w:r w:rsidR="00557C90" w:rsidRPr="00D16665">
        <w:rPr>
          <w:b/>
        </w:rPr>
        <w:t>Skatteärenden</w:t>
      </w:r>
      <w:r w:rsidR="00F75534" w:rsidRPr="00D16665">
        <w:rPr>
          <w:b/>
        </w:rPr>
        <w:t xml:space="preserve"> </w:t>
      </w:r>
      <w:r w:rsidR="00F75534" w:rsidRPr="00D16665">
        <w:t xml:space="preserve">(dessa ärenden kommer att behandlas </w:t>
      </w:r>
      <w:r w:rsidR="00F75534" w:rsidRPr="00D16665">
        <w:tab/>
        <w:t>som ”ett paket”)</w:t>
      </w:r>
    </w:p>
    <w:p w:rsidR="00557C90" w:rsidRPr="00D16665" w:rsidRDefault="00557C90" w:rsidP="00856A3C">
      <w:pPr>
        <w:pStyle w:val="RKnormal"/>
        <w:tabs>
          <w:tab w:val="clear" w:pos="2835"/>
          <w:tab w:val="left" w:pos="1701"/>
        </w:tabs>
        <w:rPr>
          <w:b/>
        </w:rPr>
      </w:pPr>
    </w:p>
    <w:p w:rsidR="00557C90" w:rsidRPr="00D16665" w:rsidRDefault="00557C90" w:rsidP="00856A3C">
      <w:pPr>
        <w:pStyle w:val="RKnormal"/>
        <w:tabs>
          <w:tab w:val="clear" w:pos="2835"/>
          <w:tab w:val="left" w:pos="1701"/>
        </w:tabs>
        <w:rPr>
          <w:b/>
        </w:rPr>
      </w:pPr>
      <w:r w:rsidRPr="00D16665">
        <w:rPr>
          <w:b/>
        </w:rPr>
        <w:t>4.1   Sparandedirektivet</w:t>
      </w:r>
    </w:p>
    <w:p w:rsidR="00557C90" w:rsidRPr="00D16665" w:rsidRDefault="00557C90" w:rsidP="00856A3C">
      <w:pPr>
        <w:pStyle w:val="RKnormal"/>
        <w:tabs>
          <w:tab w:val="clear" w:pos="2835"/>
          <w:tab w:val="left" w:pos="1701"/>
        </w:tabs>
        <w:rPr>
          <w:i/>
        </w:rPr>
      </w:pPr>
      <w:r w:rsidRPr="00D16665">
        <w:rPr>
          <w:i/>
        </w:rPr>
        <w:t xml:space="preserve">        - politisk överenskommelse</w:t>
      </w:r>
    </w:p>
    <w:p w:rsidR="00557C90" w:rsidRPr="00D16665" w:rsidRDefault="00557C90" w:rsidP="00856A3C">
      <w:pPr>
        <w:pStyle w:val="RKnormal"/>
        <w:tabs>
          <w:tab w:val="clear" w:pos="2835"/>
          <w:tab w:val="left" w:pos="1701"/>
        </w:tabs>
      </w:pPr>
    </w:p>
    <w:p w:rsidR="00FB6B28" w:rsidRPr="00D16665" w:rsidRDefault="00FB6B28" w:rsidP="00FB6B28">
      <w:pPr>
        <w:pStyle w:val="RKnormal"/>
      </w:pPr>
      <w:r w:rsidRPr="00D16665">
        <w:t>Förslaget till ändringsdirektiv avseende sparandedirektivet togs bort från agendan vid Ekofinmötet den 2 december. Samma förslag läggs nu åter fram för politisk överenskommelse.</w:t>
      </w:r>
    </w:p>
    <w:p w:rsidR="00FB6B28" w:rsidRPr="00D16665" w:rsidRDefault="00FB6B28" w:rsidP="00FB6B28">
      <w:pPr>
        <w:pStyle w:val="RKnormal"/>
      </w:pPr>
    </w:p>
    <w:p w:rsidR="00FB6B28" w:rsidRPr="00D16665" w:rsidRDefault="00FB6B28" w:rsidP="00FB6B28">
      <w:pPr>
        <w:pStyle w:val="RKnormal"/>
      </w:pPr>
      <w:r w:rsidRPr="00D16665">
        <w:t xml:space="preserve">Kommissionens förslag syftar till att täppa till de kryphål som uppmärksammats under direktivets tillämpning och att höja kvaliteten på den information som utbyts. Förslaget har väsentligt omarbetats under det svenska ordförandeskapet, inte minst med sikte på att göra texten mer begriplig. </w:t>
      </w:r>
    </w:p>
    <w:p w:rsidR="00FB6B28" w:rsidRPr="00D16665" w:rsidRDefault="00FB6B28" w:rsidP="00FB6B28">
      <w:pPr>
        <w:pStyle w:val="RKnormal"/>
      </w:pPr>
    </w:p>
    <w:p w:rsidR="00FB6B28" w:rsidRPr="00D16665" w:rsidRDefault="00FB6B28" w:rsidP="00FB6B28">
      <w:r w:rsidRPr="00D16665">
        <w:t>Ändringsförslaget avser huvudsakligen följande förändringar i förhållande till det nu gällande direktivet:</w:t>
      </w:r>
    </w:p>
    <w:p w:rsidR="004F252D" w:rsidRPr="00D16665" w:rsidRDefault="004F252D" w:rsidP="00FB6B28"/>
    <w:p w:rsidR="00FB6B28" w:rsidRPr="00D16665" w:rsidRDefault="00FB6B28" w:rsidP="004F252D">
      <w:pPr>
        <w:numPr>
          <w:ilvl w:val="0"/>
          <w:numId w:val="7"/>
        </w:numPr>
      </w:pPr>
      <w:r w:rsidRPr="00D16665">
        <w:t xml:space="preserve">räntebetalningar som går via obeskattade juridiska konstruktioner utanför EU(vilka utpekas i en bilaga till direktivet) till fysiska betalningsmottagare inom EU, ska omfattats av sparandedirektivet genom en s.k. genomlysningsmetod, </w:t>
      </w:r>
    </w:p>
    <w:p w:rsidR="00FB6B28" w:rsidRPr="00D16665" w:rsidRDefault="00FB6B28" w:rsidP="004F252D">
      <w:pPr>
        <w:numPr>
          <w:ilvl w:val="0"/>
          <w:numId w:val="7"/>
        </w:numPr>
      </w:pPr>
      <w:r w:rsidRPr="00D16665">
        <w:t xml:space="preserve">konstruktionen ’betalningsombud vid mottagande av en räntebetalning’ utvidgas till att omfatta flera obeskattade juridiska konstruktioner (vilka utpekas i en bilaga till direktivet), </w:t>
      </w:r>
    </w:p>
    <w:p w:rsidR="00FB6B28" w:rsidRPr="00D16665" w:rsidRDefault="00FB6B28" w:rsidP="004F252D">
      <w:pPr>
        <w:numPr>
          <w:ilvl w:val="0"/>
          <w:numId w:val="7"/>
        </w:numPr>
      </w:pPr>
      <w:r w:rsidRPr="00D16665">
        <w:t>införande av begreppet ’place of effective management’ för att i vissa fall fastställa var en juridisk konstruktion hör hemma,</w:t>
      </w:r>
    </w:p>
    <w:p w:rsidR="00FB6B28" w:rsidRPr="00D16665" w:rsidRDefault="00FB6B28" w:rsidP="004F252D">
      <w:pPr>
        <w:numPr>
          <w:ilvl w:val="0"/>
          <w:numId w:val="7"/>
        </w:numPr>
      </w:pPr>
      <w:r w:rsidRPr="00D16665">
        <w:t>utökande av tillämpningsområdet till att omfatta vissa strukturerade investeringsprodukter och vissa livförsäkringar, och</w:t>
      </w:r>
    </w:p>
    <w:p w:rsidR="00FB6B28" w:rsidRPr="00D16665" w:rsidRDefault="00FB6B28" w:rsidP="004F252D">
      <w:pPr>
        <w:pStyle w:val="RKnormal"/>
        <w:numPr>
          <w:ilvl w:val="0"/>
          <w:numId w:val="7"/>
        </w:numPr>
      </w:pPr>
      <w:r w:rsidRPr="00D16665">
        <w:t>införande av ett kommittéförfarande för vissa rent tekniska frågor.</w:t>
      </w:r>
    </w:p>
    <w:p w:rsidR="00FB6B28" w:rsidRPr="00D16665" w:rsidRDefault="00FB6B28" w:rsidP="00FB6B28">
      <w:pPr>
        <w:pStyle w:val="RKnormal"/>
      </w:pPr>
    </w:p>
    <w:p w:rsidR="00FB6B28" w:rsidRPr="00D16665" w:rsidRDefault="00FB6B28" w:rsidP="00FB6B28">
      <w:pPr>
        <w:pStyle w:val="RKnormal"/>
      </w:pPr>
      <w:r w:rsidRPr="00D16665">
        <w:t xml:space="preserve">Regeringen anser att det är angeläget att kvaliteten på den information som utbyts enligt sparandedirektivet förbättras och att de kryphål som uppmärksammats täpps till och välkomnar därför ändringsförslagen. </w:t>
      </w:r>
    </w:p>
    <w:p w:rsidR="00557C90" w:rsidRPr="00D16665" w:rsidRDefault="00557C90" w:rsidP="00856A3C">
      <w:pPr>
        <w:pStyle w:val="RKnormal"/>
        <w:tabs>
          <w:tab w:val="clear" w:pos="2835"/>
          <w:tab w:val="left" w:pos="1701"/>
        </w:tabs>
      </w:pPr>
    </w:p>
    <w:p w:rsidR="00FB6B28" w:rsidRPr="00D16665" w:rsidRDefault="00FB6B28"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557C90" w:rsidRPr="00D16665" w:rsidRDefault="00557C90" w:rsidP="00856A3C">
      <w:pPr>
        <w:pStyle w:val="RKnormal"/>
        <w:tabs>
          <w:tab w:val="clear" w:pos="2835"/>
          <w:tab w:val="left" w:pos="1701"/>
        </w:tabs>
        <w:rPr>
          <w:b/>
        </w:rPr>
      </w:pPr>
      <w:r w:rsidRPr="00D16665">
        <w:rPr>
          <w:b/>
        </w:rPr>
        <w:t>4.2   Indrivningsdirektivet</w:t>
      </w:r>
    </w:p>
    <w:p w:rsidR="00557C90" w:rsidRPr="00D16665" w:rsidRDefault="00557C90" w:rsidP="00856A3C">
      <w:pPr>
        <w:pStyle w:val="RKnormal"/>
        <w:tabs>
          <w:tab w:val="clear" w:pos="2835"/>
          <w:tab w:val="left" w:pos="1701"/>
        </w:tabs>
        <w:rPr>
          <w:i/>
        </w:rPr>
      </w:pPr>
      <w:r w:rsidRPr="00D16665">
        <w:rPr>
          <w:i/>
        </w:rPr>
        <w:t xml:space="preserve">        - allmän</w:t>
      </w:r>
      <w:r w:rsidR="00D27F9E" w:rsidRPr="00D16665">
        <w:rPr>
          <w:i/>
        </w:rPr>
        <w:t xml:space="preserve"> riktlinje</w:t>
      </w:r>
    </w:p>
    <w:p w:rsidR="00557C90" w:rsidRPr="00D16665" w:rsidRDefault="00557C90" w:rsidP="00856A3C">
      <w:pPr>
        <w:pStyle w:val="RKnormal"/>
        <w:tabs>
          <w:tab w:val="clear" w:pos="2835"/>
          <w:tab w:val="left" w:pos="1701"/>
        </w:tabs>
      </w:pPr>
    </w:p>
    <w:p w:rsidR="004938B1" w:rsidRPr="00D16665" w:rsidRDefault="004938B1" w:rsidP="004938B1">
      <w:pPr>
        <w:pStyle w:val="RKnormal"/>
      </w:pPr>
      <w:r w:rsidRPr="00D16665">
        <w:t>I enlighet med slutsatserna från Ekofinrådet i juni 2009 tog det svenska ordförandeskapet fram ett utkast till allmän riktlinje rörande förslaget till nytt direktiv om ömsesidigt bistånd med indrivning av skatt m.m. Förslaget lades fram i februari 2009 och är avsett att ersätta det nu gällande direktiver 2008/55/EG (kodifierad version). Det ursprungliga direktivet antogs 1976.</w:t>
      </w:r>
    </w:p>
    <w:p w:rsidR="004938B1" w:rsidRPr="00D16665" w:rsidRDefault="004938B1" w:rsidP="004938B1">
      <w:pPr>
        <w:pStyle w:val="RKnormal"/>
      </w:pPr>
    </w:p>
    <w:p w:rsidR="004938B1" w:rsidRPr="00D16665" w:rsidRDefault="004938B1" w:rsidP="004938B1">
      <w:pPr>
        <w:pStyle w:val="RKnormal"/>
      </w:pPr>
      <w:r w:rsidRPr="00D16665">
        <w:t xml:space="preserve">Till de viktigare nyheterna hör att det föreslås; </w:t>
      </w:r>
    </w:p>
    <w:p w:rsidR="004F252D" w:rsidRPr="00D16665" w:rsidRDefault="004F252D" w:rsidP="004938B1">
      <w:pPr>
        <w:pStyle w:val="RKnormal"/>
      </w:pPr>
    </w:p>
    <w:p w:rsidR="004938B1" w:rsidRPr="00D16665" w:rsidRDefault="004938B1" w:rsidP="004F252D">
      <w:pPr>
        <w:pStyle w:val="RKnormal"/>
        <w:numPr>
          <w:ilvl w:val="0"/>
          <w:numId w:val="7"/>
        </w:numPr>
      </w:pPr>
      <w:r w:rsidRPr="00D16665">
        <w:t xml:space="preserve">en reglering av möjligheter till delegerat samarbete (t.ex. till lokal nivå), </w:t>
      </w:r>
    </w:p>
    <w:p w:rsidR="004938B1" w:rsidRPr="00D16665" w:rsidRDefault="004938B1" w:rsidP="004F252D">
      <w:pPr>
        <w:pStyle w:val="RKnormal"/>
        <w:numPr>
          <w:ilvl w:val="0"/>
          <w:numId w:val="7"/>
        </w:numPr>
      </w:pPr>
      <w:r w:rsidRPr="00D16665">
        <w:t xml:space="preserve">ett vidgat tillämpningsområde för direktivet (till alla skatter och avgifter), </w:t>
      </w:r>
    </w:p>
    <w:p w:rsidR="004938B1" w:rsidRPr="00D16665" w:rsidRDefault="004938B1" w:rsidP="004F252D">
      <w:pPr>
        <w:pStyle w:val="RKnormal"/>
        <w:numPr>
          <w:ilvl w:val="0"/>
          <w:numId w:val="7"/>
        </w:numPr>
      </w:pPr>
      <w:r w:rsidRPr="00D16665">
        <w:t>införande av ett s.k. enhetligt dokument som kan ligga till grund för verkställighet i den anmodade medlemsstaten utan någon mellanliggande prövning eller komplettering,</w:t>
      </w:r>
    </w:p>
    <w:p w:rsidR="004938B1" w:rsidRPr="00D16665" w:rsidRDefault="004938B1" w:rsidP="004F252D">
      <w:pPr>
        <w:pStyle w:val="RKnormal"/>
        <w:numPr>
          <w:ilvl w:val="0"/>
          <w:numId w:val="7"/>
        </w:numPr>
      </w:pPr>
      <w:r w:rsidRPr="00D16665">
        <w:t xml:space="preserve">utbyte av information om förestående återbetalningar av skatt (för att dessa ska kunna tas i anspråk för skatteskulder i en annan medlemsstat), och </w:t>
      </w:r>
    </w:p>
    <w:p w:rsidR="004938B1" w:rsidRPr="00D16665" w:rsidRDefault="004938B1" w:rsidP="004F252D">
      <w:pPr>
        <w:pStyle w:val="RKnormal"/>
        <w:numPr>
          <w:ilvl w:val="0"/>
          <w:numId w:val="7"/>
        </w:numPr>
      </w:pPr>
      <w:r w:rsidRPr="00D16665">
        <w:t xml:space="preserve">övergång till i princip enbart elektronisk kommunikation. </w:t>
      </w:r>
    </w:p>
    <w:p w:rsidR="004938B1" w:rsidRPr="00D16665" w:rsidRDefault="004938B1" w:rsidP="004938B1">
      <w:pPr>
        <w:pStyle w:val="RKnormal"/>
      </w:pPr>
    </w:p>
    <w:p w:rsidR="004938B1" w:rsidRPr="00D16665" w:rsidRDefault="004938B1" w:rsidP="004938B1">
      <w:pPr>
        <w:pStyle w:val="RKnormal"/>
      </w:pPr>
      <w:r w:rsidRPr="00D16665">
        <w:t xml:space="preserve">Andra nyheter i förslaget är bestämmelser om rätt för tjänstemän från en medlemsstat att närvara vid utredningar m.m. i en annan medlemsstat, och bestämmelser om att information som har inhämtats från en annan medlemsstat under vissa förutsättningar får användas för andra ändamål än indrivning och även vidarebefordras till en tredje medlemsstat. </w:t>
      </w:r>
    </w:p>
    <w:p w:rsidR="004938B1" w:rsidRPr="00D16665" w:rsidRDefault="004938B1" w:rsidP="004938B1">
      <w:pPr>
        <w:pStyle w:val="RKnormal"/>
      </w:pPr>
    </w:p>
    <w:p w:rsidR="004938B1" w:rsidRPr="00D16665" w:rsidRDefault="004938B1" w:rsidP="004938B1">
      <w:pPr>
        <w:pStyle w:val="RKnormal"/>
      </w:pPr>
      <w:r w:rsidRPr="00D16665">
        <w:t xml:space="preserve">Regeringen välkomnar ett nytt direktiv på detta område, som öppnar för ett effektivare samarbete, men har liksom en stor del av medlemsstaterna bedömt kommissionens förslag som alltför långtgående bl.a. när det gäller medverkan i utredningar i en annan medlemsstat och spridning och användning av mottagen information. Under det svenska ordförandeskapet har förslaget i dessa delar ändrats väsentligt, så att det nu har en för oss acceptabel utformning. </w:t>
      </w:r>
    </w:p>
    <w:p w:rsidR="004938B1" w:rsidRPr="00D16665" w:rsidRDefault="004938B1" w:rsidP="004938B1">
      <w:pPr>
        <w:pStyle w:val="RKnormal"/>
      </w:pPr>
    </w:p>
    <w:p w:rsidR="004938B1" w:rsidRPr="00D16665" w:rsidRDefault="004938B1" w:rsidP="004938B1">
      <w:pPr>
        <w:pStyle w:val="RKnormal"/>
      </w:pPr>
      <w:r w:rsidRPr="00D16665">
        <w:t>Det förslag som nu läggs fram är densamma som var avsett att behandlas vid Ekofinrådets möte den 2 december 2009. Dagordningspunkten ströks dock vid det mötet.</w:t>
      </w:r>
    </w:p>
    <w:p w:rsidR="004938B1" w:rsidRPr="00D16665" w:rsidRDefault="004938B1"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4F252D" w:rsidRPr="00D16665" w:rsidRDefault="004F252D" w:rsidP="00856A3C">
      <w:pPr>
        <w:pStyle w:val="RKnormal"/>
        <w:tabs>
          <w:tab w:val="clear" w:pos="2835"/>
          <w:tab w:val="left" w:pos="1701"/>
        </w:tabs>
      </w:pPr>
    </w:p>
    <w:p w:rsidR="00557C90" w:rsidRPr="00D16665" w:rsidRDefault="00557C90" w:rsidP="00856A3C">
      <w:pPr>
        <w:pStyle w:val="RKnormal"/>
        <w:tabs>
          <w:tab w:val="clear" w:pos="2835"/>
          <w:tab w:val="left" w:pos="1701"/>
        </w:tabs>
        <w:rPr>
          <w:b/>
        </w:rPr>
      </w:pPr>
      <w:r w:rsidRPr="00D16665">
        <w:rPr>
          <w:b/>
        </w:rPr>
        <w:t>4.3   Direktiv om administrativt samarbete</w:t>
      </w:r>
    </w:p>
    <w:p w:rsidR="00557C90" w:rsidRPr="00D16665" w:rsidRDefault="00557C90" w:rsidP="00856A3C">
      <w:pPr>
        <w:pStyle w:val="RKnormal"/>
        <w:tabs>
          <w:tab w:val="clear" w:pos="2835"/>
          <w:tab w:val="left" w:pos="1701"/>
        </w:tabs>
        <w:rPr>
          <w:i/>
        </w:rPr>
      </w:pPr>
      <w:r w:rsidRPr="00D16665">
        <w:rPr>
          <w:i/>
        </w:rPr>
        <w:t xml:space="preserve">        - allmän</w:t>
      </w:r>
      <w:r w:rsidR="00D27F9E" w:rsidRPr="00D16665">
        <w:rPr>
          <w:i/>
        </w:rPr>
        <w:t xml:space="preserve"> riktlinje</w:t>
      </w:r>
    </w:p>
    <w:p w:rsidR="002323A0" w:rsidRPr="00D16665" w:rsidRDefault="002323A0" w:rsidP="002323A0">
      <w:pPr>
        <w:pStyle w:val="RKnormal"/>
      </w:pPr>
    </w:p>
    <w:p w:rsidR="007F62C7" w:rsidRPr="00D16665" w:rsidRDefault="007F62C7" w:rsidP="007F62C7">
      <w:pPr>
        <w:pStyle w:val="RKnormal"/>
      </w:pPr>
      <w:r w:rsidRPr="00D16665">
        <w:t>Rådet ska anta en allmän inriktning rörande ett förslag till nytt direktiv för administrativt samarbete i fråga om beskattning. Förslaget innehåller följande väsentliga skillnader jämfört med det nu gällande direktivet:</w:t>
      </w:r>
      <w:r w:rsidRPr="00D16665">
        <w:br/>
      </w:r>
    </w:p>
    <w:p w:rsidR="007F62C7" w:rsidRPr="00D16665" w:rsidRDefault="007F62C7" w:rsidP="007F62C7">
      <w:pPr>
        <w:pStyle w:val="RKnormal"/>
        <w:numPr>
          <w:ilvl w:val="0"/>
          <w:numId w:val="10"/>
        </w:numPr>
      </w:pPr>
      <w:r w:rsidRPr="00D16665">
        <w:t xml:space="preserve">Utökat tillämpningsområde. </w:t>
      </w:r>
    </w:p>
    <w:p w:rsidR="007F62C7" w:rsidRPr="00D16665" w:rsidRDefault="007F62C7" w:rsidP="007F62C7">
      <w:pPr>
        <w:pStyle w:val="RKnormal"/>
        <w:numPr>
          <w:ilvl w:val="0"/>
          <w:numId w:val="10"/>
        </w:numPr>
      </w:pPr>
      <w:r w:rsidRPr="00D16665">
        <w:t>OECD:s standard för informationsutbyte på begäran gäller.</w:t>
      </w:r>
    </w:p>
    <w:p w:rsidR="007F62C7" w:rsidRPr="00D16665" w:rsidRDefault="007F62C7" w:rsidP="007F62C7">
      <w:pPr>
        <w:pStyle w:val="RKnormal"/>
        <w:numPr>
          <w:ilvl w:val="0"/>
          <w:numId w:val="10"/>
        </w:numPr>
      </w:pPr>
      <w:r w:rsidRPr="00D16665">
        <w:t>Automatiskt informationsutbyte rörande vissa inkomster.</w:t>
      </w:r>
    </w:p>
    <w:p w:rsidR="007F62C7" w:rsidRPr="00D16665" w:rsidRDefault="007F62C7" w:rsidP="007F62C7">
      <w:pPr>
        <w:pStyle w:val="RKnormal"/>
        <w:numPr>
          <w:ilvl w:val="0"/>
          <w:numId w:val="10"/>
        </w:numPr>
      </w:pPr>
      <w:r w:rsidRPr="00D16665">
        <w:t>Ett mer effektivt informationsutbyte genom gemensamma tekniska format.</w:t>
      </w:r>
      <w:r w:rsidRPr="00D16665">
        <w:br/>
      </w:r>
    </w:p>
    <w:p w:rsidR="007F62C7" w:rsidRPr="00D16665" w:rsidRDefault="007F62C7" w:rsidP="007F62C7">
      <w:pPr>
        <w:pStyle w:val="RKnormal"/>
      </w:pPr>
      <w:r w:rsidRPr="00D16665">
        <w:t xml:space="preserve">Kommissionen lämnade sitt ursprungliga förslag i februari 2009 vilket har bearbetats i arbetsgrupp under det svenska ordförandeskapet, som också hade förslaget på dagordningen vid november- och december-Ekofin 2009. Vid dessa sammanträden kunde dock av olika skäl ingen överenskommelse nås. När det spanska ordförandeskapet nu åter tar upp frågan är det samma text som lades fram vid de tidigare sammanträdena. </w:t>
      </w:r>
    </w:p>
    <w:p w:rsidR="007F62C7" w:rsidRPr="00D16665" w:rsidRDefault="007F62C7" w:rsidP="007F62C7">
      <w:pPr>
        <w:pStyle w:val="RKnormal"/>
      </w:pPr>
    </w:p>
    <w:p w:rsidR="00557C90" w:rsidRPr="00D16665" w:rsidRDefault="007F62C7" w:rsidP="007F62C7">
      <w:pPr>
        <w:pStyle w:val="RKnormal"/>
        <w:tabs>
          <w:tab w:val="clear" w:pos="2835"/>
          <w:tab w:val="left" w:pos="1701"/>
        </w:tabs>
      </w:pPr>
      <w:r w:rsidRPr="00D16665">
        <w:t xml:space="preserve">Regeringen ser frågan om en utbyggnad och effektivisering av samarbetet på detta område som viktig och välkomnar det nu liggande förslaget till nytt direktiv. </w:t>
      </w:r>
      <w:r w:rsidRPr="00D16665">
        <w:br/>
      </w:r>
    </w:p>
    <w:p w:rsidR="00557C90" w:rsidRPr="00D16665" w:rsidRDefault="00557C90" w:rsidP="00856A3C">
      <w:pPr>
        <w:pStyle w:val="RKnormal"/>
        <w:tabs>
          <w:tab w:val="clear" w:pos="2835"/>
          <w:tab w:val="left" w:pos="1701"/>
        </w:tabs>
      </w:pPr>
    </w:p>
    <w:p w:rsidR="00557C90" w:rsidRPr="00D16665" w:rsidRDefault="00557C90" w:rsidP="00856A3C">
      <w:pPr>
        <w:pStyle w:val="RKnormal"/>
        <w:tabs>
          <w:tab w:val="clear" w:pos="2835"/>
          <w:tab w:val="left" w:pos="1701"/>
        </w:tabs>
        <w:rPr>
          <w:b/>
        </w:rPr>
      </w:pPr>
      <w:r w:rsidRPr="00D16665">
        <w:rPr>
          <w:b/>
        </w:rPr>
        <w:t xml:space="preserve">4.4   </w:t>
      </w:r>
      <w:r w:rsidR="001A3B22" w:rsidRPr="00D16665">
        <w:rPr>
          <w:b/>
        </w:rPr>
        <w:t xml:space="preserve">Bedrägeribekämpningsavtal </w:t>
      </w:r>
      <w:r w:rsidRPr="00D16665">
        <w:rPr>
          <w:b/>
        </w:rPr>
        <w:t>med tredje land</w:t>
      </w:r>
    </w:p>
    <w:p w:rsidR="00557C90" w:rsidRPr="00D16665" w:rsidRDefault="00557C90" w:rsidP="00856A3C">
      <w:pPr>
        <w:pStyle w:val="RKnormal"/>
        <w:tabs>
          <w:tab w:val="clear" w:pos="2835"/>
          <w:tab w:val="left" w:pos="1701"/>
        </w:tabs>
        <w:rPr>
          <w:i/>
        </w:rPr>
      </w:pPr>
      <w:r w:rsidRPr="00D16665">
        <w:rPr>
          <w:i/>
        </w:rPr>
        <w:t xml:space="preserve">        - allmän </w:t>
      </w:r>
      <w:r w:rsidR="00D27F9E" w:rsidRPr="00D16665">
        <w:rPr>
          <w:i/>
        </w:rPr>
        <w:t xml:space="preserve">riktlinje </w:t>
      </w:r>
      <w:r w:rsidRPr="00D16665">
        <w:rPr>
          <w:i/>
        </w:rPr>
        <w:t>om avtal med Liechtenstein</w:t>
      </w:r>
    </w:p>
    <w:p w:rsidR="00557C90" w:rsidRPr="00D16665" w:rsidRDefault="00557C90" w:rsidP="00856A3C">
      <w:pPr>
        <w:pStyle w:val="RKnormal"/>
        <w:tabs>
          <w:tab w:val="clear" w:pos="2835"/>
          <w:tab w:val="left" w:pos="1701"/>
        </w:tabs>
        <w:rPr>
          <w:i/>
        </w:rPr>
      </w:pPr>
      <w:r w:rsidRPr="00D16665">
        <w:rPr>
          <w:i/>
        </w:rPr>
        <w:t xml:space="preserve">        - antagande av mandat för avtal med andra länder </w:t>
      </w:r>
    </w:p>
    <w:p w:rsidR="00002E7D" w:rsidRPr="00D16665" w:rsidRDefault="00002E7D" w:rsidP="00856A3C">
      <w:pPr>
        <w:pStyle w:val="RKnormal"/>
        <w:tabs>
          <w:tab w:val="clear" w:pos="2835"/>
          <w:tab w:val="left" w:pos="1701"/>
        </w:tabs>
      </w:pPr>
    </w:p>
    <w:p w:rsidR="007F62C7" w:rsidRPr="00D16665" w:rsidRDefault="007F62C7" w:rsidP="007F62C7">
      <w:pPr>
        <w:pStyle w:val="RKnormal"/>
      </w:pPr>
      <w:r w:rsidRPr="00D16665">
        <w:t xml:space="preserve">Rådet ska anta en allmän inriktning rörande ett antibedrägeriavtal med Liechtenstein. Förhandlingarna med Liechtenstein inleddes 2006. Avtalet syftar till att säkerställa administrativ och rättslig hjälp för en fullständig tillämpning av gällande gemenskapsrätt, särskilt i fråga om bedrägeribekämpning. Under förhandlingarnas gång har avtalet utvidgats till att omfatta även informationsutbyte i administrativa skatteärenden enligt OECD:s internationellt vedertagna standard. </w:t>
      </w:r>
      <w:r w:rsidRPr="00D16665">
        <w:br/>
      </w:r>
      <w:r w:rsidRPr="00D16665">
        <w:br/>
        <w:t>Kopplat till avtalet med Liechtenstein finns antagandet av ett förhandlingsmandat som ger kommissionen mandat att förhandla om liknande avtal med Andorra, Monaco, Schweiz och San Marino. Dessa stater har liksom Liechtenstein ett nära samarbete med EU, varför avtalen är viktiga. Beträffande Schweiz är det fråga om att komplettera ett redan befintligt antibedrägeriavtal, främst vad avser avtalets tillämpningsområde för direkta skatter och informationsutbyte i administrativa skatteärenden i enlighet med OECD:s standard.</w:t>
      </w:r>
      <w:r w:rsidRPr="00D16665">
        <w:br/>
      </w:r>
      <w:r w:rsidRPr="00D16665">
        <w:br/>
        <w:t>Texterna till avtalet och mandatet är desamma som lades fram av det svenska ordförandeskapet vid oktober- och december-Ekofin 2009. Vid dessa sammanträden kunde dock av olika skäl ingen överenskommelse nås.</w:t>
      </w:r>
    </w:p>
    <w:p w:rsidR="007F62C7" w:rsidRPr="00D16665" w:rsidRDefault="007F62C7" w:rsidP="007F62C7">
      <w:pPr>
        <w:pStyle w:val="RKnormal"/>
      </w:pPr>
    </w:p>
    <w:p w:rsidR="007F62C7" w:rsidRPr="00D16665" w:rsidRDefault="007F62C7" w:rsidP="007F62C7">
      <w:pPr>
        <w:pStyle w:val="RKnormal"/>
        <w:rPr>
          <w:b/>
        </w:rPr>
      </w:pPr>
      <w:r w:rsidRPr="00D16665">
        <w:t>Regeringen ser det som angeläget att stater som har ett nära samarbete med Europeiska unionen lämnar information enligt OECD:s principer i skatteärenden och välkomnar därför antibedrägeriavtalet med Liechtenstein och förhandlingar om liknande avtal med Andorra, Monaco, San Marino och Schweiz.</w:t>
      </w:r>
    </w:p>
    <w:p w:rsidR="002323A0" w:rsidRPr="00D16665" w:rsidRDefault="002323A0" w:rsidP="002323A0">
      <w:pPr>
        <w:pStyle w:val="RKnormal"/>
      </w:pPr>
    </w:p>
    <w:p w:rsidR="00557C90" w:rsidRPr="00D16665" w:rsidRDefault="00557C90" w:rsidP="00856A3C">
      <w:pPr>
        <w:pStyle w:val="RKnormal"/>
        <w:tabs>
          <w:tab w:val="clear" w:pos="2835"/>
          <w:tab w:val="left" w:pos="1701"/>
        </w:tabs>
      </w:pPr>
    </w:p>
    <w:p w:rsidR="00856A3C" w:rsidRPr="00D16665" w:rsidRDefault="00BC762F" w:rsidP="00856A3C">
      <w:pPr>
        <w:pStyle w:val="RKnormal"/>
        <w:tabs>
          <w:tab w:val="clear" w:pos="2835"/>
          <w:tab w:val="left" w:pos="1701"/>
        </w:tabs>
        <w:rPr>
          <w:b/>
        </w:rPr>
      </w:pPr>
      <w:r w:rsidRPr="00D16665">
        <w:rPr>
          <w:b/>
        </w:rPr>
        <w:t>5</w:t>
      </w:r>
      <w:r w:rsidR="00856A3C" w:rsidRPr="00D16665">
        <w:rPr>
          <w:b/>
        </w:rPr>
        <w:t>.</w:t>
      </w:r>
      <w:r w:rsidR="009741D0" w:rsidRPr="00D16665">
        <w:rPr>
          <w:b/>
        </w:rPr>
        <w:tab/>
      </w:r>
      <w:r w:rsidR="00557C90" w:rsidRPr="00D16665">
        <w:rPr>
          <w:b/>
        </w:rPr>
        <w:t>Eurostatrapport</w:t>
      </w:r>
      <w:r w:rsidR="00D27F9E" w:rsidRPr="00D16665">
        <w:rPr>
          <w:b/>
        </w:rPr>
        <w:t xml:space="preserve">en </w:t>
      </w:r>
    </w:p>
    <w:p w:rsidR="00856A3C" w:rsidRPr="00D16665" w:rsidRDefault="009741D0" w:rsidP="00856A3C">
      <w:pPr>
        <w:pStyle w:val="RKnormal"/>
        <w:tabs>
          <w:tab w:val="clear" w:pos="2835"/>
          <w:tab w:val="left" w:pos="1701"/>
        </w:tabs>
        <w:rPr>
          <w:i/>
        </w:rPr>
      </w:pPr>
      <w:r w:rsidRPr="00D16665">
        <w:rPr>
          <w:i/>
        </w:rPr>
        <w:tab/>
        <w:t>-</w:t>
      </w:r>
      <w:r w:rsidR="00557C90" w:rsidRPr="00D16665">
        <w:rPr>
          <w:i/>
        </w:rPr>
        <w:t xml:space="preserve"> rådets slutsatser</w:t>
      </w:r>
    </w:p>
    <w:p w:rsidR="00E94C55" w:rsidRPr="00D16665" w:rsidRDefault="00E94C55" w:rsidP="00E94C55"/>
    <w:p w:rsidR="009A31DC" w:rsidRPr="00D16665" w:rsidRDefault="009A31DC" w:rsidP="009A31DC">
      <w:pPr>
        <w:pStyle w:val="RKnormal"/>
        <w:rPr>
          <w:lang w:eastAsia="sv-SE"/>
        </w:rPr>
      </w:pPr>
      <w:r w:rsidRPr="00D16665">
        <w:rPr>
          <w:lang w:eastAsia="sv-SE"/>
        </w:rPr>
        <w:t>Ekofinrådet ska anta rådsslutsatser om statistik rörande Greklands offentliga finanser.</w:t>
      </w:r>
    </w:p>
    <w:p w:rsidR="009A31DC" w:rsidRPr="00D16665" w:rsidRDefault="009A31DC" w:rsidP="009A31DC">
      <w:pPr>
        <w:pStyle w:val="RKnormal"/>
        <w:rPr>
          <w:lang w:eastAsia="sv-SE"/>
        </w:rPr>
      </w:pPr>
    </w:p>
    <w:p w:rsidR="009A31DC" w:rsidRPr="00D16665" w:rsidRDefault="009A31DC" w:rsidP="009A31DC">
      <w:pPr>
        <w:pStyle w:val="RKnormal"/>
        <w:rPr>
          <w:lang w:eastAsia="sv-SE"/>
        </w:rPr>
      </w:pPr>
      <w:r w:rsidRPr="00D16665">
        <w:rPr>
          <w:lang w:eastAsia="sv-SE"/>
        </w:rPr>
        <w:t xml:space="preserve">Ekofinrådet antog den 10 november 2009 följande rådsslutsatser om Greklands rapportering om de offentliga finanserna: </w:t>
      </w:r>
    </w:p>
    <w:p w:rsidR="009A31DC" w:rsidRPr="00D16665" w:rsidRDefault="009A31DC" w:rsidP="009A31DC">
      <w:pPr>
        <w:pStyle w:val="RKnormal"/>
        <w:rPr>
          <w:lang w:eastAsia="sv-SE"/>
        </w:rPr>
      </w:pPr>
    </w:p>
    <w:p w:rsidR="009A31DC" w:rsidRPr="00D16665" w:rsidRDefault="009A31DC" w:rsidP="009A31DC">
      <w:pPr>
        <w:pStyle w:val="RKnormal"/>
        <w:rPr>
          <w:lang w:eastAsia="sv-SE"/>
        </w:rPr>
      </w:pPr>
      <w:r w:rsidRPr="00D16665">
        <w:rPr>
          <w:lang w:eastAsia="sv-SE"/>
        </w:rPr>
        <w:t>"Rådet beklagar de förnyade problemen med Greklands finansstatistik; rådet uppmanar den grekiska regeringen att snarast vidta åtgärder för att återskapa Europeiska unionens förtroende för Greklands statistiska upplysningar och därtill kopplade institutionella strukturer. Rådet uppmanar kommissionen att lägga fram en rapport före slutet av 2009. Dessutom uppmanar rådet kommissionen att föreslå lämpliga åtgärder för att åtgärda situationen. I detta sammanhang välkomnar rådet regeringens åtagande att snabbt och seriöst gripa sig an denna fråga och anser att de åtgärder som nyligen meddelades, t.ex. de som syftar till att göra den nationella statistikmyndigheten helt oberoende, går i helt rätt riktning."</w:t>
      </w:r>
    </w:p>
    <w:p w:rsidR="009A31DC" w:rsidRPr="00D16665" w:rsidRDefault="009A31DC" w:rsidP="009A31DC">
      <w:pPr>
        <w:pStyle w:val="RKnormal"/>
        <w:rPr>
          <w:lang w:eastAsia="sv-SE"/>
        </w:rPr>
      </w:pPr>
    </w:p>
    <w:p w:rsidR="009A31DC" w:rsidRPr="00D16665" w:rsidRDefault="009A31DC" w:rsidP="009A31DC">
      <w:pPr>
        <w:pStyle w:val="RKnormal"/>
        <w:rPr>
          <w:lang w:eastAsia="sv-SE"/>
        </w:rPr>
      </w:pPr>
      <w:r w:rsidRPr="00D16665">
        <w:rPr>
          <w:lang w:eastAsia="sv-SE"/>
        </w:rPr>
        <w:t>Eurostats rapport och utkastet till rådsslutsatser är ännu inte tillgängliga.</w:t>
      </w:r>
    </w:p>
    <w:p w:rsidR="00557C90" w:rsidRPr="00D16665" w:rsidRDefault="00557C90" w:rsidP="00856A3C">
      <w:pPr>
        <w:pStyle w:val="RKnormal"/>
        <w:tabs>
          <w:tab w:val="clear" w:pos="2835"/>
          <w:tab w:val="left" w:pos="1701"/>
        </w:tabs>
        <w:rPr>
          <w:b/>
        </w:rPr>
      </w:pPr>
    </w:p>
    <w:p w:rsidR="009A31DC" w:rsidRPr="00D16665" w:rsidRDefault="009A31DC" w:rsidP="00856A3C">
      <w:pPr>
        <w:pStyle w:val="RKnormal"/>
        <w:tabs>
          <w:tab w:val="clear" w:pos="2835"/>
          <w:tab w:val="left" w:pos="1701"/>
        </w:tabs>
        <w:rPr>
          <w:b/>
        </w:rPr>
      </w:pPr>
    </w:p>
    <w:p w:rsidR="00856A3C" w:rsidRPr="00D16665" w:rsidRDefault="003615CB" w:rsidP="00856A3C">
      <w:pPr>
        <w:pStyle w:val="RKnormal"/>
        <w:tabs>
          <w:tab w:val="clear" w:pos="2835"/>
          <w:tab w:val="left" w:pos="1701"/>
        </w:tabs>
        <w:rPr>
          <w:b/>
        </w:rPr>
      </w:pPr>
      <w:r w:rsidRPr="00D16665">
        <w:rPr>
          <w:b/>
        </w:rPr>
        <w:t>6</w:t>
      </w:r>
      <w:r w:rsidR="00856A3C" w:rsidRPr="00D16665">
        <w:rPr>
          <w:b/>
        </w:rPr>
        <w:t>.</w:t>
      </w:r>
      <w:r w:rsidR="00856A3C" w:rsidRPr="00D16665">
        <w:rPr>
          <w:b/>
        </w:rPr>
        <w:tab/>
      </w:r>
      <w:r w:rsidR="00A94474" w:rsidRPr="00D16665">
        <w:rPr>
          <w:b/>
        </w:rPr>
        <w:t xml:space="preserve">(ev.) </w:t>
      </w:r>
      <w:r w:rsidR="00856A3C" w:rsidRPr="00D16665">
        <w:rPr>
          <w:b/>
        </w:rPr>
        <w:t>Övriga ärenden</w:t>
      </w:r>
    </w:p>
    <w:p w:rsidR="00B21CD8" w:rsidRPr="00D16665" w:rsidRDefault="00B21CD8" w:rsidP="00B21CD8">
      <w:pPr>
        <w:pStyle w:val="RKnormal"/>
        <w:tabs>
          <w:tab w:val="clear" w:pos="2835"/>
          <w:tab w:val="left" w:pos="567"/>
          <w:tab w:val="left" w:pos="1701"/>
        </w:tabs>
        <w:rPr>
          <w:b/>
        </w:rPr>
      </w:pPr>
    </w:p>
    <w:p w:rsidR="007B41AD" w:rsidRPr="00D16665" w:rsidRDefault="000F7186" w:rsidP="00856A3C">
      <w:pPr>
        <w:pStyle w:val="RKnormal"/>
        <w:tabs>
          <w:tab w:val="clear" w:pos="2835"/>
          <w:tab w:val="left" w:pos="1701"/>
        </w:tabs>
      </w:pPr>
      <w:r w:rsidRPr="00D16665">
        <w:t>Inga övriga ärenden har</w:t>
      </w:r>
      <w:r w:rsidR="003615CB" w:rsidRPr="00D16665">
        <w:t xml:space="preserve"> </w:t>
      </w:r>
      <w:r w:rsidR="009A31DC" w:rsidRPr="00D16665">
        <w:t xml:space="preserve">ännu </w:t>
      </w:r>
      <w:r w:rsidRPr="00D16665">
        <w:t>annonserats.</w:t>
      </w:r>
    </w:p>
    <w:p w:rsidR="000F7186" w:rsidRPr="00D16665" w:rsidRDefault="000F7186" w:rsidP="00856A3C">
      <w:pPr>
        <w:pStyle w:val="RKnormal"/>
        <w:tabs>
          <w:tab w:val="clear" w:pos="2835"/>
          <w:tab w:val="left" w:pos="1701"/>
        </w:tabs>
      </w:pPr>
    </w:p>
    <w:p w:rsidR="000F7186" w:rsidRPr="00D16665" w:rsidRDefault="000F7186" w:rsidP="00856A3C">
      <w:pPr>
        <w:pStyle w:val="RKnormal"/>
        <w:tabs>
          <w:tab w:val="clear" w:pos="2835"/>
          <w:tab w:val="left" w:pos="1701"/>
        </w:tabs>
      </w:pPr>
    </w:p>
    <w:p w:rsidR="00AA7510" w:rsidRPr="00D16665" w:rsidRDefault="00AA7510" w:rsidP="00AA7510">
      <w:pPr>
        <w:pStyle w:val="RKnormal"/>
        <w:tabs>
          <w:tab w:val="clear" w:pos="2835"/>
          <w:tab w:val="left" w:pos="1701"/>
        </w:tabs>
        <w:jc w:val="center"/>
      </w:pPr>
      <w:r w:rsidRPr="00D16665">
        <w:softHyphen/>
      </w:r>
      <w:r w:rsidRPr="00D16665">
        <w:softHyphen/>
      </w:r>
      <w:r w:rsidRPr="00D16665">
        <w:softHyphen/>
      </w:r>
      <w:r w:rsidRPr="00D16665">
        <w:softHyphen/>
      </w:r>
      <w:r w:rsidRPr="00D16665">
        <w:softHyphen/>
      </w:r>
      <w:r w:rsidRPr="00D16665">
        <w:softHyphen/>
      </w:r>
      <w:r w:rsidRPr="00D16665">
        <w:softHyphen/>
      </w:r>
      <w:r w:rsidRPr="00D16665">
        <w:softHyphen/>
      </w:r>
      <w:r w:rsidRPr="00D16665">
        <w:softHyphen/>
      </w:r>
      <w:r w:rsidRPr="00D16665">
        <w:softHyphen/>
      </w:r>
      <w:r w:rsidRPr="00D16665">
        <w:softHyphen/>
        <w:t>_______________________</w:t>
      </w:r>
    </w:p>
    <w:p w:rsidR="00AA7510" w:rsidRPr="00D16665" w:rsidRDefault="00AA7510">
      <w:pPr>
        <w:rPr>
          <w:b/>
        </w:rPr>
      </w:pPr>
    </w:p>
    <w:sectPr w:rsidR="00AA7510" w:rsidRPr="00D166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BD8" w:rsidRPr="00D16665" w:rsidRDefault="00921BD8">
      <w:r w:rsidRPr="00D16665">
        <w:separator/>
      </w:r>
    </w:p>
  </w:endnote>
  <w:endnote w:type="continuationSeparator" w:id="0">
    <w:p w:rsidR="00921BD8" w:rsidRPr="00D16665" w:rsidRDefault="00921BD8">
      <w:r w:rsidRPr="00D16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BD8" w:rsidRPr="00D16665" w:rsidRDefault="00921BD8">
      <w:r w:rsidRPr="00D16665">
        <w:separator/>
      </w:r>
    </w:p>
  </w:footnote>
  <w:footnote w:type="continuationSeparator" w:id="0">
    <w:p w:rsidR="00921BD8" w:rsidRPr="00D16665" w:rsidRDefault="00921BD8">
      <w:r w:rsidRPr="00D16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34" w:rsidRPr="00D16665" w:rsidRDefault="00F75534">
    <w:pPr>
      <w:pStyle w:val="Sidhuvud"/>
      <w:framePr w:wrap="around" w:vAnchor="text" w:hAnchor="margin" w:xAlign="right" w:y="1"/>
      <w:rPr>
        <w:rStyle w:val="Sidnummer"/>
      </w:rPr>
    </w:pPr>
    <w:r w:rsidRPr="00D16665">
      <w:rPr>
        <w:rStyle w:val="Sidnummer"/>
      </w:rPr>
      <w:fldChar w:fldCharType="begin" w:fldLock="1"/>
    </w:r>
    <w:r w:rsidRPr="00D16665">
      <w:rPr>
        <w:rStyle w:val="Sidnummer"/>
      </w:rPr>
      <w:instrText xml:space="preserve">PAGE  </w:instrText>
    </w:r>
    <w:r w:rsidRPr="00D16665">
      <w:rPr>
        <w:rStyle w:val="Sidnummer"/>
      </w:rPr>
      <w:fldChar w:fldCharType="separate"/>
    </w:r>
    <w:r w:rsidR="00BB0A98" w:rsidRPr="00D16665">
      <w:rPr>
        <w:rStyle w:val="Sidnummer"/>
      </w:rPr>
      <w:t>4</w:t>
    </w:r>
    <w:r w:rsidRPr="00D166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5534" w:rsidRPr="00D16665">
      <w:tblPrEx>
        <w:tblCellMar>
          <w:top w:w="0" w:type="dxa"/>
          <w:bottom w:w="0" w:type="dxa"/>
        </w:tblCellMar>
      </w:tblPrEx>
      <w:trPr>
        <w:cantSplit/>
      </w:trPr>
      <w:tc>
        <w:tcPr>
          <w:tcW w:w="3119" w:type="dxa"/>
        </w:tcPr>
        <w:p w:rsidR="00F75534" w:rsidRPr="00D16665" w:rsidRDefault="00F75534">
          <w:pPr>
            <w:pStyle w:val="Sidhuvud"/>
            <w:spacing w:line="200" w:lineRule="atLeast"/>
            <w:ind w:right="357"/>
            <w:rPr>
              <w:rFonts w:ascii="TradeGothic" w:hAnsi="TradeGothic"/>
              <w:b/>
              <w:bCs/>
              <w:sz w:val="16"/>
            </w:rPr>
          </w:pPr>
        </w:p>
      </w:tc>
      <w:tc>
        <w:tcPr>
          <w:tcW w:w="4111" w:type="dxa"/>
          <w:tcMar>
            <w:left w:w="567" w:type="dxa"/>
          </w:tcMar>
        </w:tcPr>
        <w:p w:rsidR="00F75534" w:rsidRPr="00D16665" w:rsidRDefault="00F75534">
          <w:pPr>
            <w:pStyle w:val="Sidhuvud"/>
            <w:ind w:right="360"/>
          </w:pPr>
        </w:p>
      </w:tc>
      <w:tc>
        <w:tcPr>
          <w:tcW w:w="1525" w:type="dxa"/>
        </w:tcPr>
        <w:p w:rsidR="00F75534" w:rsidRPr="00D16665" w:rsidRDefault="00F75534">
          <w:pPr>
            <w:pStyle w:val="Sidhuvud"/>
            <w:ind w:right="360"/>
          </w:pPr>
        </w:p>
      </w:tc>
    </w:tr>
  </w:tbl>
  <w:p w:rsidR="00F75534" w:rsidRPr="00D16665" w:rsidRDefault="00F7553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34" w:rsidRPr="00D16665" w:rsidRDefault="00F75534">
    <w:pPr>
      <w:pStyle w:val="Sidhuvud"/>
      <w:framePr w:wrap="around" w:vAnchor="text" w:hAnchor="margin" w:xAlign="right" w:y="1"/>
      <w:rPr>
        <w:rStyle w:val="Sidnummer"/>
      </w:rPr>
    </w:pPr>
    <w:r w:rsidRPr="00D16665">
      <w:rPr>
        <w:rStyle w:val="Sidnummer"/>
      </w:rPr>
      <w:fldChar w:fldCharType="begin" w:fldLock="1"/>
    </w:r>
    <w:r w:rsidRPr="00D16665">
      <w:rPr>
        <w:rStyle w:val="Sidnummer"/>
      </w:rPr>
      <w:instrText xml:space="preserve">PAGE  </w:instrText>
    </w:r>
    <w:r w:rsidRPr="00D16665">
      <w:rPr>
        <w:rStyle w:val="Sidnummer"/>
      </w:rPr>
      <w:fldChar w:fldCharType="separate"/>
    </w:r>
    <w:r w:rsidR="00BB0A98" w:rsidRPr="00D16665">
      <w:rPr>
        <w:rStyle w:val="Sidnummer"/>
      </w:rPr>
      <w:t>5</w:t>
    </w:r>
    <w:r w:rsidRPr="00D166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5534" w:rsidRPr="00D16665">
      <w:tblPrEx>
        <w:tblCellMar>
          <w:top w:w="0" w:type="dxa"/>
          <w:bottom w:w="0" w:type="dxa"/>
        </w:tblCellMar>
      </w:tblPrEx>
      <w:trPr>
        <w:cantSplit/>
      </w:trPr>
      <w:tc>
        <w:tcPr>
          <w:tcW w:w="3119" w:type="dxa"/>
        </w:tcPr>
        <w:p w:rsidR="00F75534" w:rsidRPr="00D16665" w:rsidRDefault="00F75534">
          <w:pPr>
            <w:pStyle w:val="Sidhuvud"/>
            <w:spacing w:line="200" w:lineRule="atLeast"/>
            <w:ind w:right="357"/>
            <w:rPr>
              <w:rFonts w:ascii="TradeGothic" w:hAnsi="TradeGothic"/>
              <w:b/>
              <w:bCs/>
              <w:sz w:val="16"/>
            </w:rPr>
          </w:pPr>
        </w:p>
      </w:tc>
      <w:tc>
        <w:tcPr>
          <w:tcW w:w="4111" w:type="dxa"/>
          <w:tcMar>
            <w:left w:w="567" w:type="dxa"/>
          </w:tcMar>
        </w:tcPr>
        <w:p w:rsidR="00F75534" w:rsidRPr="00D16665" w:rsidRDefault="00F75534">
          <w:pPr>
            <w:pStyle w:val="Sidhuvud"/>
            <w:ind w:right="360"/>
          </w:pPr>
        </w:p>
      </w:tc>
      <w:tc>
        <w:tcPr>
          <w:tcW w:w="1525" w:type="dxa"/>
        </w:tcPr>
        <w:p w:rsidR="00F75534" w:rsidRPr="00D16665" w:rsidRDefault="00F75534">
          <w:pPr>
            <w:pStyle w:val="Sidhuvud"/>
            <w:ind w:right="360"/>
          </w:pPr>
        </w:p>
      </w:tc>
    </w:tr>
  </w:tbl>
  <w:p w:rsidR="00F75534" w:rsidRPr="00D16665" w:rsidRDefault="00F7553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534" w:rsidRPr="00D16665" w:rsidRDefault="00D16665">
    <w:pPr>
      <w:framePr w:w="2948" w:h="1321" w:hRule="exact" w:wrap="notBeside" w:vAnchor="page" w:hAnchor="page" w:x="1362" w:y="653"/>
    </w:pPr>
    <w:r w:rsidRPr="00D1666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75534" w:rsidRPr="00D16665" w:rsidRDefault="00F75534">
    <w:pPr>
      <w:pStyle w:val="RKrubrik"/>
      <w:keepNext w:val="0"/>
      <w:tabs>
        <w:tab w:val="clear" w:pos="1134"/>
        <w:tab w:val="clear" w:pos="2835"/>
      </w:tabs>
      <w:spacing w:before="0" w:after="0" w:line="320" w:lineRule="atLeast"/>
      <w:rPr>
        <w:bCs/>
      </w:rPr>
    </w:pPr>
  </w:p>
  <w:p w:rsidR="00F75534" w:rsidRPr="00D16665" w:rsidRDefault="00F75534">
    <w:pPr>
      <w:rPr>
        <w:rFonts w:ascii="TradeGothic" w:hAnsi="TradeGothic"/>
        <w:b/>
        <w:bCs/>
        <w:spacing w:val="12"/>
        <w:sz w:val="22"/>
      </w:rPr>
    </w:pPr>
  </w:p>
  <w:p w:rsidR="00F75534" w:rsidRPr="00D16665" w:rsidRDefault="00F75534">
    <w:pPr>
      <w:pStyle w:val="RKrubrik"/>
      <w:keepNext w:val="0"/>
      <w:tabs>
        <w:tab w:val="clear" w:pos="1134"/>
        <w:tab w:val="clear" w:pos="2835"/>
      </w:tabs>
      <w:spacing w:before="0" w:after="0" w:line="320" w:lineRule="atLeast"/>
      <w:rPr>
        <w:bCs/>
      </w:rPr>
    </w:pPr>
  </w:p>
  <w:p w:rsidR="00F75534" w:rsidRPr="00D16665" w:rsidRDefault="00F7553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64737586">
    <w:abstractNumId w:val="0"/>
    <w:lvlOverride w:ilvl="0">
      <w:lvl w:ilvl="0">
        <w:numFmt w:val="bullet"/>
        <w:lvlText w:val="•"/>
        <w:legacy w:legacy="1" w:legacySpace="0" w:legacyIndent="0"/>
        <w:lvlJc w:val="left"/>
        <w:rPr>
          <w:rFonts w:ascii="Helv" w:hAnsi="Helv" w:hint="default"/>
        </w:rPr>
      </w:lvl>
    </w:lvlOverride>
  </w:num>
  <w:num w:numId="2" w16cid:durableId="1348212588">
    <w:abstractNumId w:val="4"/>
  </w:num>
  <w:num w:numId="3" w16cid:durableId="1138498097">
    <w:abstractNumId w:val="8"/>
  </w:num>
  <w:num w:numId="4" w16cid:durableId="318703079">
    <w:abstractNumId w:val="6"/>
  </w:num>
  <w:num w:numId="5" w16cid:durableId="428433737">
    <w:abstractNumId w:val="1"/>
  </w:num>
  <w:num w:numId="6" w16cid:durableId="2041783488">
    <w:abstractNumId w:val="7"/>
  </w:num>
  <w:num w:numId="7" w16cid:durableId="577980631">
    <w:abstractNumId w:val="3"/>
  </w:num>
  <w:num w:numId="8" w16cid:durableId="916981597">
    <w:abstractNumId w:val="2"/>
  </w:num>
  <w:num w:numId="9" w16cid:durableId="691223806">
    <w:abstractNumId w:val="9"/>
  </w:num>
  <w:num w:numId="10" w16cid:durableId="662439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368BF"/>
    <w:rsid w:val="00041195"/>
    <w:rsid w:val="00045C74"/>
    <w:rsid w:val="00050A61"/>
    <w:rsid w:val="00065C80"/>
    <w:rsid w:val="0007009C"/>
    <w:rsid w:val="00085088"/>
    <w:rsid w:val="000E52B4"/>
    <w:rsid w:val="000F7186"/>
    <w:rsid w:val="000F7A65"/>
    <w:rsid w:val="00104C19"/>
    <w:rsid w:val="00113C40"/>
    <w:rsid w:val="00132043"/>
    <w:rsid w:val="00150384"/>
    <w:rsid w:val="00165A4C"/>
    <w:rsid w:val="001805B7"/>
    <w:rsid w:val="001A3B22"/>
    <w:rsid w:val="001D758A"/>
    <w:rsid w:val="001F2632"/>
    <w:rsid w:val="00202F66"/>
    <w:rsid w:val="00214E8E"/>
    <w:rsid w:val="002323A0"/>
    <w:rsid w:val="002971F6"/>
    <w:rsid w:val="002C54FD"/>
    <w:rsid w:val="002C7698"/>
    <w:rsid w:val="002C7789"/>
    <w:rsid w:val="002D197A"/>
    <w:rsid w:val="002F2F1E"/>
    <w:rsid w:val="00310545"/>
    <w:rsid w:val="00330369"/>
    <w:rsid w:val="0035222F"/>
    <w:rsid w:val="003615CB"/>
    <w:rsid w:val="003629A1"/>
    <w:rsid w:val="00383698"/>
    <w:rsid w:val="003D45A4"/>
    <w:rsid w:val="003E5ABF"/>
    <w:rsid w:val="003F436C"/>
    <w:rsid w:val="00403A3B"/>
    <w:rsid w:val="0043370C"/>
    <w:rsid w:val="004629C8"/>
    <w:rsid w:val="004706A2"/>
    <w:rsid w:val="004938B1"/>
    <w:rsid w:val="004A328D"/>
    <w:rsid w:val="004A743A"/>
    <w:rsid w:val="004B75EE"/>
    <w:rsid w:val="004F252D"/>
    <w:rsid w:val="00515451"/>
    <w:rsid w:val="00521DC8"/>
    <w:rsid w:val="00557C90"/>
    <w:rsid w:val="005659EB"/>
    <w:rsid w:val="00575D45"/>
    <w:rsid w:val="00580564"/>
    <w:rsid w:val="005A52F6"/>
    <w:rsid w:val="005B6658"/>
    <w:rsid w:val="005C18BC"/>
    <w:rsid w:val="005C2DB7"/>
    <w:rsid w:val="005F3AA0"/>
    <w:rsid w:val="005F4359"/>
    <w:rsid w:val="00605AF6"/>
    <w:rsid w:val="0061465F"/>
    <w:rsid w:val="00620957"/>
    <w:rsid w:val="0063673F"/>
    <w:rsid w:val="006838E2"/>
    <w:rsid w:val="00695636"/>
    <w:rsid w:val="006D4CF5"/>
    <w:rsid w:val="006D54AE"/>
    <w:rsid w:val="006E4E11"/>
    <w:rsid w:val="006E6F31"/>
    <w:rsid w:val="006F7D42"/>
    <w:rsid w:val="00707A0C"/>
    <w:rsid w:val="00723A76"/>
    <w:rsid w:val="007242A3"/>
    <w:rsid w:val="0072718D"/>
    <w:rsid w:val="007359F0"/>
    <w:rsid w:val="007511FC"/>
    <w:rsid w:val="00775043"/>
    <w:rsid w:val="00787EE4"/>
    <w:rsid w:val="007A75C4"/>
    <w:rsid w:val="007B2AB5"/>
    <w:rsid w:val="007B41AD"/>
    <w:rsid w:val="007D37CD"/>
    <w:rsid w:val="007E18BA"/>
    <w:rsid w:val="007F588C"/>
    <w:rsid w:val="007F62C7"/>
    <w:rsid w:val="00830ABD"/>
    <w:rsid w:val="00856A3C"/>
    <w:rsid w:val="008B4D72"/>
    <w:rsid w:val="008C0F8F"/>
    <w:rsid w:val="008D1B0F"/>
    <w:rsid w:val="008D46F1"/>
    <w:rsid w:val="008E6978"/>
    <w:rsid w:val="009035A6"/>
    <w:rsid w:val="0091620F"/>
    <w:rsid w:val="00921BD8"/>
    <w:rsid w:val="009263F7"/>
    <w:rsid w:val="00944507"/>
    <w:rsid w:val="00963470"/>
    <w:rsid w:val="00964FF1"/>
    <w:rsid w:val="00973291"/>
    <w:rsid w:val="009741D0"/>
    <w:rsid w:val="00974A08"/>
    <w:rsid w:val="009906C2"/>
    <w:rsid w:val="00995D45"/>
    <w:rsid w:val="009A31DC"/>
    <w:rsid w:val="009A6C4B"/>
    <w:rsid w:val="009D79B4"/>
    <w:rsid w:val="009E1C2C"/>
    <w:rsid w:val="00A3439C"/>
    <w:rsid w:val="00A343DC"/>
    <w:rsid w:val="00A41507"/>
    <w:rsid w:val="00A433C5"/>
    <w:rsid w:val="00A531A0"/>
    <w:rsid w:val="00A826AE"/>
    <w:rsid w:val="00A87990"/>
    <w:rsid w:val="00A94474"/>
    <w:rsid w:val="00AA7510"/>
    <w:rsid w:val="00AE1EBF"/>
    <w:rsid w:val="00B03237"/>
    <w:rsid w:val="00B21CD8"/>
    <w:rsid w:val="00B26E85"/>
    <w:rsid w:val="00B4134A"/>
    <w:rsid w:val="00B417A1"/>
    <w:rsid w:val="00B61ABA"/>
    <w:rsid w:val="00B762A9"/>
    <w:rsid w:val="00BB0A98"/>
    <w:rsid w:val="00BC762F"/>
    <w:rsid w:val="00BD360A"/>
    <w:rsid w:val="00BD65B2"/>
    <w:rsid w:val="00BF5B65"/>
    <w:rsid w:val="00C0353B"/>
    <w:rsid w:val="00C1295E"/>
    <w:rsid w:val="00C27F25"/>
    <w:rsid w:val="00C413B4"/>
    <w:rsid w:val="00CA4AAC"/>
    <w:rsid w:val="00CA742F"/>
    <w:rsid w:val="00CE175F"/>
    <w:rsid w:val="00CE2CE9"/>
    <w:rsid w:val="00CE6F12"/>
    <w:rsid w:val="00D033B9"/>
    <w:rsid w:val="00D07381"/>
    <w:rsid w:val="00D07E25"/>
    <w:rsid w:val="00D13AF7"/>
    <w:rsid w:val="00D16665"/>
    <w:rsid w:val="00D27F9E"/>
    <w:rsid w:val="00D4327E"/>
    <w:rsid w:val="00D56B66"/>
    <w:rsid w:val="00DA6C7B"/>
    <w:rsid w:val="00DF3567"/>
    <w:rsid w:val="00DF5492"/>
    <w:rsid w:val="00DF60C3"/>
    <w:rsid w:val="00E00022"/>
    <w:rsid w:val="00E02C39"/>
    <w:rsid w:val="00E9129D"/>
    <w:rsid w:val="00E94C55"/>
    <w:rsid w:val="00EC25F9"/>
    <w:rsid w:val="00EC450A"/>
    <w:rsid w:val="00EC5436"/>
    <w:rsid w:val="00EE056F"/>
    <w:rsid w:val="00F000BA"/>
    <w:rsid w:val="00F20C14"/>
    <w:rsid w:val="00F20F99"/>
    <w:rsid w:val="00F561CA"/>
    <w:rsid w:val="00F75534"/>
    <w:rsid w:val="00F7753D"/>
    <w:rsid w:val="00FA18F6"/>
    <w:rsid w:val="00FA76FB"/>
    <w:rsid w:val="00FB0CB3"/>
    <w:rsid w:val="00FB6A1C"/>
    <w:rsid w:val="00FB6B28"/>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A498D2-1052-47DD-9342-5822E9B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Ballongtext">
    <w:name w:val="Balloon Text"/>
    <w:basedOn w:val="Normal"/>
    <w:semiHidden/>
    <w:rsid w:val="00BB0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7841</Characters>
  <Application>Microsoft Office Word</Application>
  <DocSecurity>4</DocSecurity>
  <Lines>252</Lines>
  <Paragraphs>79</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2010-01-11T10:44:00Z</cp:lastPrinted>
  <dcterms:created xsi:type="dcterms:W3CDTF">2025-12-17T23:59:00Z</dcterms:created>
  <dcterms:modified xsi:type="dcterms:W3CDTF">2025-12-17T23:59:00Z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