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C23" w:rsidRPr="000463C2" w:rsidRDefault="00267C23">
      <w:pPr>
        <w:pStyle w:val="Frslagsrubrik"/>
      </w:pPr>
      <w:r w:rsidRPr="000463C2">
        <w:t>Förslag till riksdagsbeslut</w:t>
      </w:r>
    </w:p>
    <w:p w:rsidR="00267C23" w:rsidRPr="000463C2" w:rsidRDefault="00267C23">
      <w:pPr>
        <w:pStyle w:val="Hemstlatt"/>
        <w:ind w:left="0"/>
      </w:pPr>
      <w:r w:rsidRPr="000463C2">
        <w:t>Riksdagen tillkännager för regeringen som sin mening vad som anförs i motionen om att se över myndigheters finansiering av opin</w:t>
      </w:r>
      <w:r w:rsidRPr="000463C2">
        <w:t>i</w:t>
      </w:r>
      <w:r w:rsidRPr="000463C2">
        <w:t>onsbildande verksamhet för frivilligorganisationer.</w:t>
      </w:r>
    </w:p>
    <w:p w:rsidR="00267C23" w:rsidRPr="000463C2" w:rsidRDefault="00267C23">
      <w:pPr>
        <w:pStyle w:val="Rubrik1"/>
      </w:pPr>
      <w:r w:rsidRPr="000463C2">
        <w:t>Motivering</w:t>
      </w:r>
    </w:p>
    <w:p w:rsidR="00267C23" w:rsidRPr="000463C2" w:rsidRDefault="00267C23">
      <w:r w:rsidRPr="000463C2">
        <w:t>En rad myndigheter har till sitt uppdrag från regering och riksdag att verka opinionsbildande. Den opinionsbildning som bedrivs regleras då genom det uppdrag som tilldelas myndigheten genom regeringens regleringsbrev.</w:t>
      </w:r>
    </w:p>
    <w:p w:rsidR="00267C23" w:rsidRPr="000463C2" w:rsidRDefault="00267C23">
      <w:pPr>
        <w:pStyle w:val="Normaltindrag"/>
      </w:pPr>
      <w:r w:rsidRPr="000463C2">
        <w:t>Utifrån detta kan måluppfyllnad, effektivitet i verksamheten och effekterna på målgruppen för myndighetens påverkansarbete mätas inom ramen för Riksrevisionens uppdrag och ansvar utkrävas i det fall den opinionsbildande verksamheten inte har eftersträvansvärd effekt eller inte står i proportion till de skattemedel som förbrukas.</w:t>
      </w:r>
    </w:p>
    <w:p w:rsidR="00267C23" w:rsidRPr="000463C2" w:rsidRDefault="00267C23">
      <w:pPr>
        <w:pStyle w:val="Normaltindrag"/>
      </w:pPr>
      <w:r w:rsidRPr="000463C2">
        <w:t>Givet strukturen med relativt oberoende myndigheter som är fria att agera inom sitt uppdrag, vilket är avgränsat i regleringsbrevet, är en rutinmässig granskning av myndighetsutövningen och den påverkan den har på medbo</w:t>
      </w:r>
      <w:r w:rsidRPr="000463C2">
        <w:t>r</w:t>
      </w:r>
      <w:r w:rsidRPr="000463C2">
        <w:t>garna av största principiella betydelse, om inte annat så för att upprätthålla statsapparatens trovärdighet och auktoritet.</w:t>
      </w:r>
    </w:p>
    <w:p w:rsidR="00267C23" w:rsidRPr="000463C2" w:rsidRDefault="00267C23">
      <w:pPr>
        <w:pStyle w:val="Normaltindrag"/>
      </w:pPr>
      <w:r w:rsidRPr="000463C2">
        <w:t>Dock har en rad myndigheter till uppdrag att även finansiera frivilligorg</w:t>
      </w:r>
      <w:r w:rsidRPr="000463C2">
        <w:t>a</w:t>
      </w:r>
      <w:r w:rsidRPr="000463C2">
        <w:t>nisationers (non-governmental organizations, NGO) åsikts- och opinionsbi</w:t>
      </w:r>
      <w:r w:rsidRPr="000463C2">
        <w:t>l</w:t>
      </w:r>
      <w:r w:rsidRPr="000463C2">
        <w:t>dande verksamhet.</w:t>
      </w:r>
    </w:p>
    <w:p w:rsidR="00267C23" w:rsidRPr="000463C2" w:rsidRDefault="00267C23">
      <w:pPr>
        <w:pStyle w:val="Normaltindrag"/>
      </w:pPr>
      <w:r w:rsidRPr="000463C2">
        <w:t>Syftet kan antas vara att säkra en livaktig offentlig debatt inom de sakfr</w:t>
      </w:r>
      <w:r w:rsidRPr="000463C2">
        <w:t>å</w:t>
      </w:r>
      <w:r w:rsidRPr="000463C2">
        <w:t xml:space="preserve">geområden där myndigheten är verksam, men det kan även beskrivas som ett myndighetskontrollerat artificiellt offentligt samtal som bygger lika mycket på NGO:ernas kunskap om vilka frågeställningar som renderar i offentliga bidrag som i vilka ämnen och ståndpunkter som är angelägna för spontana </w:t>
      </w:r>
      <w:r w:rsidRPr="000463C2">
        <w:lastRenderedPageBreak/>
        <w:t>frivilliga sammanslutningar att uppmärksamma politiker, media och allmä</w:t>
      </w:r>
      <w:r w:rsidRPr="000463C2">
        <w:t>n</w:t>
      </w:r>
      <w:r w:rsidRPr="000463C2">
        <w:t>heten på.</w:t>
      </w:r>
    </w:p>
    <w:p w:rsidR="00267C23" w:rsidRPr="000463C2" w:rsidRDefault="00267C23">
      <w:pPr>
        <w:pStyle w:val="Normaltindrag"/>
      </w:pPr>
      <w:r w:rsidRPr="000463C2">
        <w:t>Ideell opinionsbildande verksamhet kan självfallet vara förknippat med omkostnader, men förekomsten av självpåtagna utgifter för att n</w:t>
      </w:r>
      <w:r w:rsidRPr="000463C2">
        <w:t>å ut med budskap och åsikter kan inte ses som ett bärkraftigt argument för att försvara finansiering av vissa NGO:er av ren slentrian år efter år.</w:t>
      </w:r>
    </w:p>
    <w:p w:rsidR="00267C23" w:rsidRPr="000463C2" w:rsidRDefault="00267C23">
      <w:pPr>
        <w:pStyle w:val="Normaltindrag"/>
      </w:pPr>
      <w:r w:rsidRPr="000463C2">
        <w:t>Alternativet till en regelmässig finansiering av ett urval av NGO:er är att det är vissa som ska premieras för den verksamhet de bedriver, vilket leder lika fel det i sin yttersta konsekvens. Staten – via sina myndigheter – kan inte tilldelas rollen som skiljedomare för vilka åsiktsyttringar som bör få större spridning än andra.</w:t>
      </w:r>
    </w:p>
    <w:p w:rsidR="00267C23" w:rsidRPr="000463C2" w:rsidRDefault="00267C23">
      <w:pPr>
        <w:pStyle w:val="Normaltindrag"/>
      </w:pPr>
      <w:r w:rsidRPr="000463C2">
        <w:t>Det förefaller oundvikligt att det blir ett visst mått av godtycke i processer som ska leda fram till att ett urval av NGO:er ska tilldelas medel och andra inte. Och motsatsen är lika ohållbar den: att själva företeelsen att agera opin</w:t>
      </w:r>
      <w:r w:rsidRPr="000463C2">
        <w:t>i</w:t>
      </w:r>
      <w:r w:rsidRPr="000463C2">
        <w:t>onsbildande ska föranleda garantier om statlig finansiering.</w:t>
      </w:r>
    </w:p>
    <w:p w:rsidR="00267C23" w:rsidRPr="000463C2" w:rsidRDefault="00267C23">
      <w:pPr>
        <w:pStyle w:val="Normaltindrag"/>
      </w:pPr>
      <w:r w:rsidRPr="000463C2">
        <w:t>Men den mest problematiska konsekvensen av offentligfinansierad opin</w:t>
      </w:r>
      <w:r w:rsidRPr="000463C2">
        <w:t>i</w:t>
      </w:r>
      <w:r w:rsidRPr="000463C2">
        <w:t>onsbildning är att det inte går att utesluta konsekvensen att behovet av anslag driver åsiktsbildningen att sammanfalla med den som upprätthålls av den aktuella myndighetens egna budskap. Att följsamhet i utvecklingen av ideella åsiktsyttringar följer utformningen och kriterierna för tilldelning av offentliga anslag.</w:t>
      </w:r>
    </w:p>
    <w:p w:rsidR="00267C23" w:rsidRPr="000463C2" w:rsidRDefault="00267C23">
      <w:pPr>
        <w:pStyle w:val="Normaltindrag"/>
      </w:pPr>
      <w:r w:rsidRPr="000463C2">
        <w:t>Detta riskerar att leda till en indirekt framväxt av en myndighetsfinansi</w:t>
      </w:r>
      <w:r w:rsidRPr="000463C2">
        <w:t>e</w:t>
      </w:r>
      <w:r w:rsidRPr="000463C2">
        <w:t>rad samsyn av vad den ideella sektorn anser i de frågor som är av betydelse för den aktuella myndigheten, en indirekt legitimering av det kända budskap myndigheten redan uttrycker i sin egen opinionsbildande verksamhet.</w:t>
      </w:r>
    </w:p>
    <w:p w:rsidR="00267C23" w:rsidRPr="000463C2" w:rsidRDefault="00267C23">
      <w:pPr>
        <w:pStyle w:val="Normaltindrag"/>
      </w:pPr>
      <w:r w:rsidRPr="000463C2">
        <w:t>En offentligt finansierad ideell opinionsbildning utarmar förekomsten av avvikande uppfattningar, dränerar det offentliga samtalet på nytänkande och opposition, vilket i förlängningen undergräver förutsättningarna för det d</w:t>
      </w:r>
      <w:r w:rsidRPr="000463C2">
        <w:t>e</w:t>
      </w:r>
      <w:r w:rsidRPr="000463C2">
        <w:t>mokratiska samtalet i det fria och öppna samhället.</w:t>
      </w:r>
    </w:p>
    <w:p w:rsidR="00267C23" w:rsidRPr="000463C2" w:rsidRDefault="00267C23">
      <w:pPr>
        <w:pStyle w:val="Normaltindrag"/>
      </w:pPr>
      <w:r w:rsidRPr="000463C2">
        <w:t>Staten och dess myndigheter kan inte förväntas upprätthålla en neutral roll i offentligfinansierad opinionsbildning. Den direkta – eller indirekta – sty</w:t>
      </w:r>
      <w:r w:rsidRPr="000463C2">
        <w:t>r</w:t>
      </w:r>
      <w:r w:rsidRPr="000463C2">
        <w:t>ningen av NGO:ernas verksamhet och budskap är inte en framgångsrik väg mot ett mer livaktigt politiskt samtal i det offentliga Sverige. Tilldelningen av myndighetsanslag till ideella opinionsbildande organisationer bör därför up</w:t>
      </w:r>
      <w:r w:rsidRPr="000463C2">
        <w:t>p</w:t>
      </w:r>
      <w:r w:rsidRPr="000463C2">
        <w:t>höra.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63C2">
        <w:trPr>
          <w:cantSplit/>
        </w:trPr>
        <w:tc>
          <w:tcPr>
            <w:tcW w:w="3046" w:type="dxa"/>
          </w:tcPr>
          <w:p w:rsidR="00267C23" w:rsidRPr="000463C2" w:rsidRDefault="00267C23">
            <w:pPr>
              <w:pStyle w:val="UnderskriftDatum"/>
              <w:spacing w:before="240"/>
            </w:pPr>
            <w:r w:rsidRPr="000463C2">
              <w:t>Stockholm den 3 oktober 2011</w:t>
            </w:r>
          </w:p>
        </w:tc>
        <w:tc>
          <w:tcPr>
            <w:tcW w:w="3047" w:type="dxa"/>
          </w:tcPr>
          <w:p w:rsidR="00267C23" w:rsidRPr="000463C2" w:rsidRDefault="00267C23">
            <w:pPr>
              <w:pStyle w:val="Underskrifter"/>
              <w:spacing w:before="240"/>
            </w:pPr>
          </w:p>
        </w:tc>
      </w:tr>
      <w:tr w:rsidR="00000000" w:rsidRPr="000463C2">
        <w:trPr>
          <w:cantSplit/>
        </w:trPr>
        <w:tc>
          <w:tcPr>
            <w:tcW w:w="3046" w:type="dxa"/>
          </w:tcPr>
          <w:p w:rsidR="00267C23" w:rsidRPr="000463C2" w:rsidRDefault="00267C23">
            <w:pPr>
              <w:pStyle w:val="Underskrifter"/>
            </w:pPr>
            <w:r w:rsidRPr="000463C2">
              <w:t>Carl-Oskar Bohlin (M)</w:t>
            </w:r>
          </w:p>
        </w:tc>
        <w:tc>
          <w:tcPr>
            <w:tcW w:w="3046" w:type="dxa"/>
          </w:tcPr>
          <w:p w:rsidR="00267C23" w:rsidRPr="000463C2" w:rsidRDefault="00267C23">
            <w:pPr>
              <w:pStyle w:val="Underskrifter"/>
            </w:pPr>
          </w:p>
        </w:tc>
      </w:tr>
    </w:tbl>
    <w:p w:rsidR="00267C23" w:rsidRPr="000463C2" w:rsidRDefault="00267C23">
      <w:pPr>
        <w:pStyle w:val="Normaltindrag"/>
      </w:pPr>
    </w:p>
    <w:sectPr w:rsidR="00267C23" w:rsidRPr="0004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C23" w:rsidRPr="000463C2" w:rsidRDefault="00267C23">
      <w:r w:rsidRPr="000463C2">
        <w:separator/>
      </w:r>
    </w:p>
  </w:endnote>
  <w:endnote w:type="continuationSeparator" w:id="0">
    <w:p w:rsidR="00267C23" w:rsidRPr="000463C2" w:rsidRDefault="00267C23">
      <w:r w:rsidRPr="000463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C23" w:rsidRPr="000463C2" w:rsidRDefault="000463C2">
    <w:pPr>
      <w:pStyle w:val="Sidfot"/>
    </w:pPr>
    <w:r w:rsidRPr="000463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30658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23" w:rsidRDefault="00267C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7C23" w:rsidRDefault="00267C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C23" w:rsidRPr="000463C2" w:rsidRDefault="000463C2">
    <w:pPr>
      <w:pStyle w:val="Sidfot"/>
    </w:pPr>
    <w:r w:rsidRPr="000463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63825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23" w:rsidRDefault="00267C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7C23" w:rsidRDefault="00267C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C23" w:rsidRPr="000463C2" w:rsidRDefault="000463C2">
    <w:pPr>
      <w:pStyle w:val="Sidfot"/>
    </w:pPr>
    <w:r w:rsidRPr="000463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70124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23" w:rsidRDefault="00267C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7C23" w:rsidRDefault="00267C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C23" w:rsidRPr="000463C2" w:rsidRDefault="00267C23">
      <w:r w:rsidRPr="000463C2">
        <w:separator/>
      </w:r>
    </w:p>
  </w:footnote>
  <w:footnote w:type="continuationSeparator" w:id="0">
    <w:p w:rsidR="00267C23" w:rsidRPr="000463C2" w:rsidRDefault="00267C23">
      <w:r w:rsidRPr="000463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C23" w:rsidRPr="000463C2" w:rsidRDefault="000463C2">
    <w:pPr>
      <w:pStyle w:val="Sidhuvud"/>
    </w:pPr>
    <w:r w:rsidRPr="000463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66479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23" w:rsidRDefault="00267C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7C23" w:rsidRDefault="00267C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C23" w:rsidRPr="000463C2" w:rsidRDefault="000463C2">
    <w:pPr>
      <w:pStyle w:val="Sidhuvud"/>
    </w:pPr>
    <w:r w:rsidRPr="000463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89178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23" w:rsidRDefault="00267C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7C23" w:rsidRDefault="00267C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C23" w:rsidRPr="000463C2" w:rsidRDefault="00267C23">
    <w:pPr>
      <w:pStyle w:val="FSHNormal"/>
      <w:tabs>
        <w:tab w:val="right" w:pos="5840"/>
      </w:tabs>
    </w:pPr>
    <w:r w:rsidRPr="000463C2">
      <w:br/>
    </w:r>
    <w:r w:rsidRPr="000463C2">
      <w:fldChar w:fldCharType="begin" w:fldLock="1"/>
    </w:r>
    <w:r w:rsidRPr="000463C2">
      <w:instrText xml:space="preserve"> DOCPROPERTY</w:instrText>
    </w:r>
    <w:r w:rsidRPr="000463C2">
      <w:rPr>
        <w:sz w:val="18"/>
      </w:rPr>
      <w:instrText xml:space="preserve"> "YearUser" *\charformat </w:instrText>
    </w:r>
    <w:r w:rsidRPr="000463C2">
      <w:fldChar w:fldCharType="separate"/>
    </w:r>
    <w:r w:rsidRPr="000463C2">
      <w:t>2011/12</w:t>
    </w:r>
    <w:r w:rsidRPr="000463C2">
      <w:fldChar w:fldCharType="end"/>
    </w:r>
    <w:r w:rsidRPr="000463C2">
      <w:t xml:space="preserve"> </w:t>
    </w:r>
    <w:r w:rsidRPr="000463C2">
      <w:tab/>
      <w:t xml:space="preserve">mnr: </w:t>
    </w:r>
    <w:r w:rsidRPr="000463C2">
      <w:fldChar w:fldCharType="begin" w:fldLock="1"/>
    </w:r>
    <w:r w:rsidRPr="000463C2">
      <w:instrText xml:space="preserve"> DOCPROPERTY</w:instrText>
    </w:r>
    <w:r w:rsidRPr="000463C2">
      <w:rPr>
        <w:sz w:val="18"/>
      </w:rPr>
      <w:instrText xml:space="preserve"> "Motionsnummer" *\charformat </w:instrText>
    </w:r>
    <w:r w:rsidRPr="000463C2">
      <w:fldChar w:fldCharType="separate"/>
    </w:r>
    <w:r w:rsidRPr="000463C2">
      <w:t>K296</w:t>
    </w:r>
    <w:r w:rsidRPr="000463C2">
      <w:fldChar w:fldCharType="end"/>
    </w:r>
    <w:r w:rsidRPr="000463C2">
      <w:br/>
    </w:r>
    <w:r w:rsidRPr="000463C2">
      <w:fldChar w:fldCharType="begin" w:fldLock="1"/>
    </w:r>
    <w:r w:rsidRPr="000463C2">
      <w:instrText xml:space="preserve"> DOCPROPERTY</w:instrText>
    </w:r>
    <w:r w:rsidRPr="000463C2">
      <w:rPr>
        <w:sz w:val="18"/>
      </w:rPr>
      <w:instrText xml:space="preserve"> "Samling" *\charformat </w:instrText>
    </w:r>
    <w:r w:rsidRPr="000463C2">
      <w:fldChar w:fldCharType="end"/>
    </w:r>
    <w:r w:rsidRPr="000463C2">
      <w:tab/>
      <w:t xml:space="preserve">pnr: </w:t>
    </w:r>
    <w:r w:rsidRPr="000463C2">
      <w:fldChar w:fldCharType="begin" w:fldLock="1"/>
    </w:r>
    <w:r w:rsidRPr="000463C2">
      <w:instrText xml:space="preserve"> DOCPROPERTY</w:instrText>
    </w:r>
    <w:r w:rsidRPr="000463C2">
      <w:rPr>
        <w:sz w:val="18"/>
      </w:rPr>
      <w:instrText xml:space="preserve"> "Partinummer" *\charformat </w:instrText>
    </w:r>
    <w:r w:rsidRPr="000463C2">
      <w:fldChar w:fldCharType="separate"/>
    </w:r>
    <w:r w:rsidRPr="000463C2">
      <w:t>M239</w:t>
    </w:r>
    <w:r w:rsidRPr="000463C2">
      <w:fldChar w:fldCharType="end"/>
    </w:r>
  </w:p>
  <w:p w:rsidR="00267C23" w:rsidRPr="000463C2" w:rsidRDefault="00267C23">
    <w:pPr>
      <w:pStyle w:val="FSHRub1"/>
    </w:pPr>
    <w:r w:rsidRPr="000463C2">
      <w:t>Motion till riksdagen</w:t>
    </w:r>
    <w:r w:rsidRPr="000463C2">
      <w:br/>
    </w:r>
    <w:r w:rsidRPr="000463C2">
      <w:fldChar w:fldCharType="begin" w:fldLock="1"/>
    </w:r>
    <w:r w:rsidRPr="000463C2">
      <w:instrText xml:space="preserve"> DOCPROPERTY "YearUser" *\charformat </w:instrText>
    </w:r>
    <w:r w:rsidRPr="000463C2">
      <w:fldChar w:fldCharType="separate"/>
    </w:r>
    <w:r w:rsidRPr="000463C2">
      <w:t>2011/12</w:t>
    </w:r>
    <w:r w:rsidRPr="000463C2">
      <w:fldChar w:fldCharType="end"/>
    </w:r>
    <w:r w:rsidRPr="000463C2">
      <w:t>:</w:t>
    </w:r>
    <w:r w:rsidRPr="000463C2">
      <w:fldChar w:fldCharType="begin" w:fldLock="1"/>
    </w:r>
    <w:r w:rsidRPr="000463C2">
      <w:instrText xml:space="preserve"> DOCPROPERTY "Motionsnummer" *\charformat </w:instrText>
    </w:r>
    <w:r w:rsidRPr="000463C2">
      <w:fldChar w:fldCharType="separate"/>
    </w:r>
    <w:r w:rsidRPr="000463C2">
      <w:t>K296</w:t>
    </w:r>
    <w:r w:rsidRPr="000463C2">
      <w:fldChar w:fldCharType="end"/>
    </w:r>
  </w:p>
  <w:p w:rsidR="00267C23" w:rsidRPr="000463C2" w:rsidRDefault="00267C23">
    <w:pPr>
      <w:pStyle w:val="FSHNormalS5"/>
    </w:pPr>
    <w:r w:rsidRPr="000463C2">
      <w:fldChar w:fldCharType="begin" w:fldLock="1"/>
    </w:r>
    <w:r w:rsidRPr="000463C2">
      <w:instrText xml:space="preserve"> DOCPROPERTY "MotionarText" *\charformat </w:instrText>
    </w:r>
    <w:r w:rsidRPr="000463C2">
      <w:fldChar w:fldCharType="separate"/>
    </w:r>
    <w:r w:rsidRPr="000463C2">
      <w:t>av Carl-Oskar Bohlin (M)</w:t>
    </w:r>
    <w:r w:rsidRPr="000463C2">
      <w:fldChar w:fldCharType="end"/>
    </w:r>
    <w:r w:rsidRPr="000463C2">
      <w:br/>
    </w:r>
    <w:r w:rsidRPr="000463C2">
      <w:fldChar w:fldCharType="begin" w:fldLock="1"/>
    </w:r>
    <w:r w:rsidRPr="000463C2">
      <w:instrText xml:space="preserve"> DOCPROPERTY "SvarFrasKort" *\charformat </w:instrText>
    </w:r>
    <w:r w:rsidRPr="000463C2">
      <w:fldChar w:fldCharType="end"/>
    </w:r>
  </w:p>
  <w:p w:rsidR="00267C23" w:rsidRPr="000463C2" w:rsidRDefault="00267C23">
    <w:pPr>
      <w:pStyle w:val="FSHTitel"/>
    </w:pPr>
    <w:r w:rsidRPr="000463C2">
      <w:fldChar w:fldCharType="begin" w:fldLock="1"/>
    </w:r>
    <w:r w:rsidRPr="000463C2">
      <w:instrText xml:space="preserve"> DOCPROPERTY</w:instrText>
    </w:r>
    <w:r w:rsidRPr="000463C2">
      <w:rPr>
        <w:sz w:val="18"/>
      </w:rPr>
      <w:instrText xml:space="preserve"> "RubrikSvar" *\charformat </w:instrText>
    </w:r>
    <w:r w:rsidRPr="000463C2">
      <w:fldChar w:fldCharType="separate"/>
    </w:r>
    <w:r w:rsidRPr="000463C2">
      <w:t>Stopp för myndigheters opinionsbildning</w:t>
    </w:r>
    <w:r w:rsidRPr="000463C2">
      <w:fldChar w:fldCharType="end"/>
    </w:r>
  </w:p>
  <w:p w:rsidR="00267C23" w:rsidRPr="000463C2" w:rsidRDefault="00267C23">
    <w:pPr>
      <w:pStyle w:val="Normal00"/>
    </w:pPr>
  </w:p>
  <w:p w:rsidR="00267C23" w:rsidRPr="000463C2" w:rsidRDefault="00267C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72627523">
    <w:abstractNumId w:val="3"/>
  </w:num>
  <w:num w:numId="2" w16cid:durableId="47387226">
    <w:abstractNumId w:val="2"/>
  </w:num>
  <w:num w:numId="3" w16cid:durableId="856692773">
    <w:abstractNumId w:val="1"/>
  </w:num>
  <w:num w:numId="4" w16cid:durableId="86535294">
    <w:abstractNumId w:val="0"/>
  </w:num>
  <w:num w:numId="5" w16cid:durableId="1516573897">
    <w:abstractNumId w:val="7"/>
  </w:num>
  <w:num w:numId="6" w16cid:durableId="445655475">
    <w:abstractNumId w:val="6"/>
  </w:num>
  <w:num w:numId="7" w16cid:durableId="2007046851">
    <w:abstractNumId w:val="5"/>
  </w:num>
  <w:num w:numId="8" w16cid:durableId="1635867536">
    <w:abstractNumId w:val="4"/>
  </w:num>
  <w:num w:numId="9" w16cid:durableId="1659650815">
    <w:abstractNumId w:val="8"/>
  </w:num>
  <w:num w:numId="10" w16cid:durableId="1979991617">
    <w:abstractNumId w:val="9"/>
  </w:num>
  <w:num w:numId="11" w16cid:durableId="2085956205">
    <w:abstractNumId w:val="10"/>
  </w:num>
  <w:num w:numId="12" w16cid:durableId="1166048066">
    <w:abstractNumId w:val="13"/>
  </w:num>
  <w:num w:numId="13" w16cid:durableId="1729718295">
    <w:abstractNumId w:val="15"/>
  </w:num>
  <w:num w:numId="14" w16cid:durableId="2075616469">
    <w:abstractNumId w:val="16"/>
  </w:num>
  <w:num w:numId="15" w16cid:durableId="379134171">
    <w:abstractNumId w:val="11"/>
  </w:num>
  <w:num w:numId="16" w16cid:durableId="486477005">
    <w:abstractNumId w:val="18"/>
  </w:num>
  <w:num w:numId="17" w16cid:durableId="1204295944">
    <w:abstractNumId w:val="17"/>
  </w:num>
  <w:num w:numId="18" w16cid:durableId="2019190514">
    <w:abstractNumId w:val="14"/>
  </w:num>
  <w:num w:numId="19" w16cid:durableId="712197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E119DC42-C8C8-4AF2-B456-B99CA87B6C98}"/>
  </w:docVars>
  <w:rsids>
    <w:rsidRoot w:val="00610202"/>
    <w:rsid w:val="000463C2"/>
    <w:rsid w:val="00267C23"/>
    <w:rsid w:val="0061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B70256-514F-4958-B292-6AEFC5B9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3487</Characters>
  <Application>Microsoft Office Word</Application>
  <DocSecurity>4</DocSecurity>
  <Lines>65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M0239</vt:lpstr>
    </vt:vector>
  </TitlesOfParts>
  <Company>Riksdagen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M0239</dc:title>
  <dc:subject>M0239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2011-12-28T15:09:00Z</cp:lastPrinted>
  <dcterms:created xsi:type="dcterms:W3CDTF">2025-12-17T19:03:00Z</dcterms:created>
  <dcterms:modified xsi:type="dcterms:W3CDTF">2025-12-17T19:03:00Z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Stopp för myndigheters opinionsbildning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Stopp för myndigheters opinionsbildning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Carl-Oskar Bohlin (M)</vt:lpwstr>
  </property>
  <property fmtid="{D5CDD505-2E9C-101B-9397-08002B2CF9AE}" pid="26" name="MotionarLista">
    <vt:lpwstr>Bohlin, Carl-Oskar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Carl-Oskar Bohlin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20112012000000000077000002390069</vt:lpwstr>
  </property>
  <property fmtid="{D5CDD505-2E9C-101B-9397-08002B2CF9AE}" pid="47" name="datum">
    <vt:lpwstr>111003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20112012000000000077000002390069</vt:lpwstr>
  </property>
  <property fmtid="{D5CDD505-2E9C-101B-9397-08002B2CF9AE}" pid="50" name="nummer">
    <vt:lpwstr>296</vt:lpwstr>
  </property>
  <property fmtid="{D5CDD505-2E9C-101B-9397-08002B2CF9AE}" pid="51" name="utskottsbeteckning">
    <vt:lpwstr>K</vt:lpwstr>
  </property>
  <property fmtid="{D5CDD505-2E9C-101B-9397-08002B2CF9AE}" pid="52" name="GlobalUID">
    <vt:lpwstr>{DDE42A69-165D-4D8A-A059-F631290C70DF}</vt:lpwstr>
  </property>
  <property fmtid="{D5CDD505-2E9C-101B-9397-08002B2CF9AE}" pid="53" name="Överföringar">
    <vt:i4>0</vt:i4>
  </property>
  <property fmtid="{D5CDD505-2E9C-101B-9397-08002B2CF9AE}" pid="54" name="Checksum">
    <vt:lpwstr>*0004381972406*</vt:lpwstr>
  </property>
  <property fmtid="{D5CDD505-2E9C-101B-9397-08002B2CF9AE}" pid="55" name="skuggnummer">
    <vt:lpwstr>1621</vt:lpwstr>
  </property>
  <property fmtid="{D5CDD505-2E9C-101B-9397-08002B2CF9AE}" pid="56" name="urixVersion">
    <vt:lpwstr>4.5.0.25</vt:lpwstr>
  </property>
  <property fmtid="{D5CDD505-2E9C-101B-9397-08002B2CF9AE}" pid="57" name="urixOrigin">
    <vt:lpwstr>111229 08:45:18.683</vt:lpwstr>
  </property>
  <property fmtid="{D5CDD505-2E9C-101B-9397-08002B2CF9AE}" pid="58" name="urixGuid">
    <vt:lpwstr>{0900F13D-6B31-4161-966F-7837665BCD69}</vt:lpwstr>
  </property>
</Properties>
</file>