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260C" w:rsidRPr="00646168" w:rsidRDefault="0083260C">
      <w:pPr>
        <w:pStyle w:val="Frslagsrubrik"/>
      </w:pPr>
      <w:r w:rsidRPr="00646168">
        <w:t>Förslag till riksdagsbeslut</w:t>
      </w:r>
    </w:p>
    <w:p w:rsidR="0083260C" w:rsidRPr="00646168" w:rsidRDefault="0083260C">
      <w:pPr>
        <w:pStyle w:val="Hemstlatt"/>
      </w:pPr>
      <w:r w:rsidRPr="00646168">
        <w:t>Riksdagen tillkännager för regeringen som sin mening vad som anförs i motionen om att regeringen bör överväga om systemet för fördelning av basanslaget är väl avvägt i relation till målet att varje universitet och högskola ska ha förutsättningar att fatta långsiktiga beslut om sin fors</w:t>
      </w:r>
      <w:r w:rsidRPr="00646168">
        <w:t>k</w:t>
      </w:r>
      <w:r w:rsidRPr="00646168">
        <w:t>ning och att värna lärosätets integritet gentemot samarbetspar</w:t>
      </w:r>
      <w:r w:rsidRPr="00646168">
        <w:t>t</w:t>
      </w:r>
      <w:r w:rsidRPr="00646168">
        <w:t>ner.</w:t>
      </w:r>
    </w:p>
    <w:p w:rsidR="0083260C" w:rsidRPr="00646168" w:rsidRDefault="0083260C">
      <w:pPr>
        <w:pStyle w:val="Rubrik1"/>
      </w:pPr>
      <w:r w:rsidRPr="00646168">
        <w:t>Motivering</w:t>
      </w:r>
    </w:p>
    <w:p w:rsidR="0083260C" w:rsidRPr="00646168" w:rsidRDefault="0083260C">
      <w:r w:rsidRPr="00646168">
        <w:t>Medel ur lärosätenas basanslag för forskning används som samfinansiering av forskning som beviljats medel av offentliga och privata finansiärer. Samf</w:t>
      </w:r>
      <w:r w:rsidRPr="00646168">
        <w:t>i</w:t>
      </w:r>
      <w:r w:rsidRPr="00646168">
        <w:t>nansiering kan ske genom att forskares tid finansierad med basanslag läggs in i externt finansierade forskningsprojekt eller genom att basanslag används för att täcka indirekta kostnader och lokalkostnader.</w:t>
      </w:r>
    </w:p>
    <w:p w:rsidR="0083260C" w:rsidRPr="00646168" w:rsidRDefault="0083260C">
      <w:pPr>
        <w:pStyle w:val="Normaltindrag"/>
      </w:pPr>
      <w:r w:rsidRPr="00646168">
        <w:t>Samfinansiering innebär att lärosätet accepterar att forskningen riktas mot visa områden som ofta prioriteras av externa finansiärer.</w:t>
      </w:r>
    </w:p>
    <w:p w:rsidR="0083260C" w:rsidRPr="00646168" w:rsidRDefault="0083260C">
      <w:pPr>
        <w:pStyle w:val="Normaltindrag"/>
      </w:pPr>
      <w:r w:rsidRPr="00646168">
        <w:t>Utifrån Riksrevisionens skattningar är det tydligt att det finns stora skil</w:t>
      </w:r>
      <w:r w:rsidRPr="00646168">
        <w:t>l</w:t>
      </w:r>
      <w:r w:rsidRPr="00646168">
        <w:t>nader mellan olika lärosäten vad gäller hur stor andel av basanslagen som går till samfinansiering. Äldre universitet har ofta en betydligt lägre andel av basanslag uppbundna i samfinansiering jämfört högskolor med examenstil</w:t>
      </w:r>
      <w:r w:rsidRPr="00646168">
        <w:t>l</w:t>
      </w:r>
      <w:r w:rsidRPr="00646168">
        <w:t>stånd och övriga högskolor.</w:t>
      </w:r>
    </w:p>
    <w:p w:rsidR="0083260C" w:rsidRPr="00646168" w:rsidRDefault="0083260C">
      <w:pPr>
        <w:pStyle w:val="Normaltindrag"/>
      </w:pPr>
      <w:r w:rsidRPr="00646168">
        <w:t>För flera högskolor innebär Riksrevisionens skattningar att samfinansi</w:t>
      </w:r>
      <w:r w:rsidRPr="00646168">
        <w:t>e</w:t>
      </w:r>
      <w:r w:rsidRPr="00646168">
        <w:t>ring och kostnader för forskarutbildningen finansierad med basanslag tar i anspråk hela eller nästan hela basanslaget. Det leder till att ledningen vid dessa l</w:t>
      </w:r>
      <w:r w:rsidRPr="00646168">
        <w:t>ä</w:t>
      </w:r>
      <w:r w:rsidRPr="00646168">
        <w:t>rosäten har begränsade möjligheter att styra verksamheten. Utrymmet för att bygga upp forskarkompetens och infrastruktur för nya forskningsi</w:t>
      </w:r>
      <w:r w:rsidRPr="00646168">
        <w:t>n</w:t>
      </w:r>
      <w:r w:rsidRPr="00646168">
        <w:lastRenderedPageBreak/>
        <w:t>riktningar som ännu inte väckt intresse hos externa forskningsfinansiärer blir begränsat. På samma sätt blir förutsättningarna för att ge lektorer och profe</w:t>
      </w:r>
      <w:r w:rsidRPr="00646168">
        <w:t>s</w:t>
      </w:r>
      <w:r w:rsidRPr="00646168">
        <w:t>sorer mö</w:t>
      </w:r>
      <w:r w:rsidRPr="00646168">
        <w:t>j</w:t>
      </w:r>
      <w:r w:rsidRPr="00646168">
        <w:t>lighet till forskning i tjänsten små. Det in</w:t>
      </w:r>
      <w:r w:rsidRPr="00646168">
        <w:t>nebär vidare att möjlighet till fors</w:t>
      </w:r>
      <w:r w:rsidRPr="00646168">
        <w:t>k</w:t>
      </w:r>
      <w:r w:rsidRPr="00646168">
        <w:t>ningsanknytning i utbildningen på grundnivå och avancerad nivå i form av lärare som bedriver egen forskning är begränsad.</w:t>
      </w:r>
    </w:p>
    <w:p w:rsidR="0083260C" w:rsidRPr="00646168" w:rsidRDefault="0083260C">
      <w:pPr>
        <w:pStyle w:val="Normaltindrag"/>
      </w:pPr>
      <w:r w:rsidRPr="00646168">
        <w:t>Riksrevisionens samlade bild är att basanslaget i realiteten inte vid alla l</w:t>
      </w:r>
      <w:r w:rsidRPr="00646168">
        <w:t>ä</w:t>
      </w:r>
      <w:r w:rsidRPr="00646168">
        <w:t>rosäten ger utrymme för att kunna driva en verksamhet som möter alla de intentioner som riksdagen har gett uttryck för när det gäller basfinansieringen.</w:t>
      </w:r>
    </w:p>
    <w:p w:rsidR="0083260C" w:rsidRPr="00646168" w:rsidRDefault="0083260C">
      <w:pPr>
        <w:pStyle w:val="Normaltindrag"/>
      </w:pPr>
      <w:r w:rsidRPr="00646168">
        <w:t>Regeringen bör därför följa Riksrevisionens rekommendation och överv</w:t>
      </w:r>
      <w:r w:rsidRPr="00646168">
        <w:t>ä</w:t>
      </w:r>
      <w:r w:rsidRPr="00646168">
        <w:t>ga om systemet för fördelning av basanslaget är väl avvägt i relation till målet att varje universitet och högskola ska ha förutsättningar att fatta långsiktiga beslut om sin forskning och att värna lärosätets integritet gentemot sama</w:t>
      </w:r>
      <w:r w:rsidRPr="00646168">
        <w:t>r</w:t>
      </w:r>
      <w:r w:rsidRPr="00646168">
        <w:t>betspartner.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46168">
        <w:trPr>
          <w:cantSplit/>
        </w:trPr>
        <w:tc>
          <w:tcPr>
            <w:tcW w:w="3046" w:type="dxa"/>
          </w:tcPr>
          <w:p w:rsidR="0083260C" w:rsidRPr="00646168" w:rsidRDefault="0083260C">
            <w:pPr>
              <w:pStyle w:val="UnderskriftDatum"/>
              <w:spacing w:before="240"/>
            </w:pPr>
            <w:r w:rsidRPr="00646168">
              <w:t>Stockholm den 14 december 2011</w:t>
            </w:r>
          </w:p>
        </w:tc>
        <w:tc>
          <w:tcPr>
            <w:tcW w:w="3047" w:type="dxa"/>
          </w:tcPr>
          <w:p w:rsidR="0083260C" w:rsidRPr="00646168" w:rsidRDefault="0083260C">
            <w:pPr>
              <w:pStyle w:val="Underskrifter"/>
              <w:spacing w:before="240"/>
            </w:pPr>
          </w:p>
        </w:tc>
      </w:tr>
      <w:tr w:rsidR="00000000" w:rsidRPr="00646168">
        <w:trPr>
          <w:cantSplit/>
        </w:trPr>
        <w:tc>
          <w:tcPr>
            <w:tcW w:w="3046" w:type="dxa"/>
          </w:tcPr>
          <w:p w:rsidR="0083260C" w:rsidRPr="00646168" w:rsidRDefault="0083260C">
            <w:pPr>
              <w:pStyle w:val="Underskrifter"/>
            </w:pPr>
            <w:r w:rsidRPr="00646168">
              <w:t>Mikael Damberg (S)</w:t>
            </w:r>
          </w:p>
        </w:tc>
        <w:tc>
          <w:tcPr>
            <w:tcW w:w="3046" w:type="dxa"/>
          </w:tcPr>
          <w:p w:rsidR="0083260C" w:rsidRPr="00646168" w:rsidRDefault="0083260C">
            <w:pPr>
              <w:pStyle w:val="Underskrifter"/>
            </w:pPr>
          </w:p>
        </w:tc>
      </w:tr>
      <w:tr w:rsidR="00000000" w:rsidRPr="00646168">
        <w:trPr>
          <w:cantSplit/>
        </w:trPr>
        <w:tc>
          <w:tcPr>
            <w:tcW w:w="3046" w:type="dxa"/>
          </w:tcPr>
          <w:p w:rsidR="0083260C" w:rsidRPr="00646168" w:rsidRDefault="0083260C">
            <w:pPr>
              <w:pStyle w:val="Underskrifter"/>
            </w:pPr>
            <w:r w:rsidRPr="00646168">
              <w:t>Louise Malmström (S)</w:t>
            </w:r>
          </w:p>
        </w:tc>
        <w:tc>
          <w:tcPr>
            <w:tcW w:w="3046" w:type="dxa"/>
          </w:tcPr>
          <w:p w:rsidR="0083260C" w:rsidRPr="00646168" w:rsidRDefault="0083260C">
            <w:pPr>
              <w:pStyle w:val="Underskrifter"/>
            </w:pPr>
            <w:r w:rsidRPr="00646168">
              <w:t>Håkan Bergman (S)</w:t>
            </w:r>
          </w:p>
        </w:tc>
      </w:tr>
      <w:tr w:rsidR="00000000" w:rsidRPr="00646168">
        <w:trPr>
          <w:cantSplit/>
        </w:trPr>
        <w:tc>
          <w:tcPr>
            <w:tcW w:w="3046" w:type="dxa"/>
          </w:tcPr>
          <w:p w:rsidR="0083260C" w:rsidRPr="00646168" w:rsidRDefault="0083260C">
            <w:pPr>
              <w:pStyle w:val="Underskrifter"/>
            </w:pPr>
            <w:r w:rsidRPr="00646168">
              <w:t>Caroline Helmersson Olsson (S)</w:t>
            </w:r>
          </w:p>
        </w:tc>
        <w:tc>
          <w:tcPr>
            <w:tcW w:w="3046" w:type="dxa"/>
          </w:tcPr>
          <w:p w:rsidR="0083260C" w:rsidRPr="00646168" w:rsidRDefault="0083260C">
            <w:pPr>
              <w:pStyle w:val="Underskrifter"/>
            </w:pPr>
            <w:r w:rsidRPr="00646168">
              <w:t>Thomas Strand (S)</w:t>
            </w:r>
          </w:p>
        </w:tc>
      </w:tr>
      <w:tr w:rsidR="00000000" w:rsidRPr="00646168">
        <w:trPr>
          <w:cantSplit/>
        </w:trPr>
        <w:tc>
          <w:tcPr>
            <w:tcW w:w="3046" w:type="dxa"/>
          </w:tcPr>
          <w:p w:rsidR="0083260C" w:rsidRPr="00646168" w:rsidRDefault="0083260C">
            <w:pPr>
              <w:pStyle w:val="Underskrifter"/>
            </w:pPr>
            <w:r w:rsidRPr="00646168">
              <w:t>Gunilla Svantorp (S)</w:t>
            </w:r>
          </w:p>
        </w:tc>
        <w:tc>
          <w:tcPr>
            <w:tcW w:w="3046" w:type="dxa"/>
          </w:tcPr>
          <w:p w:rsidR="0083260C" w:rsidRPr="00646168" w:rsidRDefault="0083260C">
            <w:pPr>
              <w:pStyle w:val="Underskrifter"/>
            </w:pPr>
            <w:r w:rsidRPr="00646168">
              <w:t>Adnan Dibrani (S)</w:t>
            </w:r>
          </w:p>
        </w:tc>
      </w:tr>
    </w:tbl>
    <w:p w:rsidR="0083260C" w:rsidRPr="00646168" w:rsidRDefault="0083260C">
      <w:pPr>
        <w:pStyle w:val="Normaltindrag"/>
      </w:pPr>
    </w:p>
    <w:sectPr w:rsidR="0083260C" w:rsidRPr="00646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60C" w:rsidRPr="00646168" w:rsidRDefault="0083260C">
      <w:r w:rsidRPr="00646168">
        <w:separator/>
      </w:r>
    </w:p>
  </w:endnote>
  <w:endnote w:type="continuationSeparator" w:id="0">
    <w:p w:rsidR="0083260C" w:rsidRPr="00646168" w:rsidRDefault="0083260C">
      <w:r w:rsidRPr="006461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60C" w:rsidRPr="00646168" w:rsidRDefault="00646168">
    <w:pPr>
      <w:pStyle w:val="Sidfot"/>
    </w:pPr>
    <w:r w:rsidRPr="006461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97968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260C" w:rsidRDefault="008326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260C" w:rsidRDefault="008326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60C" w:rsidRPr="00646168" w:rsidRDefault="00646168">
    <w:pPr>
      <w:pStyle w:val="Sidfot"/>
    </w:pPr>
    <w:r w:rsidRPr="006461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91962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260C" w:rsidRDefault="008326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260C" w:rsidRDefault="008326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60C" w:rsidRPr="00646168" w:rsidRDefault="00646168">
    <w:pPr>
      <w:pStyle w:val="Sidfot"/>
    </w:pPr>
    <w:r w:rsidRPr="006461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39311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260C" w:rsidRDefault="008326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260C" w:rsidRDefault="008326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60C" w:rsidRPr="00646168" w:rsidRDefault="0083260C">
      <w:r w:rsidRPr="00646168">
        <w:separator/>
      </w:r>
    </w:p>
  </w:footnote>
  <w:footnote w:type="continuationSeparator" w:id="0">
    <w:p w:rsidR="0083260C" w:rsidRPr="00646168" w:rsidRDefault="0083260C">
      <w:r w:rsidRPr="006461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60C" w:rsidRPr="00646168" w:rsidRDefault="00646168">
    <w:pPr>
      <w:pStyle w:val="Sidhuvud"/>
    </w:pPr>
    <w:r w:rsidRPr="006461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24714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260C" w:rsidRDefault="008326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260C" w:rsidRDefault="008326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60C" w:rsidRPr="00646168" w:rsidRDefault="00646168">
    <w:pPr>
      <w:pStyle w:val="Sidhuvud"/>
    </w:pPr>
    <w:r w:rsidRPr="006461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11543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260C" w:rsidRDefault="008326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260C" w:rsidRDefault="008326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60C" w:rsidRPr="00646168" w:rsidRDefault="0083260C">
    <w:pPr>
      <w:pStyle w:val="FSHNormal"/>
      <w:tabs>
        <w:tab w:val="right" w:pos="5840"/>
      </w:tabs>
    </w:pPr>
    <w:r w:rsidRPr="00646168">
      <w:br/>
    </w:r>
    <w:r w:rsidRPr="00646168">
      <w:fldChar w:fldCharType="begin" w:fldLock="1"/>
    </w:r>
    <w:r w:rsidRPr="00646168">
      <w:instrText xml:space="preserve"> DOCPROPERTY</w:instrText>
    </w:r>
    <w:r w:rsidRPr="00646168">
      <w:rPr>
        <w:sz w:val="18"/>
      </w:rPr>
      <w:instrText xml:space="preserve"> "YearUser" *\charformat </w:instrText>
    </w:r>
    <w:r w:rsidRPr="00646168">
      <w:fldChar w:fldCharType="separate"/>
    </w:r>
    <w:r w:rsidRPr="00646168">
      <w:t>2011/12</w:t>
    </w:r>
    <w:r w:rsidRPr="00646168">
      <w:fldChar w:fldCharType="end"/>
    </w:r>
    <w:r w:rsidRPr="00646168">
      <w:t xml:space="preserve"> </w:t>
    </w:r>
    <w:r w:rsidRPr="00646168">
      <w:tab/>
      <w:t xml:space="preserve">mnr: </w:t>
    </w:r>
    <w:r w:rsidRPr="00646168">
      <w:fldChar w:fldCharType="begin" w:fldLock="1"/>
    </w:r>
    <w:r w:rsidRPr="00646168">
      <w:instrText xml:space="preserve"> DOCPROPERTY</w:instrText>
    </w:r>
    <w:r w:rsidRPr="00646168">
      <w:rPr>
        <w:sz w:val="18"/>
      </w:rPr>
      <w:instrText xml:space="preserve"> "Motionsnummer" *\charformat </w:instrText>
    </w:r>
    <w:r w:rsidRPr="00646168">
      <w:fldChar w:fldCharType="separate"/>
    </w:r>
    <w:r w:rsidRPr="00646168">
      <w:t>Ub1</w:t>
    </w:r>
    <w:r w:rsidRPr="00646168">
      <w:fldChar w:fldCharType="end"/>
    </w:r>
    <w:r w:rsidRPr="00646168">
      <w:br/>
    </w:r>
    <w:r w:rsidRPr="00646168">
      <w:fldChar w:fldCharType="begin" w:fldLock="1"/>
    </w:r>
    <w:r w:rsidRPr="00646168">
      <w:instrText xml:space="preserve"> DOCPROPERTY</w:instrText>
    </w:r>
    <w:r w:rsidRPr="00646168">
      <w:rPr>
        <w:sz w:val="18"/>
      </w:rPr>
      <w:instrText xml:space="preserve"> "Samling" *\charformat </w:instrText>
    </w:r>
    <w:r w:rsidRPr="00646168">
      <w:fldChar w:fldCharType="end"/>
    </w:r>
    <w:r w:rsidRPr="00646168">
      <w:tab/>
      <w:t xml:space="preserve">pnr: </w:t>
    </w:r>
    <w:r w:rsidRPr="00646168">
      <w:fldChar w:fldCharType="begin" w:fldLock="1"/>
    </w:r>
    <w:r w:rsidRPr="00646168">
      <w:instrText xml:space="preserve"> DOCPROPERTY</w:instrText>
    </w:r>
    <w:r w:rsidRPr="00646168">
      <w:rPr>
        <w:sz w:val="18"/>
      </w:rPr>
      <w:instrText xml:space="preserve"> "Partinummer" *\charformat </w:instrText>
    </w:r>
    <w:r w:rsidRPr="00646168">
      <w:fldChar w:fldCharType="separate"/>
    </w:r>
    <w:r w:rsidRPr="00646168">
      <w:t>S48009</w:t>
    </w:r>
    <w:r w:rsidRPr="00646168">
      <w:fldChar w:fldCharType="end"/>
    </w:r>
  </w:p>
  <w:p w:rsidR="0083260C" w:rsidRPr="00646168" w:rsidRDefault="0083260C">
    <w:pPr>
      <w:pStyle w:val="FSHRub1"/>
    </w:pPr>
    <w:r w:rsidRPr="00646168">
      <w:t>Motion till riksdagen</w:t>
    </w:r>
    <w:r w:rsidRPr="00646168">
      <w:br/>
    </w:r>
    <w:r w:rsidRPr="00646168">
      <w:fldChar w:fldCharType="begin" w:fldLock="1"/>
    </w:r>
    <w:r w:rsidRPr="00646168">
      <w:instrText xml:space="preserve"> DOCPROPERTY "YearUser" *\charformat </w:instrText>
    </w:r>
    <w:r w:rsidRPr="00646168">
      <w:fldChar w:fldCharType="separate"/>
    </w:r>
    <w:r w:rsidRPr="00646168">
      <w:t>2011/12</w:t>
    </w:r>
    <w:r w:rsidRPr="00646168">
      <w:fldChar w:fldCharType="end"/>
    </w:r>
    <w:r w:rsidRPr="00646168">
      <w:t>:</w:t>
    </w:r>
    <w:r w:rsidRPr="00646168">
      <w:fldChar w:fldCharType="begin" w:fldLock="1"/>
    </w:r>
    <w:r w:rsidRPr="00646168">
      <w:instrText xml:space="preserve"> DOCPROPERTY "Motionsnummer" *\charformat </w:instrText>
    </w:r>
    <w:r w:rsidRPr="00646168">
      <w:fldChar w:fldCharType="separate"/>
    </w:r>
    <w:r w:rsidRPr="00646168">
      <w:t>Ub1</w:t>
    </w:r>
    <w:r w:rsidRPr="00646168">
      <w:fldChar w:fldCharType="end"/>
    </w:r>
  </w:p>
  <w:p w:rsidR="0083260C" w:rsidRPr="00646168" w:rsidRDefault="0083260C">
    <w:pPr>
      <w:pStyle w:val="FSHNormalS5"/>
    </w:pPr>
    <w:r w:rsidRPr="00646168">
      <w:fldChar w:fldCharType="begin" w:fldLock="1"/>
    </w:r>
    <w:r w:rsidRPr="00646168">
      <w:instrText xml:space="preserve"> DOCPROPERTY "MotionarText" *\charformat </w:instrText>
    </w:r>
    <w:r w:rsidRPr="00646168">
      <w:fldChar w:fldCharType="separate"/>
    </w:r>
    <w:r w:rsidRPr="00646168">
      <w:t>av Mikael Damberg m.fl. (S)</w:t>
    </w:r>
    <w:r w:rsidRPr="00646168">
      <w:fldChar w:fldCharType="end"/>
    </w:r>
    <w:r w:rsidRPr="00646168">
      <w:br/>
    </w:r>
    <w:r w:rsidRPr="00646168">
      <w:fldChar w:fldCharType="begin" w:fldLock="1"/>
    </w:r>
    <w:r w:rsidRPr="00646168">
      <w:instrText xml:space="preserve"> DOCPROPERTY "SvarFrasKort" *\charformat </w:instrText>
    </w:r>
    <w:r w:rsidRPr="00646168">
      <w:fldChar w:fldCharType="separate"/>
    </w:r>
    <w:r w:rsidRPr="00646168">
      <w:t>med anledning av skr. 2011/12:36</w:t>
    </w:r>
    <w:r w:rsidRPr="00646168">
      <w:fldChar w:fldCharType="end"/>
    </w:r>
  </w:p>
  <w:p w:rsidR="0083260C" w:rsidRPr="00646168" w:rsidRDefault="0083260C">
    <w:pPr>
      <w:pStyle w:val="FSHTitel"/>
    </w:pPr>
    <w:r w:rsidRPr="00646168">
      <w:fldChar w:fldCharType="begin" w:fldLock="1"/>
    </w:r>
    <w:r w:rsidRPr="00646168">
      <w:instrText xml:space="preserve"> DOCPROPERTY</w:instrText>
    </w:r>
    <w:r w:rsidRPr="00646168">
      <w:rPr>
        <w:sz w:val="18"/>
      </w:rPr>
      <w:instrText xml:space="preserve"> "RubrikSvar" *\charformat </w:instrText>
    </w:r>
    <w:r w:rsidRPr="00646168">
      <w:fldChar w:fldCharType="separate"/>
    </w:r>
    <w:r w:rsidRPr="00646168">
      <w:t>Riksrevisionens rapport om användningen av basanslaget för forskning och forskarutbildning</w:t>
    </w:r>
    <w:r w:rsidRPr="00646168">
      <w:fldChar w:fldCharType="end"/>
    </w:r>
  </w:p>
  <w:p w:rsidR="0083260C" w:rsidRPr="00646168" w:rsidRDefault="0083260C">
    <w:pPr>
      <w:pStyle w:val="Normal00"/>
    </w:pPr>
  </w:p>
  <w:p w:rsidR="0083260C" w:rsidRPr="00646168" w:rsidRDefault="008326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08080784">
    <w:abstractNumId w:val="3"/>
  </w:num>
  <w:num w:numId="2" w16cid:durableId="855584369">
    <w:abstractNumId w:val="2"/>
  </w:num>
  <w:num w:numId="3" w16cid:durableId="1728408679">
    <w:abstractNumId w:val="1"/>
  </w:num>
  <w:num w:numId="4" w16cid:durableId="2091415990">
    <w:abstractNumId w:val="0"/>
  </w:num>
  <w:num w:numId="5" w16cid:durableId="126971703">
    <w:abstractNumId w:val="7"/>
  </w:num>
  <w:num w:numId="6" w16cid:durableId="1397977257">
    <w:abstractNumId w:val="6"/>
  </w:num>
  <w:num w:numId="7" w16cid:durableId="1245409146">
    <w:abstractNumId w:val="5"/>
  </w:num>
  <w:num w:numId="8" w16cid:durableId="1776093992">
    <w:abstractNumId w:val="4"/>
  </w:num>
  <w:num w:numId="9" w16cid:durableId="831792601">
    <w:abstractNumId w:val="8"/>
  </w:num>
  <w:num w:numId="10" w16cid:durableId="844713990">
    <w:abstractNumId w:val="9"/>
  </w:num>
  <w:num w:numId="11" w16cid:durableId="943922626">
    <w:abstractNumId w:val="10"/>
  </w:num>
  <w:num w:numId="12" w16cid:durableId="1646084001">
    <w:abstractNumId w:val="13"/>
  </w:num>
  <w:num w:numId="13" w16cid:durableId="885990961">
    <w:abstractNumId w:val="15"/>
  </w:num>
  <w:num w:numId="14" w16cid:durableId="1610232612">
    <w:abstractNumId w:val="16"/>
  </w:num>
  <w:num w:numId="15" w16cid:durableId="695737212">
    <w:abstractNumId w:val="11"/>
  </w:num>
  <w:num w:numId="16" w16cid:durableId="680200009">
    <w:abstractNumId w:val="18"/>
  </w:num>
  <w:num w:numId="17" w16cid:durableId="1002510558">
    <w:abstractNumId w:val="17"/>
  </w:num>
  <w:num w:numId="18" w16cid:durableId="994186541">
    <w:abstractNumId w:val="14"/>
  </w:num>
  <w:num w:numId="19" w16cid:durableId="2221028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2-14"/>
    <w:docVar w:name="PersonGUIDs" w:val="{D5EBC00A-9263-4FA0-8362-4ED95C542CE8},{CA5D01D2-421F-4F5D-8E1A-A951884A2201},{1838BAC7-5804-43D1-84D1-59154FA8A178},{2284A28A-35FB-4B6B-8B37-F5FECFC0DBFC},{B95FC32C-C965-4CD0-8439-57561DC117E3},{08D37412-6E35-4AAD-ABA0-31DCDBF3ADC8},{051A49D3-53CD-4642-8F4B-35937085BCA3}"/>
  </w:docVars>
  <w:rsids>
    <w:rsidRoot w:val="00EF325B"/>
    <w:rsid w:val="00646168"/>
    <w:rsid w:val="0083260C"/>
    <w:rsid w:val="00E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19BA36-7788-4997-9FF8-5DE6E8A6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2318</Characters>
  <Application>Microsoft Office Word</Application>
  <DocSecurity>4</DocSecurity>
  <Lines>47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S48009</vt:lpstr>
    </vt:vector>
  </TitlesOfParts>
  <Company>Riksdagen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S48009</dc:title>
  <dc:subject>S48009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2011-12-19T12:57:00Z</cp:lastPrinted>
  <dcterms:created xsi:type="dcterms:W3CDTF">2025-12-17T20:36:00Z</dcterms:created>
  <dcterms:modified xsi:type="dcterms:W3CDTF">2025-12-17T20:36:00Z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mot2000_533_2011-12-14</vt:lpwstr>
  </property>
  <property fmtid="{D5CDD505-2E9C-101B-9397-08002B2CF9AE}" pid="3" name="version">
    <vt:lpwstr>mot2000_533_2011-12-14</vt:lpwstr>
  </property>
  <property fmtid="{D5CDD505-2E9C-101B-9397-08002B2CF9AE}" pid="4" name="dokumenttyp">
    <vt:lpwstr>motion</vt:lpwstr>
  </property>
  <property fmtid="{D5CDD505-2E9C-101B-9397-08002B2CF9AE}" pid="5" name="Sekr">
    <vt:lpwstr>kp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2011/12:36 Riksrevisionens rapport om användningen av basanslaget för forskning och forskarutbildning</vt:lpwstr>
  </property>
  <property fmtid="{D5CDD505-2E9C-101B-9397-08002B2CF9AE}" pid="11" name="SvarFrasKort">
    <vt:lpwstr>med anledning av skr. 2011/12:36</vt:lpwstr>
  </property>
  <property fmtid="{D5CDD505-2E9C-101B-9397-08002B2CF9AE}" pid="12" name="Svar">
    <vt:lpwstr>Regeringsskrivelse</vt:lpwstr>
  </property>
  <property fmtid="{D5CDD505-2E9C-101B-9397-08002B2CF9AE}" pid="13" name="SvarNr">
    <vt:lpwstr>2011/12:36</vt:lpwstr>
  </property>
  <property fmtid="{D5CDD505-2E9C-101B-9397-08002B2CF9AE}" pid="14" name="RubrikSvar">
    <vt:lpwstr>Riksrevisionens rapport om användningen av basanslaget för forskning och forskarutbildning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S48009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Mikael Damberg m.fl. (S)</vt:lpwstr>
  </property>
  <property fmtid="{D5CDD505-2E9C-101B-9397-08002B2CF9AE}" pid="26" name="MotionarLista">
    <vt:lpwstr>Damberg, Mikael (S)\Malmström, Louise (S)\Bergman, Håkan (S)\Helmersson Olsson, Caroline (S)\Strand, Thomas (S)\Svantorp, Gunilla (S)\Dibrani, Adnan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Damberg (S), Louise Malmström (S), Håkan Bergman (S), Caroline Helmersson Olsson (S), Thomas Strand (S), Gunilla Svantorp (S), Adnan Dibrani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december 2011</vt:lpwstr>
  </property>
  <property fmtid="{D5CDD505-2E9C-101B-9397-08002B2CF9AE}" pid="44" name="NotesUID">
    <vt:lpwstr>kristina.persdotter@riksdagen.se</vt:lpwstr>
  </property>
  <property fmtid="{D5CDD505-2E9C-101B-9397-08002B2CF9AE}" pid="45" name="ReservUID">
    <vt:lpwstr>ka0131aa</vt:lpwstr>
  </property>
  <property fmtid="{D5CDD505-2E9C-101B-9397-08002B2CF9AE}" pid="46" name="MotionID">
    <vt:lpwstr>20112012000000000083000480090075</vt:lpwstr>
  </property>
  <property fmtid="{D5CDD505-2E9C-101B-9397-08002B2CF9AE}" pid="47" name="datum">
    <vt:lpwstr>111214</vt:lpwstr>
  </property>
  <property fmtid="{D5CDD505-2E9C-101B-9397-08002B2CF9AE}" pid="48" name="avsändar-e-post">
    <vt:lpwstr>kristina.persdotter@riksdagen.se</vt:lpwstr>
  </property>
  <property fmtid="{D5CDD505-2E9C-101B-9397-08002B2CF9AE}" pid="49" name="id">
    <vt:lpwstr>20112012000000000083000480090075</vt:lpwstr>
  </property>
  <property fmtid="{D5CDD505-2E9C-101B-9397-08002B2CF9AE}" pid="50" name="nummer">
    <vt:lpwstr>1</vt:lpwstr>
  </property>
  <property fmtid="{D5CDD505-2E9C-101B-9397-08002B2CF9AE}" pid="51" name="utskottsbeteckning">
    <vt:lpwstr>Ub</vt:lpwstr>
  </property>
  <property fmtid="{D5CDD505-2E9C-101B-9397-08002B2CF9AE}" pid="52" name="GlobalUID">
    <vt:lpwstr>{DD9B28AC-8A6C-4492-9259-4321F6B3D32D}</vt:lpwstr>
  </property>
  <property fmtid="{D5CDD505-2E9C-101B-9397-08002B2CF9AE}" pid="53" name="Överföringar">
    <vt:i4>0</vt:i4>
  </property>
  <property fmtid="{D5CDD505-2E9C-101B-9397-08002B2CF9AE}" pid="54" name="Checksum">
    <vt:lpwstr>*0016252469946*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111219 13:57:38.559</vt:lpwstr>
  </property>
  <property fmtid="{D5CDD505-2E9C-101B-9397-08002B2CF9AE}" pid="58" name="urixGuid">
    <vt:lpwstr>{D4C18211-2B98-49E8-9CBA-3EE691B961A6}</vt:lpwstr>
  </property>
</Properties>
</file>