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4D77A5" w:rsidRPr="00DE7DAC">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4D77A5" w:rsidRPr="00DE7DAC" w:rsidRDefault="00DE7DAC">
            <w:pPr>
              <w:pStyle w:val="EntLogo"/>
            </w:pPr>
            <w:r w:rsidRPr="00DE7DAC">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77A5" w:rsidRPr="00DE7DAC">
        <w:tblPrEx>
          <w:tblCellMar>
            <w:top w:w="0" w:type="dxa"/>
            <w:left w:w="0" w:type="dxa"/>
            <w:bottom w:w="0" w:type="dxa"/>
            <w:right w:w="0" w:type="dxa"/>
          </w:tblCellMar>
        </w:tblPrEx>
        <w:trPr>
          <w:cantSplit/>
          <w:trHeight w:val="1120"/>
        </w:trPr>
        <w:tc>
          <w:tcPr>
            <w:tcW w:w="4821" w:type="dxa"/>
            <w:gridSpan w:val="2"/>
          </w:tcPr>
          <w:p w:rsidR="009A5D5F" w:rsidRPr="00DE7DAC" w:rsidRDefault="009A5D5F">
            <w:pPr>
              <w:pStyle w:val="EntInstit"/>
            </w:pPr>
            <w:bookmarkStart w:id="0" w:name="Entete"/>
            <w:bookmarkEnd w:id="0"/>
            <w:r w:rsidRPr="00DE7DAC">
              <w:t>EUROPEISKA</w:t>
            </w:r>
          </w:p>
          <w:p w:rsidR="004D77A5" w:rsidRPr="00DE7DAC" w:rsidRDefault="009A5D5F">
            <w:pPr>
              <w:pStyle w:val="EntInstit"/>
            </w:pPr>
            <w:r w:rsidRPr="00DE7DAC">
              <w:t>UNIONENS RÅD</w:t>
            </w:r>
          </w:p>
        </w:tc>
        <w:tc>
          <w:tcPr>
            <w:tcW w:w="1701" w:type="dxa"/>
          </w:tcPr>
          <w:p w:rsidR="004D77A5" w:rsidRPr="00DE7DAC" w:rsidRDefault="004D77A5">
            <w:pPr>
              <w:spacing w:line="240" w:lineRule="auto"/>
              <w:jc w:val="right"/>
              <w:rPr>
                <w:b/>
              </w:rPr>
            </w:pPr>
          </w:p>
        </w:tc>
        <w:tc>
          <w:tcPr>
            <w:tcW w:w="4820" w:type="dxa"/>
            <w:gridSpan w:val="2"/>
          </w:tcPr>
          <w:p w:rsidR="004D77A5" w:rsidRPr="00DE7DAC" w:rsidRDefault="009A5D5F">
            <w:pPr>
              <w:pStyle w:val="EntRefer"/>
            </w:pPr>
            <w:bookmarkStart w:id="1" w:name="Lieu"/>
            <w:bookmarkEnd w:id="1"/>
            <w:r w:rsidRPr="00DE7DAC">
              <w:t>Bryssel den</w:t>
            </w:r>
            <w:r w:rsidR="004D77A5" w:rsidRPr="00DE7DAC">
              <w:t xml:space="preserve"> </w:t>
            </w:r>
            <w:bookmarkStart w:id="2" w:name="Date"/>
            <w:bookmarkEnd w:id="2"/>
            <w:r w:rsidRPr="00DE7DAC">
              <w:t>3 april 2006</w:t>
            </w:r>
            <w:r w:rsidR="004D77A5" w:rsidRPr="00DE7DAC">
              <w:t xml:space="preserve"> </w:t>
            </w:r>
            <w:bookmarkStart w:id="3" w:name="DateEntree"/>
            <w:bookmarkEnd w:id="3"/>
            <w:r w:rsidRPr="00DE7DAC">
              <w:t>(7.4)</w:t>
            </w:r>
          </w:p>
          <w:p w:rsidR="004D77A5" w:rsidRPr="00DE7DAC" w:rsidRDefault="009A5D5F">
            <w:pPr>
              <w:pStyle w:val="EntRefer"/>
            </w:pPr>
            <w:bookmarkStart w:id="4" w:name="LangueOrig"/>
            <w:bookmarkEnd w:id="4"/>
            <w:r w:rsidRPr="00DE7DAC">
              <w:t>(OR. en)</w:t>
            </w:r>
          </w:p>
        </w:tc>
      </w:tr>
      <w:tr w:rsidR="004D77A5" w:rsidRPr="00DE7DAC">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9A5D5F" w:rsidRPr="00DE7DAC" w:rsidRDefault="009A5D5F" w:rsidP="009A5D5F">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DE7DAC">
              <w:t>Interinstitutionellt ärende:</w:t>
            </w:r>
          </w:p>
          <w:p w:rsidR="004D77A5" w:rsidRPr="00DE7DAC" w:rsidRDefault="009A5D5F" w:rsidP="009A5D5F">
            <w:pPr>
              <w:pStyle w:val="EntRefer"/>
              <w:pBdr>
                <w:top w:val="double" w:sz="4" w:space="4" w:color="auto"/>
                <w:left w:val="double" w:sz="4" w:space="0" w:color="auto"/>
                <w:bottom w:val="double" w:sz="4" w:space="4" w:color="auto"/>
                <w:right w:val="double" w:sz="4" w:space="0" w:color="auto"/>
              </w:pBdr>
              <w:jc w:val="center"/>
            </w:pPr>
            <w:r w:rsidRPr="00DE7DAC">
              <w:t>2005/0104 (COD)</w:t>
            </w:r>
          </w:p>
        </w:tc>
        <w:tc>
          <w:tcPr>
            <w:tcW w:w="1701" w:type="dxa"/>
            <w:vAlign w:val="center"/>
          </w:tcPr>
          <w:p w:rsidR="004D77A5" w:rsidRPr="00DE7DAC" w:rsidRDefault="004D77A5">
            <w:pPr>
              <w:spacing w:line="240" w:lineRule="auto"/>
              <w:rPr>
                <w:b/>
              </w:rPr>
            </w:pPr>
          </w:p>
        </w:tc>
        <w:tc>
          <w:tcPr>
            <w:tcW w:w="3970" w:type="dxa"/>
          </w:tcPr>
          <w:p w:rsidR="004D77A5" w:rsidRPr="00DE7DAC" w:rsidRDefault="009A5D5F">
            <w:pPr>
              <w:pStyle w:val="EntRefer"/>
            </w:pPr>
            <w:bookmarkStart w:id="6" w:name="Cote"/>
            <w:bookmarkEnd w:id="6"/>
            <w:r w:rsidRPr="00DE7DAC">
              <w:t>8082/06</w:t>
            </w:r>
          </w:p>
          <w:p w:rsidR="004D77A5" w:rsidRPr="00DE7DAC" w:rsidRDefault="004D77A5">
            <w:pPr>
              <w:pStyle w:val="EntRefer"/>
            </w:pPr>
            <w:bookmarkStart w:id="7" w:name="CoteRev"/>
            <w:bookmarkEnd w:id="7"/>
          </w:p>
          <w:p w:rsidR="004D77A5" w:rsidRPr="00DE7DAC" w:rsidRDefault="004D77A5">
            <w:pPr>
              <w:pStyle w:val="EntRefer"/>
            </w:pPr>
          </w:p>
          <w:p w:rsidR="004D77A5" w:rsidRPr="00DE7DAC" w:rsidRDefault="009A5D5F">
            <w:pPr>
              <w:pStyle w:val="EntRefer"/>
            </w:pPr>
            <w:bookmarkStart w:id="8" w:name="CoteSec"/>
            <w:bookmarkEnd w:id="8"/>
            <w:r w:rsidRPr="00DE7DAC">
              <w:t>LIMITE</w:t>
            </w:r>
          </w:p>
          <w:p w:rsidR="004D77A5" w:rsidRPr="00DE7DAC" w:rsidRDefault="004D77A5">
            <w:pPr>
              <w:pStyle w:val="EntRefer"/>
            </w:pPr>
          </w:p>
        </w:tc>
      </w:tr>
      <w:tr w:rsidR="004D77A5" w:rsidRPr="00DE7DAC">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4D77A5" w:rsidRPr="00DE7DAC" w:rsidRDefault="004D77A5">
            <w:pPr>
              <w:pStyle w:val="EntRefer"/>
              <w:jc w:val="center"/>
            </w:pPr>
            <w:bookmarkStart w:id="9" w:name="SousEmbargo"/>
            <w:bookmarkEnd w:id="9"/>
          </w:p>
        </w:tc>
        <w:tc>
          <w:tcPr>
            <w:tcW w:w="1701" w:type="dxa"/>
            <w:vAlign w:val="center"/>
          </w:tcPr>
          <w:p w:rsidR="004D77A5" w:rsidRPr="00DE7DAC" w:rsidRDefault="004D77A5">
            <w:pPr>
              <w:spacing w:line="240" w:lineRule="auto"/>
              <w:rPr>
                <w:b/>
              </w:rPr>
            </w:pPr>
          </w:p>
        </w:tc>
        <w:tc>
          <w:tcPr>
            <w:tcW w:w="3970" w:type="dxa"/>
          </w:tcPr>
          <w:p w:rsidR="004D77A5" w:rsidRPr="00DE7DAC" w:rsidRDefault="004F4832">
            <w:pPr>
              <w:pStyle w:val="EntRefer"/>
              <w:tabs>
                <w:tab w:val="right" w:pos="1984"/>
              </w:tabs>
            </w:pPr>
            <w:r w:rsidRPr="00DE7DAC">
              <w:t>SIRIS</w:t>
            </w:r>
            <w:r w:rsidRPr="00DE7DAC">
              <w:tab/>
              <w:t>72</w:t>
            </w:r>
          </w:p>
          <w:p w:rsidR="004F4832" w:rsidRPr="00DE7DAC" w:rsidRDefault="004F4832">
            <w:pPr>
              <w:pStyle w:val="EntRefer"/>
              <w:tabs>
                <w:tab w:val="right" w:pos="1984"/>
              </w:tabs>
            </w:pPr>
            <w:r w:rsidRPr="00DE7DAC">
              <w:t>SCHENGEN</w:t>
            </w:r>
            <w:r w:rsidRPr="00DE7DAC">
              <w:tab/>
              <w:t>32</w:t>
            </w:r>
          </w:p>
          <w:p w:rsidR="004F4832" w:rsidRPr="00DE7DAC" w:rsidRDefault="004F4832">
            <w:pPr>
              <w:pStyle w:val="EntRefer"/>
              <w:tabs>
                <w:tab w:val="right" w:pos="1984"/>
              </w:tabs>
            </w:pPr>
            <w:r w:rsidRPr="00DE7DAC">
              <w:t>CODEC</w:t>
            </w:r>
            <w:r w:rsidRPr="00DE7DAC">
              <w:tab/>
              <w:t>311</w:t>
            </w:r>
          </w:p>
          <w:p w:rsidR="004F4832" w:rsidRPr="00DE7DAC" w:rsidRDefault="004F4832">
            <w:pPr>
              <w:pStyle w:val="EntRefer"/>
              <w:tabs>
                <w:tab w:val="right" w:pos="1984"/>
              </w:tabs>
            </w:pPr>
            <w:r w:rsidRPr="00DE7DAC">
              <w:t>COMIX</w:t>
            </w:r>
            <w:r w:rsidRPr="00DE7DAC">
              <w:tab/>
              <w:t>339</w:t>
            </w:r>
          </w:p>
        </w:tc>
      </w:tr>
    </w:tbl>
    <w:p w:rsidR="004D77A5" w:rsidRPr="00DE7DAC" w:rsidRDefault="004D77A5">
      <w:pPr>
        <w:pStyle w:val="EntRefer"/>
      </w:pPr>
      <w:bookmarkStart w:id="10" w:name="AC"/>
    </w:p>
    <w:p w:rsidR="004D77A5" w:rsidRPr="00DE7DAC" w:rsidRDefault="009A5D5F" w:rsidP="004F4832">
      <w:pPr>
        <w:pStyle w:val="EntRefer"/>
        <w:outlineLvl w:val="0"/>
      </w:pPr>
      <w:bookmarkStart w:id="11" w:name="Title"/>
      <w:bookmarkEnd w:id="11"/>
      <w:r w:rsidRPr="00DE7DAC">
        <w:t>NOT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4D77A5" w:rsidRPr="00DE7DAC">
        <w:tblPrEx>
          <w:tblCellMar>
            <w:top w:w="0" w:type="dxa"/>
            <w:left w:w="0" w:type="dxa"/>
            <w:bottom w:w="0" w:type="dxa"/>
            <w:right w:w="0" w:type="dxa"/>
          </w:tblCellMar>
        </w:tblPrEx>
        <w:tc>
          <w:tcPr>
            <w:tcW w:w="1985" w:type="dxa"/>
            <w:tcBorders>
              <w:top w:val="single" w:sz="4" w:space="0" w:color="auto"/>
            </w:tcBorders>
          </w:tcPr>
          <w:p w:rsidR="004D77A5" w:rsidRPr="00DE7DAC" w:rsidRDefault="004D77A5">
            <w:pPr>
              <w:pStyle w:val="EntEmet"/>
            </w:pPr>
            <w:bookmarkStart w:id="12" w:name="Ref"/>
            <w:bookmarkStart w:id="13" w:name="RefDu"/>
            <w:r w:rsidRPr="00DE7DAC">
              <w:t>från:</w:t>
            </w:r>
            <w:bookmarkEnd w:id="13"/>
          </w:p>
        </w:tc>
        <w:tc>
          <w:tcPr>
            <w:tcW w:w="7654" w:type="dxa"/>
            <w:tcBorders>
              <w:top w:val="single" w:sz="4" w:space="0" w:color="auto"/>
            </w:tcBorders>
          </w:tcPr>
          <w:p w:rsidR="004D77A5" w:rsidRPr="00DE7DAC" w:rsidRDefault="004F4832">
            <w:pPr>
              <w:pStyle w:val="EntEmet"/>
            </w:pPr>
            <w:r w:rsidRPr="00DE7DAC">
              <w:t>Ordförandeskapet</w:t>
            </w:r>
          </w:p>
        </w:tc>
      </w:tr>
      <w:tr w:rsidR="004D77A5" w:rsidRPr="00DE7DAC">
        <w:tblPrEx>
          <w:tblCellMar>
            <w:top w:w="0" w:type="dxa"/>
            <w:left w:w="0" w:type="dxa"/>
            <w:bottom w:w="0" w:type="dxa"/>
            <w:right w:w="0" w:type="dxa"/>
          </w:tblCellMar>
        </w:tblPrEx>
        <w:tc>
          <w:tcPr>
            <w:tcW w:w="1985" w:type="dxa"/>
            <w:tcBorders>
              <w:bottom w:val="single" w:sz="4" w:space="0" w:color="auto"/>
            </w:tcBorders>
          </w:tcPr>
          <w:p w:rsidR="004D77A5" w:rsidRPr="00DE7DAC" w:rsidRDefault="004D77A5">
            <w:pPr>
              <w:pStyle w:val="EntEmet"/>
            </w:pPr>
            <w:bookmarkStart w:id="14" w:name="RefA"/>
            <w:bookmarkStart w:id="15" w:name="RefRow_A"/>
            <w:r w:rsidRPr="00DE7DAC">
              <w:t>till:</w:t>
            </w:r>
            <w:bookmarkEnd w:id="14"/>
          </w:p>
        </w:tc>
        <w:tc>
          <w:tcPr>
            <w:tcW w:w="7654" w:type="dxa"/>
            <w:tcBorders>
              <w:bottom w:val="single" w:sz="4" w:space="0" w:color="auto"/>
            </w:tcBorders>
          </w:tcPr>
          <w:p w:rsidR="004D77A5" w:rsidRPr="00DE7DAC" w:rsidRDefault="004F4832">
            <w:pPr>
              <w:pStyle w:val="EntEmet"/>
            </w:pPr>
            <w:r w:rsidRPr="00DE7DAC">
              <w:t>Arbetsgruppen för Schengenregelverket (den gemensamma kommittén EU/Island, Norge och Schweiz)</w:t>
            </w:r>
          </w:p>
        </w:tc>
      </w:tr>
      <w:tr w:rsidR="004D77A5" w:rsidRPr="00DE7DAC">
        <w:tblPrEx>
          <w:tblCellMar>
            <w:top w:w="0" w:type="dxa"/>
            <w:left w:w="0" w:type="dxa"/>
            <w:bottom w:w="0" w:type="dxa"/>
            <w:right w:w="0" w:type="dxa"/>
          </w:tblCellMar>
        </w:tblPrEx>
        <w:tc>
          <w:tcPr>
            <w:tcW w:w="1985" w:type="dxa"/>
          </w:tcPr>
          <w:p w:rsidR="004D77A5" w:rsidRPr="00DE7DAC" w:rsidRDefault="004D77A5">
            <w:pPr>
              <w:pStyle w:val="EntEmet"/>
            </w:pPr>
            <w:bookmarkStart w:id="16" w:name="RefRow_NDocPrec"/>
            <w:bookmarkEnd w:id="15"/>
            <w:r w:rsidRPr="00DE7DAC">
              <w:t>Föreg. dok. nr:</w:t>
            </w:r>
          </w:p>
        </w:tc>
        <w:tc>
          <w:tcPr>
            <w:tcW w:w="7654" w:type="dxa"/>
          </w:tcPr>
          <w:p w:rsidR="004D77A5" w:rsidRPr="00DE7DAC" w:rsidRDefault="004F4832">
            <w:pPr>
              <w:pStyle w:val="EntEmet"/>
            </w:pPr>
            <w:r w:rsidRPr="00DE7DAC">
              <w:t>9944/05 SIRIS 62 SCHENGEN 12 CODEC 487 COMIX 385</w:t>
            </w:r>
          </w:p>
        </w:tc>
      </w:tr>
      <w:bookmarkEnd w:id="12"/>
      <w:bookmarkEnd w:id="16"/>
      <w:tr w:rsidR="004D77A5" w:rsidRPr="00DE7DAC">
        <w:tblPrEx>
          <w:tblCellMar>
            <w:top w:w="0" w:type="dxa"/>
            <w:left w:w="0" w:type="dxa"/>
            <w:bottom w:w="0" w:type="dxa"/>
            <w:right w:w="0" w:type="dxa"/>
          </w:tblCellMar>
        </w:tblPrEx>
        <w:tc>
          <w:tcPr>
            <w:tcW w:w="1985" w:type="dxa"/>
            <w:tcBorders>
              <w:top w:val="single" w:sz="4" w:space="0" w:color="auto"/>
              <w:bottom w:val="single" w:sz="4" w:space="0" w:color="auto"/>
            </w:tcBorders>
          </w:tcPr>
          <w:p w:rsidR="004D77A5" w:rsidRPr="00DE7DAC" w:rsidRDefault="004D77A5">
            <w:pPr>
              <w:pStyle w:val="EntEmet"/>
            </w:pPr>
            <w:r w:rsidRPr="00DE7DAC">
              <w:t>Ärende:</w:t>
            </w:r>
          </w:p>
        </w:tc>
        <w:tc>
          <w:tcPr>
            <w:tcW w:w="7654" w:type="dxa"/>
            <w:tcBorders>
              <w:top w:val="single" w:sz="4" w:space="0" w:color="auto"/>
              <w:bottom w:val="single" w:sz="4" w:space="0" w:color="auto"/>
            </w:tcBorders>
          </w:tcPr>
          <w:p w:rsidR="004D77A5" w:rsidRPr="00DE7DAC" w:rsidRDefault="004F4832">
            <w:pPr>
              <w:pStyle w:val="EntEmet"/>
            </w:pPr>
            <w:bookmarkStart w:id="17" w:name="Subject"/>
            <w:bookmarkEnd w:id="17"/>
            <w:r w:rsidRPr="00DE7DAC">
              <w:t>Förslag till Europaparlamentets och rådets förordning om tillträde till andra generationen av Schengens informationssystem (SIS II) för de enheter i medlemsstaterna som ansvarar för att utfärda registreringsbevis för fordon</w:t>
            </w:r>
          </w:p>
        </w:tc>
      </w:tr>
    </w:tbl>
    <w:p w:rsidR="004D77A5" w:rsidRPr="00DE7DAC" w:rsidRDefault="004D77A5">
      <w:pPr>
        <w:spacing w:line="240" w:lineRule="auto"/>
      </w:pPr>
    </w:p>
    <w:p w:rsidR="004D77A5" w:rsidRPr="00DE7DAC" w:rsidRDefault="004D77A5">
      <w:pPr>
        <w:tabs>
          <w:tab w:val="left" w:pos="3969"/>
        </w:tabs>
      </w:pPr>
    </w:p>
    <w:bookmarkEnd w:id="10"/>
    <w:p w:rsidR="004F4832" w:rsidRPr="00DE7DAC" w:rsidRDefault="004F4832" w:rsidP="004F4832">
      <w:r w:rsidRPr="00DE7DAC">
        <w:t>Delegationerna återfinner nedan en omarbetad kompromissversion av förslaget till Europaparlamentets och rådets förordning om tillträde till andra generationen av Schengens informationssystem (SIS II) för de enheter i medlemsstaterna som ansvarar för att utfärda registreringsbevis för fordon.</w:t>
      </w:r>
    </w:p>
    <w:p w:rsidR="004F4832" w:rsidRPr="00DE7DAC" w:rsidRDefault="004F4832" w:rsidP="004F4832"/>
    <w:p w:rsidR="004F4832" w:rsidRPr="00DE7DAC" w:rsidRDefault="004F4832" w:rsidP="004F4832">
      <w:r w:rsidRPr="00DE7DAC">
        <w:t xml:space="preserve">Ändringarna är angivna med </w:t>
      </w:r>
      <w:r w:rsidRPr="00DE7DAC">
        <w:rPr>
          <w:b/>
        </w:rPr>
        <w:t>fetstil</w:t>
      </w:r>
      <w:r w:rsidRPr="00DE7DAC">
        <w:t>.</w:t>
      </w:r>
    </w:p>
    <w:p w:rsidR="004F4832" w:rsidRPr="00DE7DAC" w:rsidRDefault="004F4832" w:rsidP="004F4832">
      <w:pPr>
        <w:spacing w:line="240" w:lineRule="auto"/>
        <w:jc w:val="center"/>
      </w:pPr>
      <w:r w:rsidRPr="00DE7DAC">
        <w:br w:type="page"/>
      </w:r>
      <w:r w:rsidRPr="00DE7DAC">
        <w:lastRenderedPageBreak/>
        <w:t>Förslag till</w:t>
      </w:r>
    </w:p>
    <w:p w:rsidR="004F4832" w:rsidRPr="00DE7DAC" w:rsidRDefault="004F4832" w:rsidP="004F4832">
      <w:pPr>
        <w:spacing w:line="240" w:lineRule="auto"/>
        <w:jc w:val="center"/>
      </w:pPr>
    </w:p>
    <w:p w:rsidR="004F4832" w:rsidRPr="00DE7DAC" w:rsidRDefault="004F4832" w:rsidP="004F4832">
      <w:pPr>
        <w:spacing w:line="240" w:lineRule="auto"/>
        <w:jc w:val="center"/>
        <w:rPr>
          <w:b/>
        </w:rPr>
      </w:pPr>
      <w:r w:rsidRPr="00DE7DAC">
        <w:rPr>
          <w:b/>
        </w:rPr>
        <w:t>EUROPAPARLAMENTETS OCH RÅDETS FÖRORDNING</w:t>
      </w:r>
    </w:p>
    <w:p w:rsidR="004F4832" w:rsidRPr="00DE7DAC" w:rsidRDefault="004F4832" w:rsidP="004F4832">
      <w:pPr>
        <w:spacing w:line="240" w:lineRule="auto"/>
        <w:jc w:val="center"/>
        <w:rPr>
          <w:b/>
        </w:rPr>
      </w:pPr>
    </w:p>
    <w:p w:rsidR="004F4832" w:rsidRPr="00DE7DAC" w:rsidRDefault="004F4832" w:rsidP="004F4832">
      <w:pPr>
        <w:spacing w:line="240" w:lineRule="auto"/>
        <w:jc w:val="center"/>
        <w:rPr>
          <w:b/>
        </w:rPr>
      </w:pPr>
      <w:r w:rsidRPr="00DE7DAC">
        <w:rPr>
          <w:b/>
        </w:rPr>
        <w:t>om tillträde till andra generationen av Schengens informationssystem (SIS II) för de enheter i medlemsstaterna som ansvarar för att utfärda registreringsbevis för fordon</w:t>
      </w:r>
    </w:p>
    <w:p w:rsidR="004F4832" w:rsidRPr="00DE7DAC" w:rsidRDefault="004F4832" w:rsidP="004F4832">
      <w:pPr>
        <w:spacing w:line="240" w:lineRule="auto"/>
      </w:pPr>
    </w:p>
    <w:p w:rsidR="004F4832" w:rsidRPr="00DE7DAC" w:rsidRDefault="004F4832" w:rsidP="004F4832">
      <w:pPr>
        <w:spacing w:line="240" w:lineRule="auto"/>
      </w:pPr>
    </w:p>
    <w:p w:rsidR="004F4832" w:rsidRPr="00DE7DAC" w:rsidRDefault="004F4832" w:rsidP="004F4832">
      <w:pPr>
        <w:spacing w:line="240" w:lineRule="auto"/>
      </w:pPr>
      <w:r w:rsidRPr="00DE7DAC">
        <w:t>EUROPAPARLAMENTET OCH EUROPEISKA UNIONENS RÅD HAR ANTAGIT DENNA FÖRORDNING</w:t>
      </w:r>
    </w:p>
    <w:p w:rsidR="004F4832" w:rsidRPr="00DE7DAC" w:rsidRDefault="004F4832" w:rsidP="004F4832">
      <w:pPr>
        <w:spacing w:line="240" w:lineRule="auto"/>
      </w:pPr>
    </w:p>
    <w:p w:rsidR="004F4832" w:rsidRPr="00DE7DAC" w:rsidRDefault="004F4832" w:rsidP="004F4832">
      <w:pPr>
        <w:spacing w:line="240" w:lineRule="auto"/>
      </w:pPr>
      <w:r w:rsidRPr="00DE7DAC">
        <w:t>med beaktande av fördraget om upprättandet av Europeiska gemenskapen, särskilt artikel 71,</w:t>
      </w:r>
    </w:p>
    <w:p w:rsidR="004F4832" w:rsidRPr="00DE7DAC" w:rsidRDefault="004F4832" w:rsidP="004F4832">
      <w:pPr>
        <w:spacing w:line="240" w:lineRule="auto"/>
      </w:pPr>
    </w:p>
    <w:p w:rsidR="004F4832" w:rsidRPr="00DE7DAC" w:rsidRDefault="004F4832" w:rsidP="004F4832">
      <w:pPr>
        <w:spacing w:line="240" w:lineRule="auto"/>
      </w:pPr>
      <w:r w:rsidRPr="00DE7DAC">
        <w:t>med beaktande av kommissionens förslag</w:t>
      </w:r>
      <w:r w:rsidRPr="00DE7DAC">
        <w:rPr>
          <w:rStyle w:val="Fotnotsreferens"/>
        </w:rPr>
        <w:footnoteReference w:id="1"/>
      </w:r>
      <w:r w:rsidRPr="00DE7DAC">
        <w:t>,</w:t>
      </w:r>
    </w:p>
    <w:p w:rsidR="004F4832" w:rsidRPr="00DE7DAC" w:rsidRDefault="004F4832" w:rsidP="004F4832">
      <w:pPr>
        <w:spacing w:line="240" w:lineRule="auto"/>
      </w:pPr>
    </w:p>
    <w:p w:rsidR="004F4832" w:rsidRPr="00DE7DAC" w:rsidRDefault="004F4832" w:rsidP="004F4832">
      <w:pPr>
        <w:spacing w:line="240" w:lineRule="auto"/>
      </w:pPr>
      <w:r w:rsidRPr="00DE7DAC">
        <w:t>med beaktande av Europeiska ekonomiska och sociala kommitténs yttrande</w:t>
      </w:r>
      <w:r w:rsidRPr="00DE7DAC">
        <w:rPr>
          <w:rStyle w:val="Fotnotsreferens"/>
        </w:rPr>
        <w:footnoteReference w:id="2"/>
      </w:r>
      <w:r w:rsidRPr="00DE7DAC">
        <w:t>,</w:t>
      </w:r>
    </w:p>
    <w:p w:rsidR="004F4832" w:rsidRPr="00DE7DAC" w:rsidRDefault="004F4832" w:rsidP="004F4832">
      <w:pPr>
        <w:spacing w:line="240" w:lineRule="auto"/>
      </w:pPr>
    </w:p>
    <w:p w:rsidR="004F4832" w:rsidRPr="00DE7DAC" w:rsidRDefault="004F4832" w:rsidP="004F4832">
      <w:pPr>
        <w:spacing w:line="240" w:lineRule="auto"/>
      </w:pPr>
      <w:r w:rsidRPr="00DE7DAC">
        <w:t>med beaktande av Regionkommitténs yttrande</w:t>
      </w:r>
      <w:r w:rsidRPr="00DE7DAC">
        <w:rPr>
          <w:rStyle w:val="Fotnotsreferens"/>
        </w:rPr>
        <w:footnoteReference w:id="3"/>
      </w:r>
      <w:r w:rsidRPr="00DE7DAC">
        <w:t>,</w:t>
      </w:r>
    </w:p>
    <w:p w:rsidR="004F4832" w:rsidRPr="00DE7DAC" w:rsidRDefault="004F4832" w:rsidP="004F4832">
      <w:pPr>
        <w:spacing w:line="240" w:lineRule="auto"/>
      </w:pPr>
    </w:p>
    <w:p w:rsidR="004F4832" w:rsidRPr="00DE7DAC" w:rsidRDefault="004F4832" w:rsidP="004F4832">
      <w:pPr>
        <w:spacing w:line="240" w:lineRule="auto"/>
      </w:pPr>
      <w:r w:rsidRPr="00DE7DAC">
        <w:t>i enlighet med förfarandet i artikel 251 i fördraget</w:t>
      </w:r>
      <w:r w:rsidRPr="00DE7DAC">
        <w:rPr>
          <w:rStyle w:val="Fotnotsreferens"/>
        </w:rPr>
        <w:footnoteReference w:id="4"/>
      </w:r>
      <w:r w:rsidRPr="00DE7DAC">
        <w:t>, och</w:t>
      </w:r>
    </w:p>
    <w:p w:rsidR="004F4832" w:rsidRPr="00DE7DAC" w:rsidRDefault="004F4832" w:rsidP="004F4832">
      <w:pPr>
        <w:spacing w:line="240" w:lineRule="auto"/>
      </w:pPr>
    </w:p>
    <w:p w:rsidR="004F4832" w:rsidRPr="00DE7DAC" w:rsidRDefault="004F4832" w:rsidP="004F4832">
      <w:pPr>
        <w:spacing w:line="240" w:lineRule="auto"/>
      </w:pPr>
      <w:r w:rsidRPr="00DE7DAC">
        <w:t>av följande skäl:</w:t>
      </w:r>
    </w:p>
    <w:p w:rsidR="004F4832" w:rsidRPr="00DE7DAC" w:rsidRDefault="004F4832" w:rsidP="004F4832">
      <w:pPr>
        <w:spacing w:line="240" w:lineRule="auto"/>
      </w:pPr>
    </w:p>
    <w:p w:rsidR="004F4832" w:rsidRPr="00DE7DAC" w:rsidRDefault="004F4832" w:rsidP="004F4832">
      <w:pPr>
        <w:spacing w:line="240" w:lineRule="auto"/>
        <w:ind w:left="567" w:hanging="567"/>
      </w:pPr>
      <w:r w:rsidRPr="00DE7DAC">
        <w:t>(1)</w:t>
      </w:r>
      <w:r w:rsidRPr="00DE7DAC">
        <w:tab/>
        <w:t>I artikel 9 i rådets direktiv 1999/37/EG av den 29 april 1999 om registreringsbevis för fordon föreskrivs att medlemsstaterna skall bistå varandra vid genomförandet av direktivet och att de får utbyta upplysningar bilateralt</w:t>
      </w:r>
      <w:r w:rsidRPr="00DE7DAC">
        <w:rPr>
          <w:rStyle w:val="Fotnotsreferens"/>
        </w:rPr>
        <w:footnoteReference w:id="5"/>
      </w:r>
      <w:r w:rsidRPr="00DE7DAC">
        <w:t xml:space="preserve"> eller multilateralt, särskilt för att innan registrering sker kontrollera ett fordons lagenlighet, i förekommande fall i den medlemsstat där fordonet tidigare var registrerat. Kontrollen kan särskilt omfatta användning av sammankopplade elektroniska system.</w:t>
      </w:r>
    </w:p>
    <w:p w:rsidR="00F5540F" w:rsidRPr="00DE7DAC" w:rsidRDefault="00F5540F" w:rsidP="004F4832">
      <w:pPr>
        <w:spacing w:line="240" w:lineRule="auto"/>
        <w:ind w:left="567" w:hanging="567"/>
      </w:pPr>
    </w:p>
    <w:p w:rsidR="004F4832" w:rsidRPr="00DE7DAC" w:rsidRDefault="004F4832" w:rsidP="004F4832">
      <w:pPr>
        <w:spacing w:line="240" w:lineRule="auto"/>
        <w:ind w:left="567" w:hanging="567"/>
        <w:rPr>
          <w:b/>
          <w:i/>
        </w:rPr>
      </w:pPr>
      <w:r w:rsidRPr="00DE7DAC">
        <w:t>(2)</w:t>
      </w:r>
      <w:r w:rsidRPr="00DE7DAC">
        <w:tab/>
        <w:t>Europaparlamentets och rådets förordning (EG) nr XX/2006</w:t>
      </w:r>
      <w:r w:rsidRPr="00DE7DAC">
        <w:rPr>
          <w:rStyle w:val="Fotnotsreferens"/>
        </w:rPr>
        <w:footnoteReference w:id="6"/>
      </w:r>
      <w:r w:rsidRPr="00DE7DAC">
        <w:t xml:space="preserve"> och rådets beslut 2006/XX/RIF</w:t>
      </w:r>
      <w:r w:rsidRPr="00DE7DAC">
        <w:rPr>
          <w:rStyle w:val="Fotnotsreferens"/>
        </w:rPr>
        <w:footnoteReference w:id="7"/>
      </w:r>
      <w:r w:rsidRPr="00DE7DAC">
        <w:t xml:space="preserve"> om inrättande, drift och användning av andra generationen av Schengens informationssystem (nedan kallat SIS II) utgör den rättsliga grunden för SIS II, som är en gemensam databas för medlemsstaterna som bland annat innehåller uppgifter om </w:t>
      </w:r>
      <w:r w:rsidRPr="00DE7DAC">
        <w:rPr>
          <w:b/>
          <w:shd w:val="clear" w:color="auto" w:fill="C0C0C0"/>
        </w:rPr>
        <w:t>stulna, bortförda eller försvunna</w:t>
      </w:r>
      <w:r w:rsidRPr="00DE7DAC">
        <w:t xml:space="preserve"> motorfordon med en cylindervolym på mer än 50 cc, </w:t>
      </w:r>
      <w:r w:rsidRPr="00DE7DAC">
        <w:rPr>
          <w:b/>
          <w:i/>
        </w:rPr>
        <w:t xml:space="preserve">uppgifter om </w:t>
      </w:r>
      <w:r w:rsidRPr="00DE7DAC">
        <w:rPr>
          <w:b/>
          <w:shd w:val="clear" w:color="auto" w:fill="C0C0C0"/>
        </w:rPr>
        <w:t>stulna, bortförda eller försvunna</w:t>
      </w:r>
      <w:r w:rsidRPr="00DE7DAC">
        <w:t xml:space="preserve"> </w:t>
      </w:r>
      <w:r w:rsidRPr="00DE7DAC">
        <w:rPr>
          <w:b/>
          <w:i/>
        </w:rPr>
        <w:t>släpvagnar med en tjänstevikt överstigande 750 kg och</w:t>
      </w:r>
      <w:r w:rsidRPr="00DE7DAC">
        <w:t xml:space="preserve"> </w:t>
      </w:r>
      <w:r w:rsidRPr="00DE7DAC">
        <w:rPr>
          <w:b/>
          <w:i/>
        </w:rPr>
        <w:t>husvagnar</w:t>
      </w:r>
      <w:r w:rsidRPr="00DE7DAC">
        <w:t xml:space="preserve"> </w:t>
      </w:r>
      <w:r w:rsidRPr="00DE7DAC">
        <w:rPr>
          <w:b/>
          <w:i/>
        </w:rPr>
        <w:t>och uppgifter om</w:t>
      </w:r>
      <w:r w:rsidRPr="00DE7DAC">
        <w:t xml:space="preserve"> stulna, bortförda,</w:t>
      </w:r>
      <w:r w:rsidRPr="00DE7DAC">
        <w:rPr>
          <w:b/>
        </w:rPr>
        <w:t xml:space="preserve"> </w:t>
      </w:r>
      <w:r w:rsidRPr="00DE7DAC">
        <w:t xml:space="preserve">försvunna </w:t>
      </w:r>
      <w:r w:rsidRPr="00DE7DAC">
        <w:rPr>
          <w:b/>
          <w:i/>
        </w:rPr>
        <w:t>eller ogiltiga</w:t>
      </w:r>
      <w:r w:rsidRPr="00DE7DAC">
        <w:t xml:space="preserve"> </w:t>
      </w:r>
      <w:r w:rsidRPr="00DE7DAC">
        <w:rPr>
          <w:b/>
          <w:i/>
        </w:rPr>
        <w:t>registreringsbevis för fordon och nummerplåtar för fordon</w:t>
      </w:r>
      <w:r w:rsidRPr="00DE7DAC">
        <w:rPr>
          <w:i/>
        </w:rPr>
        <w:t>.</w:t>
      </w:r>
    </w:p>
    <w:p w:rsidR="004F4832" w:rsidRPr="00DE7DAC" w:rsidRDefault="004F4832" w:rsidP="004F4832">
      <w:pPr>
        <w:spacing w:line="240" w:lineRule="auto"/>
        <w:ind w:left="567" w:hanging="567"/>
        <w:rPr>
          <w:b/>
          <w:i/>
        </w:rPr>
      </w:pPr>
    </w:p>
    <w:p w:rsidR="004F4832" w:rsidRPr="00DE7DAC" w:rsidRDefault="00F5540F" w:rsidP="00F5540F">
      <w:pPr>
        <w:spacing w:line="228" w:lineRule="auto"/>
        <w:ind w:left="567" w:hanging="567"/>
      </w:pPr>
      <w:r w:rsidRPr="00DE7DAC">
        <w:br w:type="page"/>
      </w:r>
      <w:r w:rsidR="004F4832" w:rsidRPr="00DE7DAC">
        <w:t>(3)</w:t>
      </w:r>
      <w:r w:rsidR="004F4832" w:rsidRPr="00DE7DAC">
        <w:tab/>
        <w:t>Förordning (EG) nr XX/2006 och rådets beslut 2006/XX/R</w:t>
      </w:r>
      <w:r w:rsidRPr="00DE7DAC">
        <w:t>IF ersätter artiklarna 92–119 i </w:t>
      </w:r>
      <w:r w:rsidR="004F4832" w:rsidRPr="00DE7DAC">
        <w:t>konventionen av den 19 juni 1990 om tillämpning av Schengenavtalet av den 14 juni 1985 mellan regeringarna i Beneluxstaterna, Förbundsrepubliken Tyskland och Franska republiken om gradvis avskaffande av kontroller vid de gemensamma gränserna</w:t>
      </w:r>
      <w:r w:rsidR="004F4832" w:rsidRPr="00DE7DAC">
        <w:rPr>
          <w:rStyle w:val="Fotnotsreferens"/>
        </w:rPr>
        <w:footnoteReference w:id="8"/>
      </w:r>
      <w:r w:rsidR="004F4832" w:rsidRPr="00DE7DAC">
        <w:t xml:space="preserve"> (nedan kallad Schengenkonventionen), dock inte artikel 102a i denna. Artikel 102a avser tillgången till Schengens informationssystem för myndigheter och enheter i medlemsstaterna som ansvarar för att utfärda registreringsbevis för fordon.</w:t>
      </w:r>
    </w:p>
    <w:p w:rsidR="004F4832" w:rsidRPr="00DE7DAC" w:rsidRDefault="004F4832" w:rsidP="00F5540F">
      <w:pPr>
        <w:spacing w:line="228" w:lineRule="auto"/>
        <w:ind w:left="567" w:hanging="567"/>
      </w:pPr>
    </w:p>
    <w:p w:rsidR="004F4832" w:rsidRPr="00DE7DAC" w:rsidRDefault="004F4832" w:rsidP="00F5540F">
      <w:pPr>
        <w:spacing w:line="228" w:lineRule="auto"/>
        <w:ind w:left="567" w:hanging="567"/>
      </w:pPr>
      <w:r w:rsidRPr="00DE7DAC">
        <w:t>(4)</w:t>
      </w:r>
      <w:r w:rsidRPr="00DE7DAC">
        <w:tab/>
        <w:t>Det är nu nödvändigt att anta ett tredje rättsligt instrument, som skall bygga på avdelning V i EG-fördraget och som skall komplettera förordning (EG) nr XX/2006 och beslut 2006/XX/RIF så att enheter i medlemsstaterna som ansvarar för att utfärda registreringsbevis för fordon kan få tillgång till SIS II och som skall ersätta artikel 102a i Schengenkonventionen.</w:t>
      </w:r>
    </w:p>
    <w:p w:rsidR="004F4832" w:rsidRPr="00DE7DAC" w:rsidRDefault="004F4832" w:rsidP="00F5540F">
      <w:pPr>
        <w:spacing w:line="228" w:lineRule="auto"/>
      </w:pPr>
    </w:p>
    <w:p w:rsidR="004F4832" w:rsidRPr="00DE7DAC" w:rsidRDefault="004F4832" w:rsidP="00F5540F">
      <w:pPr>
        <w:spacing w:line="228" w:lineRule="auto"/>
        <w:ind w:left="567" w:hanging="567"/>
      </w:pPr>
      <w:r w:rsidRPr="00DE7DAC">
        <w:t>(5)</w:t>
      </w:r>
      <w:r w:rsidRPr="00DE7DAC">
        <w:tab/>
        <w:t>I enlighet med beslut 2006/XX/RIF läggs det in registreringar i SIS II om föremål och fordon som skall beslagtas eller användas som bevis i brottsmål.</w:t>
      </w:r>
    </w:p>
    <w:p w:rsidR="004F4832" w:rsidRPr="00DE7DAC" w:rsidRDefault="004F4832" w:rsidP="00F5540F">
      <w:pPr>
        <w:spacing w:line="228" w:lineRule="auto"/>
      </w:pPr>
    </w:p>
    <w:p w:rsidR="004F4832" w:rsidRPr="00DE7DAC" w:rsidRDefault="004F4832" w:rsidP="00F5540F">
      <w:pPr>
        <w:spacing w:line="228" w:lineRule="auto"/>
        <w:ind w:left="567" w:hanging="567"/>
      </w:pPr>
      <w:r w:rsidRPr="00DE7DAC">
        <w:t>(6)</w:t>
      </w:r>
      <w:r w:rsidRPr="00DE7DAC">
        <w:tab/>
        <w:t>I beslut 2006/XX/RIF anges att endast polis-, gränskontrolls- och tullmyndigheter, samt rättsliga myndigheter och Europol skall ha tillgång till registreringar om föremål i SIS II.</w:t>
      </w:r>
    </w:p>
    <w:p w:rsidR="004F4832" w:rsidRPr="00DE7DAC" w:rsidRDefault="004F4832" w:rsidP="00F5540F">
      <w:pPr>
        <w:spacing w:line="228" w:lineRule="auto"/>
        <w:ind w:left="567" w:hanging="567"/>
      </w:pPr>
    </w:p>
    <w:p w:rsidR="004F4832" w:rsidRPr="00DE7DAC" w:rsidRDefault="004F4832" w:rsidP="00F5540F">
      <w:pPr>
        <w:spacing w:line="228" w:lineRule="auto"/>
        <w:ind w:left="567" w:hanging="567"/>
      </w:pPr>
      <w:r w:rsidRPr="00DE7DAC">
        <w:t>(7)</w:t>
      </w:r>
      <w:r w:rsidRPr="00DE7DAC">
        <w:tab/>
        <w:t xml:space="preserve">De enheter i medlemsstaterna (oavsett om det är fråga om statliga enheter eller inte) som ansvarar för att utfärda registreringsbevis bör ha tillgång till de uppgifter i SIS II som avser fordon med cylinderkapacitet på mer än 50cc, </w:t>
      </w:r>
      <w:r w:rsidRPr="00DE7DAC">
        <w:rPr>
          <w:b/>
          <w:i/>
        </w:rPr>
        <w:t>släpvagnar med tjänstevikt på mer 750 kg och husvagnar</w:t>
      </w:r>
      <w:r w:rsidRPr="00DE7DAC">
        <w:t xml:space="preserve"> samt stulna, bortförda, försvunna eller ogiltiga registreringsbevis för fordon och nummerplåtar för fordon, så att enheterna kan kontrollera att fordon som anmäls för registrering inte är stulna, bortförda eller försvunna.</w:t>
      </w:r>
    </w:p>
    <w:p w:rsidR="004F4832" w:rsidRPr="00DE7DAC" w:rsidRDefault="004F4832" w:rsidP="00F5540F">
      <w:pPr>
        <w:spacing w:line="228" w:lineRule="auto"/>
        <w:ind w:left="567" w:hanging="567"/>
      </w:pPr>
    </w:p>
    <w:p w:rsidR="004F4832" w:rsidRPr="00DE7DAC" w:rsidRDefault="004F4832" w:rsidP="00F5540F">
      <w:pPr>
        <w:spacing w:line="228" w:lineRule="auto"/>
        <w:ind w:left="567" w:hanging="567"/>
      </w:pPr>
      <w:r w:rsidRPr="00DE7DAC">
        <w:t>(8)</w:t>
      </w:r>
      <w:r w:rsidRPr="00DE7DAC">
        <w:tab/>
        <w:t>Det bör därför antas bestämmelser om dessa enheters tillgång till sådana uppgifter och de bör ges tillåtelse att använda uppgifterna administrativt så att de kan utfärda registreringsbevis för motorfordon på ett korrekt sätt.</w:t>
      </w:r>
    </w:p>
    <w:p w:rsidR="004F4832" w:rsidRPr="00DE7DAC" w:rsidRDefault="004F4832" w:rsidP="00F5540F">
      <w:pPr>
        <w:spacing w:line="228" w:lineRule="auto"/>
        <w:ind w:left="567" w:hanging="567"/>
      </w:pPr>
    </w:p>
    <w:p w:rsidR="004F4832" w:rsidRPr="00DE7DAC" w:rsidRDefault="004F4832" w:rsidP="00F5540F">
      <w:pPr>
        <w:spacing w:line="228" w:lineRule="auto"/>
        <w:ind w:left="567" w:hanging="567"/>
      </w:pPr>
      <w:r w:rsidRPr="00DE7DAC">
        <w:t>(9)</w:t>
      </w:r>
      <w:r w:rsidRPr="00DE7DAC">
        <w:tab/>
        <w:t xml:space="preserve">I de fall då de enheter i en medlemsstat som ansvarar för att utfärda registreringsbevis inte är statliga skall enheterna ges indirekt tillgång till uppgifterna, dvs. de skall ges tillgång till uppgifterna via en myndighet som har tillgång till uppgifterna enligt beslut 2006/XX/RIF och som skall se till att medlemsstatens säkerhets- och konfidentialitetsregler </w:t>
      </w:r>
      <w:r w:rsidR="00F5540F" w:rsidRPr="00DE7DAC">
        <w:rPr>
          <w:b/>
          <w:i/>
        </w:rPr>
        <w:t>enligt artikel 10 i </w:t>
      </w:r>
      <w:r w:rsidRPr="00DE7DAC">
        <w:rPr>
          <w:b/>
          <w:i/>
        </w:rPr>
        <w:t>detta beslut</w:t>
      </w:r>
      <w:r w:rsidRPr="00DE7DAC">
        <w:t xml:space="preserve"> iakttas.</w:t>
      </w:r>
    </w:p>
    <w:p w:rsidR="004F4832" w:rsidRPr="00DE7DAC" w:rsidRDefault="004F4832" w:rsidP="00F5540F">
      <w:pPr>
        <w:spacing w:line="228" w:lineRule="auto"/>
      </w:pPr>
    </w:p>
    <w:p w:rsidR="004F4832" w:rsidRPr="00DE7DAC" w:rsidRDefault="004F4832" w:rsidP="00F5540F">
      <w:pPr>
        <w:spacing w:line="228" w:lineRule="auto"/>
        <w:ind w:left="567" w:hanging="567"/>
      </w:pPr>
      <w:r w:rsidRPr="00DE7DAC">
        <w:t>(10)</w:t>
      </w:r>
      <w:r w:rsidRPr="00DE7DAC">
        <w:tab/>
        <w:t xml:space="preserve">I beslut 2006/XX/RIF, </w:t>
      </w:r>
      <w:r w:rsidRPr="00DE7DAC">
        <w:rPr>
          <w:b/>
          <w:i/>
        </w:rPr>
        <w:t>särskilt artikel 36 i detta</w:t>
      </w:r>
      <w:r w:rsidRPr="00DE7DAC">
        <w:t>, anges vilka åtgärder som skall vidtas i de fall då en sökning i SIS II ger träff på en registrering av ett föremål.</w:t>
      </w:r>
    </w:p>
    <w:p w:rsidR="004F4832" w:rsidRPr="00DE7DAC" w:rsidRDefault="004F4832" w:rsidP="00F5540F">
      <w:pPr>
        <w:spacing w:line="228" w:lineRule="auto"/>
      </w:pPr>
    </w:p>
    <w:p w:rsidR="004F4832" w:rsidRPr="00DE7DAC" w:rsidRDefault="004F4832" w:rsidP="00F5540F">
      <w:pPr>
        <w:spacing w:line="228" w:lineRule="auto"/>
        <w:ind w:left="567" w:hanging="567"/>
      </w:pPr>
      <w:r w:rsidRPr="00DE7DAC">
        <w:t>(11)</w:t>
      </w:r>
      <w:r w:rsidRPr="00DE7DAC">
        <w:tab/>
        <w:t>Europaparlamentets och rådets direktiv 95/46/EG av den 24 oktober 1995 om skydd för enskilda personer med avseende på behandling av personuppgifter och om det fria flödet av sådana uppgifter</w:t>
      </w:r>
      <w:r w:rsidRPr="00DE7DAC">
        <w:rPr>
          <w:rStyle w:val="Fotnotsreferens"/>
        </w:rPr>
        <w:footnoteReference w:id="9"/>
      </w:r>
      <w:r w:rsidRPr="00DE7DAC">
        <w:t xml:space="preserve"> är tillämpligt på den behandling av personuppgifter som utförs av de enheter i medlemsstaterna som ansvarar för att utfärda registreringsbevis. Bestämmelserna om skydd av personuppgifter, säkerhet och konfidentialitet och om loggar i beslut 2006/XX/RIF kompletterar och förtydligar direktivets principer för fordonsregistreringsenheternas behandling av personuppgifter inom SIS II.</w:t>
      </w:r>
    </w:p>
    <w:p w:rsidR="004F4832" w:rsidRPr="00DE7DAC" w:rsidRDefault="004F4832" w:rsidP="004F4832">
      <w:pPr>
        <w:spacing w:line="240" w:lineRule="auto"/>
        <w:ind w:left="567" w:hanging="567"/>
      </w:pPr>
      <w:r w:rsidRPr="00DE7DAC">
        <w:t>(12)</w:t>
      </w:r>
      <w:r w:rsidRPr="00DE7DAC">
        <w:tab/>
        <w:t>Eftersom målen för den föreslagna åtgärden, dvs. att ge de enheter i medlemsstaterna som ansvarar för att utfärda registreringsbevis tillgång till SIS II i syftet att göra det enklare för dessa att utföra sina uppgifter enligt direktiv 1999/37/EG, inte i tillräcklig utsträckning kan uppnås av medlemsstaterna själva och de därför, på grund av det faktum att SIS är utformat som ett gemensamt informationssystem, bättre kan uppnås på unionsnivå, kan gemenskapen vidta åtgärder i enlighet med subsidiaritetsprincipen i artikel 5 i fördraget. I enlighet med proportionalitetsprincipen i samma artikel går denna förordning inte utöver vad som är nödvändigt för att uppnå dessa mål.</w:t>
      </w:r>
    </w:p>
    <w:p w:rsidR="004F4832" w:rsidRPr="00DE7DAC" w:rsidRDefault="004F4832" w:rsidP="004F4832">
      <w:pPr>
        <w:spacing w:line="240" w:lineRule="auto"/>
        <w:ind w:left="567" w:hanging="567"/>
      </w:pPr>
    </w:p>
    <w:p w:rsidR="004F4832" w:rsidRPr="00DE7DAC" w:rsidRDefault="004F4832" w:rsidP="004F4832">
      <w:pPr>
        <w:spacing w:line="240" w:lineRule="auto"/>
        <w:ind w:left="567" w:hanging="567"/>
        <w:rPr>
          <w:b/>
        </w:rPr>
      </w:pPr>
      <w:r w:rsidRPr="00DE7DAC">
        <w:rPr>
          <w:b/>
        </w:rPr>
        <w:t>(12a)</w:t>
      </w:r>
      <w:r w:rsidRPr="00DE7DAC">
        <w:rPr>
          <w:b/>
        </w:rPr>
        <w:tab/>
        <w:t>Denna förordning respekterar de grundläggande rättigheterna och följer de principer som erkänns framför allt i Europeiska unionens stadga om de grundläggande rättigheterna.</w:t>
      </w:r>
    </w:p>
    <w:p w:rsidR="004F4832" w:rsidRPr="00DE7DAC" w:rsidRDefault="004F4832" w:rsidP="004F4832">
      <w:pPr>
        <w:spacing w:line="240" w:lineRule="auto"/>
        <w:rPr>
          <w:b/>
        </w:rPr>
      </w:pPr>
    </w:p>
    <w:p w:rsidR="004F4832" w:rsidRPr="00DE7DAC" w:rsidRDefault="004F4832" w:rsidP="004F4832">
      <w:pPr>
        <w:spacing w:line="240" w:lineRule="auto"/>
        <w:ind w:left="567" w:hanging="567"/>
      </w:pPr>
      <w:r w:rsidRPr="00DE7DAC">
        <w:t>(13)</w:t>
      </w:r>
      <w:r w:rsidRPr="00DE7DAC">
        <w:tab/>
        <w:t>När det gäller Island och Norge utgör denna förordning, i enlighet med avtalet mellan Europeiska unionens råd och Republiken Island och Konungariket Norge om dessa staters associering till genomförandet, tillämpningen och utvecklingen av Schengenregelverket</w:t>
      </w:r>
      <w:r w:rsidRPr="00DE7DAC">
        <w:rPr>
          <w:rStyle w:val="Fotnotsreferens"/>
        </w:rPr>
        <w:footnoteReference w:id="10"/>
      </w:r>
      <w:r w:rsidRPr="00DE7DAC">
        <w:t>, en utveckling av bestämmelser i Schengenregelverket vilka omfattas av det område som avses i artikel 1.G i rådets beslut 1999/437/EG av den 17 maj 1999 om vissa tillämpningsföreskrifter för det avtalet.</w:t>
      </w:r>
    </w:p>
    <w:p w:rsidR="004F4832" w:rsidRPr="00DE7DAC" w:rsidRDefault="004F4832" w:rsidP="004F4832">
      <w:pPr>
        <w:spacing w:line="240" w:lineRule="auto"/>
        <w:ind w:left="567" w:hanging="567"/>
      </w:pPr>
    </w:p>
    <w:p w:rsidR="004F4832" w:rsidRPr="00DE7DAC" w:rsidRDefault="004F4832" w:rsidP="004F4832">
      <w:pPr>
        <w:spacing w:line="240" w:lineRule="auto"/>
        <w:ind w:left="567" w:hanging="567"/>
      </w:pPr>
      <w:r w:rsidRPr="00DE7DAC">
        <w:t>(14)</w:t>
      </w:r>
      <w:r w:rsidRPr="00DE7DAC">
        <w:tab/>
        <w:t>När det gäller Schweiz utgör denna förordning, i enlighet med avtalet mellan Europeiska unionen, Europeiska gemenskapen och Schweiziska edsförbundet om Schweiziska edsförbundets associering till genomförandet, tillämpningen och utvecklingen av Schengenregelverket, en utveckling av bestämmelser i Schengenregelverket, vilka omfattas av det område som avses i artikel 1.G i rådets beslut 1999/4</w:t>
      </w:r>
      <w:r w:rsidR="00F5540F" w:rsidRPr="00DE7DAC">
        <w:t>37/EG jämfört med artikel 4.1 i </w:t>
      </w:r>
      <w:r w:rsidRPr="00DE7DAC">
        <w:t>rådets beslut 2004/860/EG om undertecknande på Europeiska unionens vägnar och provisorisk tillämpning av vissa bestämmelser av det avtalet</w:t>
      </w:r>
      <w:r w:rsidRPr="00DE7DAC">
        <w:rPr>
          <w:rStyle w:val="Fotnotsreferens"/>
        </w:rPr>
        <w:footnoteReference w:id="11"/>
      </w:r>
      <w:r w:rsidRPr="00DE7DAC">
        <w:t xml:space="preserve"> </w:t>
      </w:r>
      <w:r w:rsidR="00F5540F" w:rsidRPr="00DE7DAC">
        <w:t>och artikel 4.1 i rådets beslut </w:t>
      </w:r>
      <w:r w:rsidRPr="00DE7DAC">
        <w:t>2004/849/EG om undertecknande på Europeiska unionens vägnar och provisorisk tillämpning av vissa bestämmelser av det avtalet</w:t>
      </w:r>
      <w:r w:rsidRPr="00DE7DAC">
        <w:rPr>
          <w:rStyle w:val="Fotnotsreferens"/>
        </w:rPr>
        <w:footnoteReference w:id="12"/>
      </w:r>
      <w:r w:rsidRPr="00DE7DAC">
        <w:t>.</w:t>
      </w:r>
    </w:p>
    <w:p w:rsidR="004F4832" w:rsidRPr="00DE7DAC" w:rsidRDefault="004F4832" w:rsidP="004F4832">
      <w:pPr>
        <w:spacing w:line="240" w:lineRule="auto"/>
        <w:ind w:left="567" w:hanging="567"/>
      </w:pPr>
    </w:p>
    <w:p w:rsidR="004F4832" w:rsidRPr="00DE7DAC" w:rsidRDefault="004F4832" w:rsidP="004F4832">
      <w:pPr>
        <w:spacing w:line="240" w:lineRule="auto"/>
        <w:ind w:left="567" w:hanging="567"/>
      </w:pPr>
      <w:r w:rsidRPr="00DE7DAC">
        <w:t>(15)</w:t>
      </w:r>
      <w:r w:rsidRPr="00DE7DAC">
        <w:tab/>
        <w:t>Denna förordning utgör en rättsakt som bygger vidare på Schengenregelverket eller på annat sätt hänför sig till det regelverket i den mening som avses i artikel 3.2 i anslutningsakten från 2003.</w:t>
      </w:r>
    </w:p>
    <w:p w:rsidR="004F4832" w:rsidRPr="00DE7DAC" w:rsidRDefault="004F4832" w:rsidP="004F4832">
      <w:pPr>
        <w:spacing w:line="240" w:lineRule="auto"/>
      </w:pPr>
    </w:p>
    <w:p w:rsidR="004F4832" w:rsidRPr="00DE7DAC" w:rsidRDefault="00F5540F" w:rsidP="004F4832">
      <w:pPr>
        <w:spacing w:line="240" w:lineRule="auto"/>
      </w:pPr>
      <w:r w:rsidRPr="00DE7DAC">
        <w:t>HÄRIGENOM FÖRESKRIVS FÖLJANDE.</w:t>
      </w:r>
    </w:p>
    <w:p w:rsidR="004F4832" w:rsidRPr="00DE7DAC" w:rsidRDefault="004F4832" w:rsidP="004F4832">
      <w:pPr>
        <w:spacing w:line="240" w:lineRule="auto"/>
      </w:pPr>
    </w:p>
    <w:p w:rsidR="004F4832" w:rsidRPr="00DE7DAC" w:rsidRDefault="004F4832" w:rsidP="004F4832">
      <w:pPr>
        <w:spacing w:line="240" w:lineRule="auto"/>
        <w:jc w:val="center"/>
        <w:rPr>
          <w:i/>
        </w:rPr>
      </w:pPr>
      <w:r w:rsidRPr="00DE7DAC">
        <w:rPr>
          <w:i/>
        </w:rPr>
        <w:t>Artikel 1</w:t>
      </w:r>
    </w:p>
    <w:p w:rsidR="00715E10" w:rsidRPr="00DE7DAC" w:rsidRDefault="00715E10" w:rsidP="00715E10">
      <w:pPr>
        <w:spacing w:line="240" w:lineRule="auto"/>
      </w:pPr>
    </w:p>
    <w:p w:rsidR="004F4832" w:rsidRPr="00DE7DAC" w:rsidRDefault="004F4832" w:rsidP="00715E10">
      <w:pPr>
        <w:spacing w:line="240" w:lineRule="auto"/>
        <w:ind w:left="567" w:hanging="567"/>
        <w:rPr>
          <w:lang w:eastAsia="zh-CN"/>
        </w:rPr>
      </w:pPr>
      <w:r w:rsidRPr="00DE7DAC">
        <w:rPr>
          <w:rStyle w:val="ManualNumPar1Char"/>
        </w:rPr>
        <w:t>1.</w:t>
      </w:r>
      <w:r w:rsidRPr="00DE7DAC">
        <w:rPr>
          <w:rStyle w:val="ManualNumPar1Char"/>
        </w:rPr>
        <w:tab/>
        <w:t xml:space="preserve">Oavsett artiklarna 35, 37 och 40.1 i beslut 2006/XX/RIF skall de enheter i medlemsstaterna som ansvarar för att utfärda registreringsbevis i enlighet med rådets direktiv 1999/37/EG, ha tillgång till </w:t>
      </w:r>
      <w:r w:rsidRPr="00DE7DAC">
        <w:rPr>
          <w:rStyle w:val="ManualNumPar1Char"/>
          <w:b/>
        </w:rPr>
        <w:t>följande</w:t>
      </w:r>
      <w:r w:rsidRPr="00DE7DAC">
        <w:rPr>
          <w:rStyle w:val="ManualNumPar1Char"/>
        </w:rPr>
        <w:t xml:space="preserve"> uppgifter i SIS II i enlighet med artikel 35 a, b och f i beslutet så att de kan kontrollera att fordon som anmäls för registrering inte är stulna, bortförda eller försvunna:</w:t>
      </w:r>
    </w:p>
    <w:p w:rsidR="004F4832" w:rsidRPr="00DE7DAC" w:rsidRDefault="004F4832" w:rsidP="004F4832">
      <w:pPr>
        <w:spacing w:line="240" w:lineRule="auto"/>
      </w:pPr>
    </w:p>
    <w:p w:rsidR="004F4832" w:rsidRPr="00DE7DAC" w:rsidRDefault="00715E10" w:rsidP="004F4832">
      <w:pPr>
        <w:spacing w:line="240" w:lineRule="auto"/>
        <w:ind w:left="1134" w:hanging="567"/>
        <w:rPr>
          <w:b/>
          <w:i/>
        </w:rPr>
      </w:pPr>
      <w:r w:rsidRPr="00DE7DAC">
        <w:rPr>
          <w:b/>
          <w:i/>
        </w:rPr>
        <w:br w:type="page"/>
      </w:r>
      <w:r w:rsidR="004F4832" w:rsidRPr="00DE7DAC">
        <w:rPr>
          <w:b/>
          <w:i/>
        </w:rPr>
        <w:t>a)</w:t>
      </w:r>
      <w:r w:rsidR="004F4832" w:rsidRPr="00DE7DAC">
        <w:rPr>
          <w:b/>
          <w:i/>
        </w:rPr>
        <w:tab/>
        <w:t>Uppgifter som avser stulna, bortförda eller försvunna motorfordon med cylinderkapacitet på mer än 50cc.</w:t>
      </w:r>
    </w:p>
    <w:p w:rsidR="004F4832" w:rsidRPr="00DE7DAC" w:rsidRDefault="004F4832" w:rsidP="004F4832">
      <w:pPr>
        <w:spacing w:line="240" w:lineRule="auto"/>
        <w:ind w:left="1134" w:hanging="567"/>
        <w:rPr>
          <w:b/>
          <w:i/>
        </w:rPr>
      </w:pPr>
    </w:p>
    <w:p w:rsidR="004F4832" w:rsidRPr="00DE7DAC" w:rsidRDefault="004F4832" w:rsidP="004F4832">
      <w:pPr>
        <w:spacing w:line="240" w:lineRule="auto"/>
        <w:ind w:left="1134" w:hanging="567"/>
        <w:rPr>
          <w:b/>
          <w:i/>
        </w:rPr>
      </w:pPr>
      <w:r w:rsidRPr="00DE7DAC">
        <w:rPr>
          <w:b/>
          <w:i/>
        </w:rPr>
        <w:t>b)</w:t>
      </w:r>
      <w:r w:rsidRPr="00DE7DAC">
        <w:rPr>
          <w:b/>
          <w:i/>
        </w:rPr>
        <w:tab/>
        <w:t>Uppgifter som avser stulna, bortförda eller försvunna</w:t>
      </w:r>
      <w:r w:rsidRPr="00DE7DAC">
        <w:t xml:space="preserve"> </w:t>
      </w:r>
      <w:r w:rsidRPr="00DE7DAC">
        <w:rPr>
          <w:b/>
          <w:i/>
        </w:rPr>
        <w:t>släpvagnar med tjänstevikt på mer 750 kg och husvagnar.</w:t>
      </w:r>
    </w:p>
    <w:p w:rsidR="004F4832" w:rsidRPr="00DE7DAC" w:rsidRDefault="004F4832" w:rsidP="004F4832">
      <w:pPr>
        <w:spacing w:line="240" w:lineRule="auto"/>
        <w:ind w:left="1134" w:hanging="567"/>
        <w:rPr>
          <w:b/>
          <w:i/>
        </w:rPr>
      </w:pPr>
    </w:p>
    <w:p w:rsidR="004F4832" w:rsidRPr="00DE7DAC" w:rsidRDefault="004F4832" w:rsidP="004F4832">
      <w:pPr>
        <w:spacing w:line="240" w:lineRule="auto"/>
        <w:ind w:left="1134" w:hanging="567"/>
        <w:rPr>
          <w:b/>
          <w:i/>
        </w:rPr>
      </w:pPr>
      <w:r w:rsidRPr="00DE7DAC">
        <w:rPr>
          <w:b/>
          <w:i/>
          <w:lang w:eastAsia="zh-CN"/>
        </w:rPr>
        <w:t>c)</w:t>
      </w:r>
      <w:r w:rsidRPr="00DE7DAC">
        <w:rPr>
          <w:b/>
          <w:i/>
          <w:lang w:eastAsia="zh-CN"/>
        </w:rPr>
        <w:tab/>
        <w:t xml:space="preserve">Uppgifter som avser </w:t>
      </w:r>
      <w:r w:rsidRPr="00DE7DAC">
        <w:rPr>
          <w:b/>
          <w:i/>
        </w:rPr>
        <w:t>stulna, bortförda eller försvunna eller ogiltiga registreringsbevis för fordon och nummerplåtar för fordon.</w:t>
      </w:r>
    </w:p>
    <w:p w:rsidR="004F4832" w:rsidRPr="00DE7DAC" w:rsidRDefault="004F4832" w:rsidP="004F4832">
      <w:pPr>
        <w:spacing w:line="240" w:lineRule="auto"/>
        <w:rPr>
          <w:b/>
          <w:i/>
        </w:rPr>
      </w:pPr>
    </w:p>
    <w:p w:rsidR="004F4832" w:rsidRPr="00DE7DAC" w:rsidRDefault="004F4832" w:rsidP="004F4832">
      <w:pPr>
        <w:spacing w:line="240" w:lineRule="auto"/>
        <w:ind w:left="567"/>
        <w:rPr>
          <w:b/>
          <w:i/>
        </w:rPr>
      </w:pPr>
      <w:r w:rsidRPr="00DE7DAC">
        <w:t>Med förbehåll för punkt 2 skall dessa enheters tillgång till de aktuella uppgifterna regleras i medlemsstaternas nationella bestämmelser.</w:t>
      </w:r>
    </w:p>
    <w:p w:rsidR="004F4832" w:rsidRPr="00DE7DAC" w:rsidRDefault="004F4832" w:rsidP="004F4832">
      <w:pPr>
        <w:spacing w:line="240" w:lineRule="auto"/>
        <w:rPr>
          <w:lang w:eastAsia="zh-CN"/>
        </w:rPr>
      </w:pPr>
    </w:p>
    <w:p w:rsidR="004F4832" w:rsidRPr="00DE7DAC" w:rsidRDefault="004F4832" w:rsidP="004F4832">
      <w:pPr>
        <w:spacing w:line="240" w:lineRule="auto"/>
        <w:ind w:left="567" w:hanging="567"/>
      </w:pPr>
      <w:r w:rsidRPr="00DE7DAC">
        <w:t>2.</w:t>
      </w:r>
      <w:r w:rsidRPr="00DE7DAC">
        <w:tab/>
        <w:t>Enheter av det slag som avses i punkt 1 som är statliga enheter skall ha direkt tillgång till uppgifterna i SIS II.</w:t>
      </w:r>
    </w:p>
    <w:p w:rsidR="004F4832" w:rsidRPr="00DE7DAC" w:rsidRDefault="004F4832" w:rsidP="004F4832">
      <w:pPr>
        <w:spacing w:line="240" w:lineRule="auto"/>
        <w:ind w:left="567" w:hanging="567"/>
      </w:pPr>
    </w:p>
    <w:p w:rsidR="004F4832" w:rsidRPr="00DE7DAC" w:rsidRDefault="004F4832" w:rsidP="004F4832">
      <w:pPr>
        <w:spacing w:line="240" w:lineRule="auto"/>
        <w:ind w:left="567" w:hanging="567"/>
      </w:pPr>
      <w:r w:rsidRPr="00DE7DAC">
        <w:t>3.</w:t>
      </w:r>
      <w:r w:rsidRPr="00DE7DAC">
        <w:tab/>
        <w:t>Enheter av det slag som avses i punkt 1, men som inte är statliga, skall endast ha indirekt tillgång till uppgifter i SIS II via en myndighet av det slag som avses i artikel 37 i beslutet. Myndigheten skall ha direkt tillgång till uppgifterna och skall vidarebefordra dem till enheten. Den berörda medlemsstaten skall se till att enheten och dess anställda är förpliktade att iaktta alla begränsningar av användningen av uppgifter som förmedlats av myndigheten.</w:t>
      </w:r>
    </w:p>
    <w:p w:rsidR="004F4832" w:rsidRPr="00DE7DAC" w:rsidRDefault="004F4832" w:rsidP="004F4832">
      <w:pPr>
        <w:spacing w:line="240" w:lineRule="auto"/>
      </w:pPr>
    </w:p>
    <w:p w:rsidR="004F4832" w:rsidRPr="00DE7DAC" w:rsidRDefault="004F4832" w:rsidP="004F4832">
      <w:pPr>
        <w:spacing w:line="240" w:lineRule="auto"/>
        <w:ind w:left="567" w:hanging="567"/>
      </w:pPr>
      <w:r w:rsidRPr="00DE7DAC">
        <w:t>4.</w:t>
      </w:r>
      <w:r w:rsidRPr="00DE7DAC">
        <w:tab/>
        <w:t>Artikel 36 i beslut 2006/XX/RIF skall inte vara tillämplig på tillgång av det slag som avses i den här artikeln. All eventuell förmedling från de enheter som avses i punkt 1 till polis eller andra rättsliga myndigheter av uppgifter som framkommit vid en sökning i SIS II och som leder till misstanke om brott skall lyda under medlemsstatens nationella lagstiftning.</w:t>
      </w:r>
    </w:p>
    <w:p w:rsidR="004F4832" w:rsidRPr="00DE7DAC" w:rsidRDefault="004F4832" w:rsidP="004F4832">
      <w:pPr>
        <w:spacing w:line="240" w:lineRule="auto"/>
      </w:pPr>
    </w:p>
    <w:p w:rsidR="004F4832" w:rsidRPr="00DE7DAC" w:rsidRDefault="004F4832" w:rsidP="004F4832">
      <w:pPr>
        <w:spacing w:line="240" w:lineRule="auto"/>
        <w:jc w:val="center"/>
        <w:rPr>
          <w:i/>
        </w:rPr>
      </w:pPr>
      <w:r w:rsidRPr="00DE7DAC">
        <w:rPr>
          <w:i/>
        </w:rPr>
        <w:t>Artikel 2</w:t>
      </w:r>
    </w:p>
    <w:p w:rsidR="004F4832" w:rsidRPr="00DE7DAC" w:rsidRDefault="004F4832" w:rsidP="004F4832">
      <w:pPr>
        <w:spacing w:line="240" w:lineRule="auto"/>
      </w:pPr>
    </w:p>
    <w:p w:rsidR="004F4832" w:rsidRPr="00DE7DAC" w:rsidRDefault="004F4832" w:rsidP="004F4832">
      <w:pPr>
        <w:spacing w:line="240" w:lineRule="auto"/>
      </w:pPr>
      <w:r w:rsidRPr="00DE7DAC">
        <w:t>Denna förordning skall ersätta artikel 102a i konventionen om tillämpning av Schengenavtalet.</w:t>
      </w:r>
    </w:p>
    <w:p w:rsidR="004F4832" w:rsidRPr="00DE7DAC" w:rsidRDefault="004F4832" w:rsidP="004F4832">
      <w:pPr>
        <w:spacing w:line="240" w:lineRule="auto"/>
      </w:pPr>
    </w:p>
    <w:p w:rsidR="004F4832" w:rsidRPr="00DE7DAC" w:rsidRDefault="004F4832" w:rsidP="004F4832">
      <w:pPr>
        <w:spacing w:line="240" w:lineRule="auto"/>
        <w:jc w:val="center"/>
        <w:rPr>
          <w:i/>
        </w:rPr>
      </w:pPr>
      <w:r w:rsidRPr="00DE7DAC">
        <w:rPr>
          <w:i/>
        </w:rPr>
        <w:t>Artikel 3</w:t>
      </w:r>
    </w:p>
    <w:p w:rsidR="004F4832" w:rsidRPr="00DE7DAC" w:rsidRDefault="004F4832" w:rsidP="004F4832">
      <w:pPr>
        <w:spacing w:line="240" w:lineRule="auto"/>
        <w:jc w:val="center"/>
        <w:rPr>
          <w:i/>
        </w:rPr>
      </w:pPr>
    </w:p>
    <w:p w:rsidR="004F4832" w:rsidRPr="00DE7DAC" w:rsidRDefault="004F4832" w:rsidP="004F4832">
      <w:pPr>
        <w:spacing w:line="240" w:lineRule="auto"/>
      </w:pPr>
      <w:r w:rsidRPr="00DE7DAC">
        <w:t xml:space="preserve">Denna förordning träder i kraft den tjugonde dagen efter det att den har offentliggjorts i </w:t>
      </w:r>
      <w:r w:rsidRPr="00DE7DAC">
        <w:rPr>
          <w:i/>
          <w:iCs/>
        </w:rPr>
        <w:t>Europeiska unionens officiella tidning</w:t>
      </w:r>
      <w:r w:rsidRPr="00DE7DAC">
        <w:t>.</w:t>
      </w:r>
    </w:p>
    <w:p w:rsidR="004F4832" w:rsidRPr="00DE7DAC" w:rsidRDefault="004F4832" w:rsidP="004F4832">
      <w:pPr>
        <w:spacing w:line="240" w:lineRule="auto"/>
      </w:pPr>
    </w:p>
    <w:p w:rsidR="004F4832" w:rsidRPr="00DE7DAC" w:rsidRDefault="004F4832" w:rsidP="004F4832">
      <w:pPr>
        <w:spacing w:line="240" w:lineRule="auto"/>
      </w:pPr>
      <w:r w:rsidRPr="00DE7DAC">
        <w:t>Den skall tillämpas från och med den dag som fastställs i enlighet med artikel 65.3 i beslut 2006/XX/RIF.</w:t>
      </w:r>
    </w:p>
    <w:p w:rsidR="004F4832" w:rsidRPr="00DE7DAC" w:rsidRDefault="004F4832" w:rsidP="004F4832">
      <w:pPr>
        <w:spacing w:line="240" w:lineRule="auto"/>
      </w:pPr>
    </w:p>
    <w:p w:rsidR="004F4832" w:rsidRPr="00DE7DAC" w:rsidRDefault="004F4832" w:rsidP="004F4832">
      <w:pPr>
        <w:spacing w:line="240" w:lineRule="auto"/>
      </w:pPr>
      <w:r w:rsidRPr="00DE7DAC">
        <w:t>Denna förordning är till alla delar bindande och direkt tillämplig i alla medlemsstater.</w:t>
      </w:r>
    </w:p>
    <w:p w:rsidR="004F4832" w:rsidRPr="00DE7DAC" w:rsidRDefault="004F4832" w:rsidP="004F4832">
      <w:pPr>
        <w:spacing w:line="240" w:lineRule="auto"/>
      </w:pPr>
    </w:p>
    <w:p w:rsidR="00F5540F" w:rsidRPr="00DE7DAC" w:rsidRDefault="00F5540F" w:rsidP="004F4832">
      <w:pPr>
        <w:spacing w:line="240" w:lineRule="auto"/>
      </w:pPr>
    </w:p>
    <w:p w:rsidR="004F4832" w:rsidRPr="00DE7DAC" w:rsidRDefault="004F4832" w:rsidP="004F4832">
      <w:pPr>
        <w:spacing w:line="240" w:lineRule="auto"/>
      </w:pPr>
      <w:r w:rsidRPr="00DE7DAC">
        <w:t>Utfärdad i Bryssel den</w:t>
      </w:r>
    </w:p>
    <w:p w:rsidR="004F4832" w:rsidRPr="00DE7DAC" w:rsidRDefault="004F4832" w:rsidP="004F4832">
      <w:pPr>
        <w:spacing w:line="240" w:lineRule="auto"/>
      </w:pPr>
    </w:p>
    <w:p w:rsidR="00F5540F" w:rsidRPr="00DE7DAC" w:rsidRDefault="00F5540F" w:rsidP="004F4832">
      <w:pPr>
        <w:spacing w:line="240" w:lineRule="auto"/>
      </w:pPr>
    </w:p>
    <w:p w:rsidR="004F4832" w:rsidRPr="00DE7DAC" w:rsidRDefault="004F4832" w:rsidP="004F4832">
      <w:pPr>
        <w:tabs>
          <w:tab w:val="center" w:pos="1418"/>
          <w:tab w:val="center" w:pos="7088"/>
        </w:tabs>
        <w:spacing w:line="240" w:lineRule="auto"/>
      </w:pPr>
      <w:r w:rsidRPr="00DE7DAC">
        <w:t>På Europaparlamentets vägnar</w:t>
      </w:r>
      <w:r w:rsidRPr="00DE7DAC">
        <w:tab/>
        <w:t>På rådets vägnar</w:t>
      </w:r>
    </w:p>
    <w:p w:rsidR="004F4832" w:rsidRPr="00DE7DAC" w:rsidRDefault="004F4832" w:rsidP="004F4832">
      <w:pPr>
        <w:tabs>
          <w:tab w:val="center" w:pos="1418"/>
          <w:tab w:val="center" w:pos="7088"/>
        </w:tabs>
        <w:spacing w:line="240" w:lineRule="auto"/>
      </w:pPr>
      <w:r w:rsidRPr="00DE7DAC">
        <w:tab/>
        <w:t>Ordförande</w:t>
      </w:r>
      <w:r w:rsidRPr="00DE7DAC">
        <w:tab/>
        <w:t>Ordförande</w:t>
      </w:r>
    </w:p>
    <w:p w:rsidR="004D77A5" w:rsidRPr="00DE7DAC" w:rsidRDefault="004D77A5" w:rsidP="004F4832">
      <w:pPr>
        <w:spacing w:line="240" w:lineRule="auto"/>
      </w:pPr>
    </w:p>
    <w:p w:rsidR="004F4832" w:rsidRPr="00DE7DAC" w:rsidRDefault="004F4832" w:rsidP="004F4832">
      <w:pPr>
        <w:spacing w:line="240" w:lineRule="auto"/>
      </w:pPr>
    </w:p>
    <w:p w:rsidR="004D77A5" w:rsidRPr="00DE7DAC" w:rsidRDefault="004F4832" w:rsidP="004F4832">
      <w:pPr>
        <w:spacing w:line="240" w:lineRule="auto"/>
        <w:jc w:val="center"/>
      </w:pPr>
      <w:r w:rsidRPr="00DE7DAC">
        <w:t>________________________</w:t>
      </w:r>
    </w:p>
    <w:sectPr w:rsidR="004D77A5" w:rsidRPr="00DE7DA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881" w:rsidRPr="00DE7DAC" w:rsidRDefault="00D37881">
      <w:r w:rsidRPr="00DE7DAC">
        <w:separator/>
      </w:r>
    </w:p>
  </w:endnote>
  <w:endnote w:type="continuationSeparator" w:id="0">
    <w:p w:rsidR="00D37881" w:rsidRPr="00DE7DAC" w:rsidRDefault="00D37881">
      <w:r w:rsidRPr="00DE7DAC">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5F" w:rsidRPr="00DE7DAC" w:rsidRDefault="009A5D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5F" w:rsidRPr="00DE7DAC" w:rsidRDefault="009A5D5F">
    <w:pPr>
      <w:pStyle w:val="Sidfot"/>
      <w:pBdr>
        <w:bottom w:val="single" w:sz="4" w:space="1" w:color="auto"/>
      </w:pBdr>
      <w:spacing w:after="60"/>
    </w:pPr>
  </w:p>
  <w:p w:rsidR="009A5D5F" w:rsidRPr="00DE7DAC" w:rsidRDefault="009A5D5F">
    <w:pPr>
      <w:pStyle w:val="Sidfot"/>
    </w:pPr>
    <w:bookmarkStart w:id="18" w:name="CoteFooter"/>
    <w:bookmarkEnd w:id="18"/>
    <w:r w:rsidRPr="00DE7DAC">
      <w:t>8082/06</w:t>
    </w:r>
    <w:r w:rsidRPr="00DE7DAC">
      <w:tab/>
    </w:r>
    <w:bookmarkStart w:id="19" w:name="SuplCote"/>
    <w:bookmarkEnd w:id="19"/>
    <w:r w:rsidRPr="00DE7DAC">
      <w:tab/>
    </w:r>
    <w:bookmarkStart w:id="20" w:name="Init"/>
    <w:bookmarkEnd w:id="20"/>
    <w:r w:rsidRPr="00DE7DAC">
      <w:t>gr/BL/cs</w:t>
    </w:r>
    <w:r w:rsidRPr="00DE7DAC">
      <w:tab/>
    </w:r>
    <w:r w:rsidRPr="00DE7DAC">
      <w:rPr>
        <w:rStyle w:val="Sidnummer"/>
      </w:rPr>
      <w:fldChar w:fldCharType="begin" w:fldLock="1"/>
    </w:r>
    <w:r w:rsidRPr="00DE7DAC">
      <w:rPr>
        <w:rStyle w:val="Sidnummer"/>
      </w:rPr>
      <w:instrText xml:space="preserve"> PAGE </w:instrText>
    </w:r>
    <w:r w:rsidRPr="00DE7DAC">
      <w:rPr>
        <w:rStyle w:val="Sidnummer"/>
      </w:rPr>
      <w:fldChar w:fldCharType="separate"/>
    </w:r>
    <w:r w:rsidR="00DF2B7D" w:rsidRPr="00DE7DAC">
      <w:rPr>
        <w:rStyle w:val="Sidnummer"/>
      </w:rPr>
      <w:t>1</w:t>
    </w:r>
    <w:r w:rsidRPr="00DE7DAC">
      <w:rPr>
        <w:rStyle w:val="Sidnummer"/>
      </w:rPr>
      <w:fldChar w:fldCharType="end"/>
    </w:r>
  </w:p>
  <w:p w:rsidR="009A5D5F" w:rsidRPr="00DE7DAC" w:rsidRDefault="009A5D5F">
    <w:pPr>
      <w:pStyle w:val="Sidfot"/>
      <w:tabs>
        <w:tab w:val="clear" w:pos="7371"/>
      </w:tabs>
      <w:spacing w:line="280" w:lineRule="exact"/>
    </w:pPr>
    <w:r w:rsidRPr="00DE7DAC">
      <w:tab/>
    </w:r>
    <w:bookmarkStart w:id="21" w:name="DG"/>
    <w:bookmarkEnd w:id="21"/>
    <w:r w:rsidRPr="00DE7DAC">
      <w:t>DG H</w:t>
    </w:r>
    <w:r w:rsidRPr="00DE7DAC">
      <w:tab/>
    </w:r>
    <w:bookmarkStart w:id="22" w:name="FooterCoteSec"/>
    <w:r w:rsidRPr="00DE7DAC">
      <w:rPr>
        <w:b/>
        <w:position w:val="-4"/>
        <w:sz w:val="36"/>
      </w:rPr>
      <w:t xml:space="preserve"> </w:t>
    </w:r>
    <w:bookmarkEnd w:id="22"/>
    <w:r w:rsidRPr="00DE7DAC">
      <w:rPr>
        <w:b/>
        <w:position w:val="-4"/>
        <w:sz w:val="36"/>
      </w:rPr>
      <w:t>LIMITE</w:t>
    </w:r>
    <w:r w:rsidRPr="00DE7DAC">
      <w:rPr>
        <w:b/>
        <w:position w:val="-4"/>
        <w:sz w:val="36"/>
      </w:rPr>
      <w:t> </w:t>
    </w:r>
    <w:r w:rsidRPr="00DE7DAC">
      <w:rPr>
        <w:b/>
        <w:position w:val="-4"/>
        <w:sz w:val="36"/>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5F" w:rsidRPr="00DE7DAC" w:rsidRDefault="009A5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881" w:rsidRPr="00DE7DAC" w:rsidRDefault="00D37881">
      <w:pPr>
        <w:pStyle w:val="Fotnotstext"/>
      </w:pPr>
      <w:r w:rsidRPr="00DE7DAC">
        <w:separator/>
      </w:r>
    </w:p>
  </w:footnote>
  <w:footnote w:type="continuationSeparator" w:id="0">
    <w:p w:rsidR="00D37881" w:rsidRPr="00DE7DAC" w:rsidRDefault="00D37881">
      <w:pPr>
        <w:pStyle w:val="Fotnotstext"/>
      </w:pPr>
      <w:r w:rsidRPr="00DE7DAC">
        <w:separator/>
      </w:r>
    </w:p>
  </w:footnote>
  <w:footnote w:id="1">
    <w:p w:rsidR="004F4832" w:rsidRPr="00DE7DAC" w:rsidRDefault="004F4832" w:rsidP="004F4832">
      <w:pPr>
        <w:pStyle w:val="Fotnotstext"/>
      </w:pPr>
      <w:r w:rsidRPr="00DE7DAC">
        <w:rPr>
          <w:rStyle w:val="Fotnotsreferens"/>
        </w:rPr>
        <w:footnoteRef/>
      </w:r>
      <w:r w:rsidRPr="00DE7DAC">
        <w:tab/>
        <w:t>EUT C</w:t>
      </w:r>
    </w:p>
  </w:footnote>
  <w:footnote w:id="2">
    <w:p w:rsidR="004F4832" w:rsidRPr="00DE7DAC" w:rsidRDefault="004F4832" w:rsidP="004F4832">
      <w:pPr>
        <w:pStyle w:val="Fotnotstext"/>
      </w:pPr>
      <w:r w:rsidRPr="00DE7DAC">
        <w:rPr>
          <w:rStyle w:val="Fotnotsreferens"/>
        </w:rPr>
        <w:footnoteRef/>
      </w:r>
      <w:r w:rsidRPr="00DE7DAC">
        <w:tab/>
        <w:t>EUT C</w:t>
      </w:r>
    </w:p>
  </w:footnote>
  <w:footnote w:id="3">
    <w:p w:rsidR="004F4832" w:rsidRPr="00DE7DAC" w:rsidRDefault="004F4832" w:rsidP="004F4832">
      <w:pPr>
        <w:pStyle w:val="Fotnotstext"/>
      </w:pPr>
      <w:r w:rsidRPr="00DE7DAC">
        <w:rPr>
          <w:rStyle w:val="Fotnotsreferens"/>
        </w:rPr>
        <w:footnoteRef/>
      </w:r>
      <w:r w:rsidRPr="00DE7DAC">
        <w:tab/>
        <w:t>EUT C</w:t>
      </w:r>
    </w:p>
  </w:footnote>
  <w:footnote w:id="4">
    <w:p w:rsidR="004F4832" w:rsidRPr="00DE7DAC" w:rsidRDefault="004F4832" w:rsidP="004F4832">
      <w:pPr>
        <w:pStyle w:val="Fotnotstext"/>
      </w:pPr>
      <w:r w:rsidRPr="00DE7DAC">
        <w:rPr>
          <w:rStyle w:val="Fotnotsreferens"/>
        </w:rPr>
        <w:footnoteRef/>
      </w:r>
      <w:r w:rsidRPr="00DE7DAC">
        <w:tab/>
        <w:t>EUT C</w:t>
      </w:r>
    </w:p>
  </w:footnote>
  <w:footnote w:id="5">
    <w:p w:rsidR="004F4832" w:rsidRPr="00DE7DAC" w:rsidRDefault="004F4832" w:rsidP="004F4832">
      <w:pPr>
        <w:pStyle w:val="Fotnotstext"/>
      </w:pPr>
      <w:r w:rsidRPr="00DE7DAC">
        <w:rPr>
          <w:rStyle w:val="Fotnotsreferens"/>
        </w:rPr>
        <w:footnoteRef/>
      </w:r>
      <w:r w:rsidRPr="00DE7DAC">
        <w:tab/>
        <w:t>EGT L 138, 1.6.1999, s. 57. Direktivet senast ändrat genom kommissionens direktiv 2003/127/EG (EUT L 10, 16.1.2004, s. 29).</w:t>
      </w:r>
    </w:p>
  </w:footnote>
  <w:footnote w:id="6">
    <w:p w:rsidR="004F4832" w:rsidRPr="00DE7DAC" w:rsidRDefault="004F4832" w:rsidP="004F4832">
      <w:pPr>
        <w:pStyle w:val="Fotnotstext"/>
      </w:pPr>
      <w:r w:rsidRPr="00DE7DAC">
        <w:rPr>
          <w:rStyle w:val="Fotnotsreferens"/>
        </w:rPr>
        <w:footnoteRef/>
      </w:r>
      <w:r w:rsidRPr="00DE7DAC">
        <w:tab/>
        <w:t>EUT L</w:t>
      </w:r>
    </w:p>
  </w:footnote>
  <w:footnote w:id="7">
    <w:p w:rsidR="004F4832" w:rsidRPr="00DE7DAC" w:rsidRDefault="004F4832" w:rsidP="004F4832">
      <w:pPr>
        <w:pStyle w:val="Fotnotstext"/>
      </w:pPr>
      <w:r w:rsidRPr="00DE7DAC">
        <w:rPr>
          <w:rStyle w:val="Fotnotsreferens"/>
        </w:rPr>
        <w:footnoteRef/>
      </w:r>
      <w:r w:rsidRPr="00DE7DAC">
        <w:tab/>
        <w:t>EUT L</w:t>
      </w:r>
    </w:p>
  </w:footnote>
  <w:footnote w:id="8">
    <w:p w:rsidR="004F4832" w:rsidRPr="00DE7DAC" w:rsidRDefault="004F4832" w:rsidP="004F4832">
      <w:pPr>
        <w:pStyle w:val="Fotnotstext"/>
      </w:pPr>
      <w:r w:rsidRPr="00DE7DAC">
        <w:rPr>
          <w:rStyle w:val="Fotnotsreferens"/>
        </w:rPr>
        <w:footnoteRef/>
      </w:r>
      <w:r w:rsidRPr="00DE7DAC">
        <w:tab/>
        <w:t>EGT L 239, 22.9.2000, s. 19. Konventionen ändrades senast genom förordning (EG) nr 871/2004 (EUT L 162, 30.4.2004, s. 29) och beslut 2005/211/RIF (EUT L 68, 15.3.2005, s. 44).</w:t>
      </w:r>
    </w:p>
  </w:footnote>
  <w:footnote w:id="9">
    <w:p w:rsidR="004F4832" w:rsidRPr="00DE7DAC" w:rsidRDefault="004F4832" w:rsidP="004F4832">
      <w:pPr>
        <w:pStyle w:val="Fotnotstext"/>
      </w:pPr>
      <w:r w:rsidRPr="00DE7DAC">
        <w:rPr>
          <w:rStyle w:val="Fotnotsreferens"/>
        </w:rPr>
        <w:footnoteRef/>
      </w:r>
      <w:r w:rsidRPr="00DE7DAC">
        <w:tab/>
        <w:t>EGT L 281, 23.11.1995, s. 31. Direktivet ändrat genom förordning (EG) nr 1882/2003</w:t>
      </w:r>
      <w:r w:rsidR="00F5540F" w:rsidRPr="00DE7DAC">
        <w:t xml:space="preserve"> (EUT </w:t>
      </w:r>
      <w:r w:rsidRPr="00DE7DAC">
        <w:t>L 284, 31.10.2003, s. 1).</w:t>
      </w:r>
    </w:p>
  </w:footnote>
  <w:footnote w:id="10">
    <w:p w:rsidR="004F4832" w:rsidRPr="00DE7DAC" w:rsidRDefault="004F4832" w:rsidP="004F4832">
      <w:pPr>
        <w:pStyle w:val="Fotnotstext"/>
      </w:pPr>
      <w:r w:rsidRPr="00DE7DAC">
        <w:rPr>
          <w:rStyle w:val="Fotnotsreferens"/>
        </w:rPr>
        <w:footnoteRef/>
      </w:r>
      <w:r w:rsidRPr="00DE7DAC">
        <w:tab/>
        <w:t>EGT L 176, 10.7.1999, s. 31.</w:t>
      </w:r>
    </w:p>
  </w:footnote>
  <w:footnote w:id="11">
    <w:p w:rsidR="004F4832" w:rsidRPr="00DE7DAC" w:rsidRDefault="004F4832" w:rsidP="004F4832">
      <w:pPr>
        <w:pStyle w:val="Fotnotstext"/>
      </w:pPr>
      <w:r w:rsidRPr="00DE7DAC">
        <w:rPr>
          <w:rStyle w:val="Fotnotsreferens"/>
        </w:rPr>
        <w:footnoteRef/>
      </w:r>
      <w:r w:rsidRPr="00DE7DAC">
        <w:tab/>
        <w:t>EUT L 370, 17.12.2004, s. 78.</w:t>
      </w:r>
    </w:p>
  </w:footnote>
  <w:footnote w:id="12">
    <w:p w:rsidR="004F4832" w:rsidRPr="00DE7DAC" w:rsidRDefault="004F4832" w:rsidP="004F4832">
      <w:pPr>
        <w:pStyle w:val="Fotnotstext"/>
      </w:pPr>
      <w:r w:rsidRPr="00DE7DAC">
        <w:rPr>
          <w:rStyle w:val="Fotnotsreferens"/>
        </w:rPr>
        <w:footnoteRef/>
      </w:r>
      <w:r w:rsidRPr="00DE7DAC">
        <w:tab/>
        <w:t>EGT L 368, 15.12.2004</w:t>
      </w:r>
      <w:r w:rsidR="00F5540F" w:rsidRPr="00DE7DAC">
        <w:t>,</w:t>
      </w:r>
      <w:r w:rsidRPr="00DE7DAC">
        <w:t xml:space="preserve"> s.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5F" w:rsidRPr="00DE7DAC" w:rsidRDefault="009A5D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5F" w:rsidRPr="00DE7DAC" w:rsidRDefault="009A5D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5F" w:rsidRPr="00DE7DAC" w:rsidRDefault="009A5D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382752471">
    <w:abstractNumId w:val="9"/>
  </w:num>
  <w:num w:numId="2" w16cid:durableId="1009530371">
    <w:abstractNumId w:val="7"/>
  </w:num>
  <w:num w:numId="3" w16cid:durableId="1611819946">
    <w:abstractNumId w:val="6"/>
  </w:num>
  <w:num w:numId="4" w16cid:durableId="479734403">
    <w:abstractNumId w:val="5"/>
  </w:num>
  <w:num w:numId="5" w16cid:durableId="363336825">
    <w:abstractNumId w:val="4"/>
  </w:num>
  <w:num w:numId="6" w16cid:durableId="159345914">
    <w:abstractNumId w:val="8"/>
  </w:num>
  <w:num w:numId="7" w16cid:durableId="243031673">
    <w:abstractNumId w:val="3"/>
  </w:num>
  <w:num w:numId="8" w16cid:durableId="448815595">
    <w:abstractNumId w:val="2"/>
  </w:num>
  <w:num w:numId="9" w16cid:durableId="969483019">
    <w:abstractNumId w:val="1"/>
  </w:num>
  <w:num w:numId="10" w16cid:durableId="336544838">
    <w:abstractNumId w:val="0"/>
  </w:num>
  <w:num w:numId="11" w16cid:durableId="53281952">
    <w:abstractNumId w:val="25"/>
  </w:num>
  <w:num w:numId="12" w16cid:durableId="598874669">
    <w:abstractNumId w:val="42"/>
  </w:num>
  <w:num w:numId="13" w16cid:durableId="1786189827">
    <w:abstractNumId w:val="40"/>
  </w:num>
  <w:num w:numId="14" w16cid:durableId="1828011916">
    <w:abstractNumId w:val="31"/>
  </w:num>
  <w:num w:numId="15" w16cid:durableId="393087527">
    <w:abstractNumId w:val="13"/>
  </w:num>
  <w:num w:numId="16" w16cid:durableId="726223601">
    <w:abstractNumId w:val="33"/>
  </w:num>
  <w:num w:numId="17" w16cid:durableId="1095518382">
    <w:abstractNumId w:val="21"/>
  </w:num>
  <w:num w:numId="18" w16cid:durableId="1851144619">
    <w:abstractNumId w:val="15"/>
  </w:num>
  <w:num w:numId="19" w16cid:durableId="173618505">
    <w:abstractNumId w:val="14"/>
  </w:num>
  <w:num w:numId="20" w16cid:durableId="2052263363">
    <w:abstractNumId w:val="14"/>
  </w:num>
  <w:num w:numId="21" w16cid:durableId="599147231">
    <w:abstractNumId w:val="14"/>
  </w:num>
  <w:num w:numId="22" w16cid:durableId="597562580">
    <w:abstractNumId w:val="14"/>
  </w:num>
  <w:num w:numId="23" w16cid:durableId="1178882016">
    <w:abstractNumId w:val="14"/>
  </w:num>
  <w:num w:numId="24" w16cid:durableId="437213071">
    <w:abstractNumId w:val="14"/>
  </w:num>
  <w:num w:numId="25" w16cid:durableId="1682269424">
    <w:abstractNumId w:val="14"/>
  </w:num>
  <w:num w:numId="26" w16cid:durableId="163211120">
    <w:abstractNumId w:val="14"/>
  </w:num>
  <w:num w:numId="27" w16cid:durableId="77026831">
    <w:abstractNumId w:val="14"/>
  </w:num>
  <w:num w:numId="28" w16cid:durableId="1263610314">
    <w:abstractNumId w:val="14"/>
  </w:num>
  <w:num w:numId="29" w16cid:durableId="1741488557">
    <w:abstractNumId w:val="14"/>
  </w:num>
  <w:num w:numId="30" w16cid:durableId="50352297">
    <w:abstractNumId w:val="14"/>
  </w:num>
  <w:num w:numId="31" w16cid:durableId="595407941">
    <w:abstractNumId w:val="14"/>
  </w:num>
  <w:num w:numId="32" w16cid:durableId="1894267703">
    <w:abstractNumId w:val="14"/>
  </w:num>
  <w:num w:numId="33" w16cid:durableId="1779642238">
    <w:abstractNumId w:val="14"/>
  </w:num>
  <w:num w:numId="34" w16cid:durableId="732002871">
    <w:abstractNumId w:val="14"/>
  </w:num>
  <w:num w:numId="35" w16cid:durableId="1399591146">
    <w:abstractNumId w:val="14"/>
  </w:num>
  <w:num w:numId="36" w16cid:durableId="351228120">
    <w:abstractNumId w:val="14"/>
  </w:num>
  <w:num w:numId="37" w16cid:durableId="1038973978">
    <w:abstractNumId w:val="37"/>
  </w:num>
  <w:num w:numId="38" w16cid:durableId="1140995033">
    <w:abstractNumId w:val="39"/>
  </w:num>
  <w:num w:numId="39" w16cid:durableId="1479566236">
    <w:abstractNumId w:val="32"/>
  </w:num>
  <w:num w:numId="40" w16cid:durableId="629751024">
    <w:abstractNumId w:val="35"/>
  </w:num>
  <w:num w:numId="41" w16cid:durableId="328605319">
    <w:abstractNumId w:val="24"/>
  </w:num>
  <w:num w:numId="42" w16cid:durableId="1195312393">
    <w:abstractNumId w:val="44"/>
  </w:num>
  <w:num w:numId="43" w16cid:durableId="1611662561">
    <w:abstractNumId w:val="30"/>
  </w:num>
  <w:num w:numId="44" w16cid:durableId="1479491783">
    <w:abstractNumId w:val="23"/>
  </w:num>
  <w:num w:numId="45" w16cid:durableId="1128622244">
    <w:abstractNumId w:val="26"/>
  </w:num>
  <w:num w:numId="46" w16cid:durableId="684404324">
    <w:abstractNumId w:val="43"/>
  </w:num>
  <w:num w:numId="47" w16cid:durableId="1835220159">
    <w:abstractNumId w:val="11"/>
  </w:num>
  <w:num w:numId="48" w16cid:durableId="847910106">
    <w:abstractNumId w:val="16"/>
  </w:num>
  <w:num w:numId="49" w16cid:durableId="725953021">
    <w:abstractNumId w:val="14"/>
  </w:num>
  <w:num w:numId="50" w16cid:durableId="228418454">
    <w:abstractNumId w:val="14"/>
  </w:num>
  <w:num w:numId="51" w16cid:durableId="738866575">
    <w:abstractNumId w:val="14"/>
  </w:num>
  <w:num w:numId="52" w16cid:durableId="1900095246">
    <w:abstractNumId w:val="14"/>
  </w:num>
  <w:num w:numId="53" w16cid:durableId="1849563836">
    <w:abstractNumId w:val="14"/>
  </w:num>
  <w:num w:numId="54" w16cid:durableId="1185632340">
    <w:abstractNumId w:val="14"/>
  </w:num>
  <w:num w:numId="55" w16cid:durableId="1555043005">
    <w:abstractNumId w:val="14"/>
  </w:num>
  <w:num w:numId="56" w16cid:durableId="59794769">
    <w:abstractNumId w:val="14"/>
  </w:num>
  <w:num w:numId="57" w16cid:durableId="720518836">
    <w:abstractNumId w:val="14"/>
  </w:num>
  <w:num w:numId="58" w16cid:durableId="1390960834">
    <w:abstractNumId w:val="44"/>
  </w:num>
  <w:num w:numId="59" w16cid:durableId="1100105981">
    <w:abstractNumId w:val="30"/>
  </w:num>
  <w:num w:numId="60" w16cid:durableId="1573003820">
    <w:abstractNumId w:val="23"/>
  </w:num>
  <w:num w:numId="61" w16cid:durableId="550579135">
    <w:abstractNumId w:val="26"/>
  </w:num>
  <w:num w:numId="62" w16cid:durableId="1846822346">
    <w:abstractNumId w:val="43"/>
  </w:num>
  <w:num w:numId="63" w16cid:durableId="108164898">
    <w:abstractNumId w:val="11"/>
  </w:num>
  <w:num w:numId="64" w16cid:durableId="589050492">
    <w:abstractNumId w:val="16"/>
  </w:num>
  <w:num w:numId="65" w16cid:durableId="1786342307">
    <w:abstractNumId w:val="22"/>
  </w:num>
  <w:num w:numId="66" w16cid:durableId="297801129">
    <w:abstractNumId w:val="12"/>
  </w:num>
  <w:num w:numId="67" w16cid:durableId="876773362">
    <w:abstractNumId w:val="21"/>
  </w:num>
  <w:num w:numId="68" w16cid:durableId="1099184132">
    <w:abstractNumId w:val="28"/>
  </w:num>
  <w:num w:numId="69" w16cid:durableId="692389862">
    <w:abstractNumId w:val="19"/>
  </w:num>
  <w:num w:numId="70" w16cid:durableId="1020276374">
    <w:abstractNumId w:val="20"/>
  </w:num>
  <w:num w:numId="71" w16cid:durableId="1751804527">
    <w:abstractNumId w:val="19"/>
  </w:num>
  <w:num w:numId="72" w16cid:durableId="1865942225">
    <w:abstractNumId w:val="14"/>
  </w:num>
  <w:num w:numId="73" w16cid:durableId="1774127237">
    <w:abstractNumId w:val="14"/>
  </w:num>
  <w:num w:numId="74" w16cid:durableId="15160726">
    <w:abstractNumId w:val="14"/>
  </w:num>
  <w:num w:numId="75" w16cid:durableId="672758216">
    <w:abstractNumId w:val="14"/>
  </w:num>
  <w:num w:numId="76" w16cid:durableId="1186675447">
    <w:abstractNumId w:val="14"/>
  </w:num>
  <w:num w:numId="77" w16cid:durableId="1723211109">
    <w:abstractNumId w:val="14"/>
  </w:num>
  <w:num w:numId="78" w16cid:durableId="1873298694">
    <w:abstractNumId w:val="14"/>
  </w:num>
  <w:num w:numId="79" w16cid:durableId="966013151">
    <w:abstractNumId w:val="14"/>
  </w:num>
  <w:num w:numId="80" w16cid:durableId="711659780">
    <w:abstractNumId w:val="14"/>
  </w:num>
  <w:num w:numId="81" w16cid:durableId="73205762">
    <w:abstractNumId w:val="44"/>
  </w:num>
  <w:num w:numId="82" w16cid:durableId="1929118407">
    <w:abstractNumId w:val="16"/>
  </w:num>
  <w:num w:numId="83" w16cid:durableId="1206719062">
    <w:abstractNumId w:val="30"/>
  </w:num>
  <w:num w:numId="84" w16cid:durableId="317926998">
    <w:abstractNumId w:val="23"/>
  </w:num>
  <w:num w:numId="85" w16cid:durableId="1570728390">
    <w:abstractNumId w:val="19"/>
  </w:num>
  <w:num w:numId="86" w16cid:durableId="603420395">
    <w:abstractNumId w:val="20"/>
  </w:num>
  <w:num w:numId="87" w16cid:durableId="1476529747">
    <w:abstractNumId w:val="19"/>
  </w:num>
  <w:num w:numId="88" w16cid:durableId="1141187930">
    <w:abstractNumId w:val="11"/>
  </w:num>
  <w:num w:numId="89" w16cid:durableId="745222239">
    <w:abstractNumId w:val="43"/>
  </w:num>
  <w:num w:numId="90" w16cid:durableId="1817381878">
    <w:abstractNumId w:val="27"/>
  </w:num>
  <w:num w:numId="91" w16cid:durableId="372391401">
    <w:abstractNumId w:val="28"/>
  </w:num>
  <w:num w:numId="92" w16cid:durableId="1430004199">
    <w:abstractNumId w:val="20"/>
  </w:num>
  <w:num w:numId="93" w16cid:durableId="1639645441">
    <w:abstractNumId w:val="16"/>
  </w:num>
  <w:num w:numId="94" w16cid:durableId="807432022">
    <w:abstractNumId w:val="30"/>
  </w:num>
  <w:num w:numId="95" w16cid:durableId="79103369">
    <w:abstractNumId w:val="44"/>
  </w:num>
  <w:num w:numId="96" w16cid:durableId="261182921">
    <w:abstractNumId w:val="26"/>
  </w:num>
  <w:num w:numId="97" w16cid:durableId="1197809762">
    <w:abstractNumId w:val="18"/>
  </w:num>
  <w:num w:numId="98" w16cid:durableId="1985811328">
    <w:abstractNumId w:val="18"/>
  </w:num>
  <w:num w:numId="99" w16cid:durableId="1158420937">
    <w:abstractNumId w:val="18"/>
  </w:num>
  <w:num w:numId="100" w16cid:durableId="1850287417">
    <w:abstractNumId w:val="18"/>
  </w:num>
  <w:num w:numId="101" w16cid:durableId="594293137">
    <w:abstractNumId w:val="18"/>
  </w:num>
  <w:num w:numId="102" w16cid:durableId="1395857078">
    <w:abstractNumId w:val="18"/>
  </w:num>
  <w:num w:numId="103" w16cid:durableId="2125224845">
    <w:abstractNumId w:val="18"/>
  </w:num>
  <w:num w:numId="104" w16cid:durableId="1983843950">
    <w:abstractNumId w:val="18"/>
  </w:num>
  <w:num w:numId="105" w16cid:durableId="1267734824">
    <w:abstractNumId w:val="18"/>
  </w:num>
  <w:num w:numId="106" w16cid:durableId="1217931399">
    <w:abstractNumId w:val="18"/>
  </w:num>
  <w:num w:numId="107" w16cid:durableId="1963879077">
    <w:abstractNumId w:val="18"/>
  </w:num>
  <w:num w:numId="108" w16cid:durableId="151800625">
    <w:abstractNumId w:val="18"/>
  </w:num>
  <w:num w:numId="109" w16cid:durableId="1688363130">
    <w:abstractNumId w:val="18"/>
  </w:num>
  <w:num w:numId="110" w16cid:durableId="2100833277">
    <w:abstractNumId w:val="14"/>
  </w:num>
  <w:num w:numId="111" w16cid:durableId="1122723876">
    <w:abstractNumId w:val="14"/>
  </w:num>
  <w:num w:numId="112" w16cid:durableId="1758938490">
    <w:abstractNumId w:val="14"/>
  </w:num>
  <w:num w:numId="113" w16cid:durableId="431708031">
    <w:abstractNumId w:val="14"/>
  </w:num>
  <w:num w:numId="114" w16cid:durableId="1806464352">
    <w:abstractNumId w:val="14"/>
  </w:num>
  <w:num w:numId="115" w16cid:durableId="622931259">
    <w:abstractNumId w:val="14"/>
  </w:num>
  <w:num w:numId="116" w16cid:durableId="2074499135">
    <w:abstractNumId w:val="14"/>
  </w:num>
  <w:num w:numId="117" w16cid:durableId="806703766">
    <w:abstractNumId w:val="14"/>
  </w:num>
  <w:num w:numId="118" w16cid:durableId="333386546">
    <w:abstractNumId w:val="14"/>
  </w:num>
  <w:num w:numId="119" w16cid:durableId="623927377">
    <w:abstractNumId w:val="14"/>
  </w:num>
  <w:num w:numId="120" w16cid:durableId="1637567396">
    <w:abstractNumId w:val="14"/>
  </w:num>
  <w:num w:numId="121" w16cid:durableId="210581741">
    <w:abstractNumId w:val="14"/>
  </w:num>
  <w:num w:numId="122" w16cid:durableId="440225905">
    <w:abstractNumId w:val="14"/>
  </w:num>
  <w:num w:numId="123" w16cid:durableId="1140466489">
    <w:abstractNumId w:val="14"/>
  </w:num>
  <w:num w:numId="124" w16cid:durableId="1921524595">
    <w:abstractNumId w:val="14"/>
  </w:num>
  <w:num w:numId="125" w16cid:durableId="985469933">
    <w:abstractNumId w:val="14"/>
  </w:num>
  <w:num w:numId="126" w16cid:durableId="383219205">
    <w:abstractNumId w:val="14"/>
  </w:num>
  <w:num w:numId="127" w16cid:durableId="1614482428">
    <w:abstractNumId w:val="14"/>
  </w:num>
  <w:num w:numId="128" w16cid:durableId="1680543079">
    <w:abstractNumId w:val="27"/>
  </w:num>
  <w:num w:numId="129" w16cid:durableId="1518813139">
    <w:abstractNumId w:val="23"/>
  </w:num>
  <w:num w:numId="130" w16cid:durableId="1401830957">
    <w:abstractNumId w:val="14"/>
  </w:num>
  <w:num w:numId="131" w16cid:durableId="384791191">
    <w:abstractNumId w:val="14"/>
  </w:num>
  <w:num w:numId="132" w16cid:durableId="1356887385">
    <w:abstractNumId w:val="14"/>
  </w:num>
  <w:num w:numId="133" w16cid:durableId="562444232">
    <w:abstractNumId w:val="14"/>
  </w:num>
  <w:num w:numId="134" w16cid:durableId="1166820807">
    <w:abstractNumId w:val="14"/>
  </w:num>
  <w:num w:numId="135" w16cid:durableId="680593861">
    <w:abstractNumId w:val="14"/>
  </w:num>
  <w:num w:numId="136" w16cid:durableId="1848253151">
    <w:abstractNumId w:val="14"/>
  </w:num>
  <w:num w:numId="137" w16cid:durableId="475152004">
    <w:abstractNumId w:val="14"/>
  </w:num>
  <w:num w:numId="138" w16cid:durableId="334498854">
    <w:abstractNumId w:val="14"/>
  </w:num>
  <w:num w:numId="139" w16cid:durableId="909078046">
    <w:abstractNumId w:val="44"/>
  </w:num>
  <w:num w:numId="140" w16cid:durableId="1154030235">
    <w:abstractNumId w:val="16"/>
  </w:num>
  <w:num w:numId="141" w16cid:durableId="1388184962">
    <w:abstractNumId w:val="30"/>
  </w:num>
  <w:num w:numId="142" w16cid:durableId="172963044">
    <w:abstractNumId w:val="26"/>
  </w:num>
  <w:num w:numId="143" w16cid:durableId="1198591047">
    <w:abstractNumId w:val="28"/>
  </w:num>
  <w:num w:numId="144" w16cid:durableId="1044251153">
    <w:abstractNumId w:val="43"/>
  </w:num>
  <w:num w:numId="145" w16cid:durableId="1956983020">
    <w:abstractNumId w:val="27"/>
  </w:num>
  <w:num w:numId="146" w16cid:durableId="124585505">
    <w:abstractNumId w:val="19"/>
  </w:num>
  <w:num w:numId="147" w16cid:durableId="1269846698">
    <w:abstractNumId w:val="20"/>
  </w:num>
  <w:num w:numId="148" w16cid:durableId="125634957">
    <w:abstractNumId w:val="11"/>
  </w:num>
  <w:num w:numId="149" w16cid:durableId="532303858">
    <w:abstractNumId w:val="14"/>
  </w:num>
  <w:num w:numId="150" w16cid:durableId="1060055083">
    <w:abstractNumId w:val="36"/>
  </w:num>
  <w:num w:numId="151" w16cid:durableId="1051075204">
    <w:abstractNumId w:val="34"/>
  </w:num>
  <w:num w:numId="152" w16cid:durableId="1232740373">
    <w:abstractNumId w:val="20"/>
  </w:num>
  <w:num w:numId="153" w16cid:durableId="1945846111">
    <w:abstractNumId w:val="38"/>
  </w:num>
  <w:num w:numId="154" w16cid:durableId="287200611">
    <w:abstractNumId w:val="38"/>
  </w:num>
  <w:num w:numId="155" w16cid:durableId="1979260918">
    <w:abstractNumId w:val="38"/>
  </w:num>
  <w:num w:numId="156" w16cid:durableId="1164854246">
    <w:abstractNumId w:val="38"/>
  </w:num>
  <w:num w:numId="157" w16cid:durableId="352850333">
    <w:abstractNumId w:val="17"/>
  </w:num>
  <w:num w:numId="158" w16cid:durableId="1593077301">
    <w:abstractNumId w:val="17"/>
  </w:num>
  <w:num w:numId="159" w16cid:durableId="898981085">
    <w:abstractNumId w:val="17"/>
  </w:num>
  <w:num w:numId="160" w16cid:durableId="1406490630">
    <w:abstractNumId w:val="17"/>
  </w:num>
  <w:num w:numId="161" w16cid:durableId="561673583">
    <w:abstractNumId w:val="29"/>
  </w:num>
  <w:num w:numId="162" w16cid:durableId="1921909810">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SV"/>
  </w:docVars>
  <w:rsids>
    <w:rsidRoot w:val="004D77A5"/>
    <w:rsid w:val="00013FF4"/>
    <w:rsid w:val="00265827"/>
    <w:rsid w:val="00292CB2"/>
    <w:rsid w:val="00373BAB"/>
    <w:rsid w:val="003C7456"/>
    <w:rsid w:val="004D77A5"/>
    <w:rsid w:val="004F4832"/>
    <w:rsid w:val="007055FF"/>
    <w:rsid w:val="00715E10"/>
    <w:rsid w:val="00790A0E"/>
    <w:rsid w:val="00880202"/>
    <w:rsid w:val="00966180"/>
    <w:rsid w:val="009A5D5F"/>
    <w:rsid w:val="009C6FD9"/>
    <w:rsid w:val="00B51806"/>
    <w:rsid w:val="00D37881"/>
    <w:rsid w:val="00D5063E"/>
    <w:rsid w:val="00D65B73"/>
    <w:rsid w:val="00DE7DAC"/>
    <w:rsid w:val="00DF2B7D"/>
    <w:rsid w:val="00E720D7"/>
    <w:rsid w:val="00F554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A0991F6F-BD07-4FA2-BBAE-2F35FA2B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style>
  <w:style w:type="paragraph" w:customStyle="1" w:styleId="AddReference">
    <w:name w:val="Add Reference"/>
    <w:basedOn w:val="Normal"/>
    <w:rsid w:val="004D77A5"/>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Dokumentversikt">
    <w:name w:val="Document Map"/>
    <w:basedOn w:val="Normal"/>
    <w:semiHidden/>
    <w:rsid w:val="004F4832"/>
    <w:pPr>
      <w:shd w:val="clear" w:color="auto" w:fill="000080"/>
    </w:pPr>
    <w:rPr>
      <w:rFonts w:ascii="Tahoma" w:hAnsi="Tahoma" w:cs="Tahoma"/>
    </w:rPr>
  </w:style>
  <w:style w:type="paragraph" w:customStyle="1" w:styleId="ManualNumPar1">
    <w:name w:val="Manual NumPar 1"/>
    <w:basedOn w:val="Normal"/>
    <w:next w:val="Normal"/>
    <w:link w:val="ManualNumPar1Char"/>
    <w:rsid w:val="004F4832"/>
    <w:pPr>
      <w:widowControl/>
      <w:spacing w:before="120" w:after="120" w:line="240" w:lineRule="auto"/>
      <w:ind w:left="850" w:hanging="850"/>
      <w:jc w:val="both"/>
    </w:pPr>
    <w:rPr>
      <w:lang w:eastAsia="zh-CN"/>
    </w:rPr>
  </w:style>
  <w:style w:type="character" w:customStyle="1" w:styleId="ManualNumPar1Char">
    <w:name w:val="Manual NumPar 1 Char"/>
    <w:basedOn w:val="Standardstycketeckensnitt"/>
    <w:link w:val="ManualNumPar1"/>
    <w:rsid w:val="004F4832"/>
    <w:rPr>
      <w:sz w:val="24"/>
      <w:lang w:val="sv-SE"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_GenSv.dot</Template>
  <TotalTime>0</TotalTime>
  <Pages>2</Pages>
  <Words>1539</Words>
  <Characters>9081</Characters>
  <Application>Microsoft Office Word</Application>
  <DocSecurity>4</DocSecurity>
  <Lines>227</Lines>
  <Paragraphs>81</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2006-04-07T08:26:00Z</cp:lastPrinted>
  <dcterms:created xsi:type="dcterms:W3CDTF">2025-12-16T23:17:00Z</dcterms:created>
  <dcterms:modified xsi:type="dcterms:W3CDTF">2025-12-16T23:17:00Z</dcterms:modified>
</cp:coreProperties>
</file>