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5"/>
      </w:tblGrid>
      <w:tr w:rsidR="00000000" w:rsidRPr="00847F74">
        <w:trPr>
          <w:cantSplit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156F7" w:rsidRPr="00847F74" w:rsidRDefault="00F156F7">
            <w:pPr>
              <w:jc w:val="center"/>
              <w:rPr>
                <w:b/>
              </w:rPr>
            </w:pP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PROVISIONAL AGENDA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ECONOMIC AND FINANCIAL AFFAIRS COUNCIL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BRUSSELS – 11 JULY 2006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</w:p>
        </w:tc>
      </w:tr>
    </w:tbl>
    <w:p w:rsidR="00F156F7" w:rsidRPr="00847F74" w:rsidRDefault="00F156F7">
      <w:pPr>
        <w:pStyle w:val="Sidhuvud"/>
        <w:rPr>
          <w:szCs w:val="24"/>
        </w:rPr>
      </w:pPr>
    </w:p>
    <w:p w:rsidR="00F156F7" w:rsidRPr="00847F74" w:rsidRDefault="00F156F7"/>
    <w:p w:rsidR="00F156F7" w:rsidRPr="00847F74" w:rsidRDefault="00F156F7"/>
    <w:p w:rsidR="00F156F7" w:rsidRPr="00847F74" w:rsidRDefault="00F156F7">
      <w:pPr>
        <w:outlineLvl w:val="0"/>
        <w:rPr>
          <w:b/>
        </w:rPr>
      </w:pPr>
      <w:r w:rsidRPr="00847F74">
        <w:rPr>
          <w:b/>
        </w:rPr>
        <w:t xml:space="preserve">Presidency Work Programme </w:t>
      </w:r>
    </w:p>
    <w:p w:rsidR="00F156F7" w:rsidRPr="00847F74" w:rsidRDefault="00F156F7">
      <w:pPr>
        <w:ind w:firstLine="567"/>
        <w:outlineLvl w:val="0"/>
        <w:rPr>
          <w:i/>
        </w:rPr>
      </w:pPr>
      <w:r w:rsidRPr="00847F74">
        <w:rPr>
          <w:b/>
        </w:rPr>
        <w:t>=</w:t>
      </w:r>
      <w:r w:rsidRPr="00847F74">
        <w:rPr>
          <w:b/>
          <w:i/>
        </w:rPr>
        <w:tab/>
      </w:r>
      <w:r w:rsidRPr="00847F74">
        <w:rPr>
          <w:i/>
        </w:rPr>
        <w:t>Presentation</w:t>
      </w:r>
    </w:p>
    <w:p w:rsidR="00F156F7" w:rsidRPr="00847F74" w:rsidRDefault="00F156F7"/>
    <w:p w:rsidR="00F156F7" w:rsidRPr="00847F74" w:rsidRDefault="00F156F7"/>
    <w:p w:rsidR="00F156F7" w:rsidRPr="00847F74" w:rsidRDefault="00F156F7">
      <w:r w:rsidRPr="00847F74">
        <w:rPr>
          <w:b/>
        </w:rPr>
        <w:t xml:space="preserve">Debriefing of the Eurogroup </w:t>
      </w:r>
      <w:r w:rsidRPr="00847F74">
        <w:rPr>
          <w:i/>
        </w:rPr>
        <w:t>(restricted session)</w:t>
      </w:r>
    </w:p>
    <w:p w:rsidR="00F156F7" w:rsidRPr="00847F74" w:rsidRDefault="00F156F7"/>
    <w:p w:rsidR="00F156F7" w:rsidRPr="00847F74" w:rsidRDefault="00F156F7"/>
    <w:p w:rsidR="00F156F7" w:rsidRPr="00847F74" w:rsidRDefault="00F156F7">
      <w:r w:rsidRPr="00847F74">
        <w:t xml:space="preserve">(poss.) </w:t>
      </w:r>
      <w:r w:rsidRPr="00847F74">
        <w:rPr>
          <w:b/>
        </w:rPr>
        <w:t xml:space="preserve">Implementation of the Stability and Growth Pact </w:t>
      </w:r>
      <w:r w:rsidRPr="00847F74">
        <w:rPr>
          <w:i/>
        </w:rPr>
        <w:t>(restricted session)</w:t>
      </w:r>
    </w:p>
    <w:p w:rsidR="00F156F7" w:rsidRPr="00847F74" w:rsidRDefault="00F156F7"/>
    <w:p w:rsidR="00F156F7" w:rsidRPr="00847F74" w:rsidRDefault="00F156F7"/>
    <w:p w:rsidR="00F156F7" w:rsidRPr="00847F74" w:rsidRDefault="00F156F7">
      <w:pPr>
        <w:rPr>
          <w:b/>
        </w:rPr>
      </w:pPr>
      <w:r w:rsidRPr="00847F74">
        <w:rPr>
          <w:b/>
        </w:rPr>
        <w:t>Adoption of the euro</w:t>
      </w:r>
    </w:p>
    <w:p w:rsidR="00F156F7" w:rsidRPr="00847F74" w:rsidRDefault="00F156F7">
      <w:pPr>
        <w:ind w:firstLine="567"/>
      </w:pPr>
      <w:r w:rsidRPr="00847F74">
        <w:rPr>
          <w:b/>
        </w:rPr>
        <w:t>=</w:t>
      </w:r>
      <w:r w:rsidRPr="00847F74">
        <w:rPr>
          <w:b/>
        </w:rPr>
        <w:tab/>
      </w:r>
      <w:r w:rsidRPr="00847F74">
        <w:rPr>
          <w:i/>
        </w:rPr>
        <w:t>Council decisions</w:t>
      </w:r>
    </w:p>
    <w:p w:rsidR="00F156F7" w:rsidRPr="00847F74" w:rsidRDefault="00F156F7"/>
    <w:p w:rsidR="00F156F7" w:rsidRPr="00847F74" w:rsidRDefault="00F156F7"/>
    <w:p w:rsidR="00F156F7" w:rsidRPr="00847F74" w:rsidRDefault="00F156F7">
      <w:pPr>
        <w:outlineLvl w:val="0"/>
      </w:pPr>
      <w:r w:rsidRPr="00847F74">
        <w:rPr>
          <w:b/>
        </w:rPr>
        <w:t>Public Finances in EMU 2006 – The first year of the revised SGP</w:t>
      </w:r>
      <w:r w:rsidRPr="00847F74">
        <w:t xml:space="preserve"> </w:t>
      </w:r>
    </w:p>
    <w:p w:rsidR="00F156F7" w:rsidRPr="00847F74" w:rsidRDefault="00F156F7">
      <w:pPr>
        <w:ind w:firstLine="567"/>
        <w:outlineLvl w:val="0"/>
        <w:rPr>
          <w:b/>
        </w:rPr>
      </w:pPr>
      <w:r w:rsidRPr="00847F74">
        <w:t>=</w:t>
      </w:r>
      <w:r w:rsidRPr="00847F74">
        <w:tab/>
      </w:r>
      <w:r w:rsidRPr="00847F74">
        <w:rPr>
          <w:i/>
        </w:rPr>
        <w:t>Exchange of views/ Council conclusions</w:t>
      </w:r>
    </w:p>
    <w:p w:rsidR="00F156F7" w:rsidRPr="00847F74" w:rsidRDefault="00F156F7"/>
    <w:p w:rsidR="00F156F7" w:rsidRPr="00847F74" w:rsidRDefault="00F156F7"/>
    <w:p w:rsidR="00F156F7" w:rsidRPr="00847F74" w:rsidRDefault="00F156F7">
      <w:pPr>
        <w:rPr>
          <w:b/>
        </w:rPr>
      </w:pPr>
      <w:r w:rsidRPr="00847F74">
        <w:rPr>
          <w:b/>
        </w:rPr>
        <w:t xml:space="preserve">EIB external lending mandates </w:t>
      </w:r>
    </w:p>
    <w:p w:rsidR="00F156F7" w:rsidRPr="00847F74" w:rsidRDefault="00F156F7">
      <w:pPr>
        <w:ind w:firstLine="567"/>
        <w:rPr>
          <w:b/>
        </w:rPr>
      </w:pPr>
      <w:r w:rsidRPr="00847F74">
        <w:rPr>
          <w:b/>
        </w:rPr>
        <w:t>=</w:t>
      </w:r>
      <w:r w:rsidRPr="00847F74">
        <w:rPr>
          <w:b/>
        </w:rPr>
        <w:tab/>
      </w:r>
      <w:r w:rsidRPr="00847F74">
        <w:rPr>
          <w:i/>
        </w:rPr>
        <w:t>Presentation/ Orientation debate</w:t>
      </w:r>
      <w:r w:rsidRPr="00847F74">
        <w:rPr>
          <w:b/>
        </w:rPr>
        <w:t xml:space="preserve"> </w:t>
      </w:r>
    </w:p>
    <w:p w:rsidR="00F156F7" w:rsidRPr="00847F74" w:rsidRDefault="00F156F7"/>
    <w:p w:rsidR="00F156F7" w:rsidRPr="00847F74" w:rsidRDefault="00F156F7"/>
    <w:p w:rsidR="00F156F7" w:rsidRPr="00847F74" w:rsidRDefault="00F156F7">
      <w:pPr>
        <w:rPr>
          <w:b/>
        </w:rPr>
      </w:pPr>
      <w:r w:rsidRPr="00847F74">
        <w:rPr>
          <w:b/>
        </w:rPr>
        <w:t>Dialogues with third countries; economic and financial aspects</w:t>
      </w:r>
    </w:p>
    <w:p w:rsidR="00F156F7" w:rsidRPr="00847F74" w:rsidRDefault="00F156F7">
      <w:pPr>
        <w:ind w:left="567"/>
      </w:pPr>
      <w:r w:rsidRPr="00847F74">
        <w:rPr>
          <w:b/>
        </w:rPr>
        <w:t xml:space="preserve">– EU-USA Summit: </w:t>
      </w:r>
      <w:r w:rsidRPr="00847F74">
        <w:rPr>
          <w:i/>
        </w:rPr>
        <w:t>Follow-up</w:t>
      </w:r>
    </w:p>
    <w:p w:rsidR="00F156F7" w:rsidRPr="00847F74" w:rsidRDefault="00F156F7">
      <w:pPr>
        <w:ind w:left="567"/>
        <w:rPr>
          <w:b/>
        </w:rPr>
      </w:pPr>
      <w:r w:rsidRPr="00847F74">
        <w:rPr>
          <w:b/>
        </w:rPr>
        <w:t xml:space="preserve">– </w:t>
      </w:r>
      <w:r w:rsidRPr="00847F74">
        <w:t xml:space="preserve">(poss.) </w:t>
      </w:r>
      <w:r w:rsidRPr="00847F74">
        <w:rPr>
          <w:b/>
        </w:rPr>
        <w:t>Dialogues</w:t>
      </w:r>
      <w:r w:rsidRPr="00847F74">
        <w:t xml:space="preserve"> </w:t>
      </w:r>
      <w:r w:rsidRPr="00847F74">
        <w:rPr>
          <w:b/>
        </w:rPr>
        <w:t xml:space="preserve">with third countries; </w:t>
      </w:r>
      <w:r w:rsidRPr="00847F74">
        <w:t>economic, financial and regulatory aspects:</w:t>
      </w:r>
    </w:p>
    <w:p w:rsidR="00F156F7" w:rsidRPr="00847F74" w:rsidRDefault="00F156F7">
      <w:pPr>
        <w:ind w:left="567"/>
        <w:rPr>
          <w:b/>
        </w:rPr>
      </w:pPr>
      <w:r w:rsidRPr="00847F74">
        <w:rPr>
          <w:i/>
        </w:rPr>
        <w:t>information by Commission/ Exchange of views</w:t>
      </w:r>
    </w:p>
    <w:p w:rsidR="00F156F7" w:rsidRPr="00847F74" w:rsidRDefault="00F156F7"/>
    <w:p w:rsidR="00F156F7" w:rsidRPr="00847F74" w:rsidRDefault="00F156F7"/>
    <w:p w:rsidR="00F156F7" w:rsidRPr="00847F74" w:rsidRDefault="00F156F7">
      <w:pPr>
        <w:rPr>
          <w:b/>
        </w:rPr>
      </w:pPr>
      <w:r w:rsidRPr="00847F74">
        <w:rPr>
          <w:b/>
        </w:rPr>
        <w:t>Funding of the International Accounting Standards Board</w:t>
      </w:r>
    </w:p>
    <w:p w:rsidR="00F156F7" w:rsidRPr="00847F74" w:rsidRDefault="00F156F7">
      <w:pPr>
        <w:ind w:firstLine="567"/>
        <w:rPr>
          <w:b/>
        </w:rPr>
      </w:pPr>
      <w:r w:rsidRPr="00847F74">
        <w:rPr>
          <w:b/>
        </w:rPr>
        <w:t>=</w:t>
      </w:r>
      <w:r w:rsidRPr="00847F74">
        <w:rPr>
          <w:b/>
        </w:rPr>
        <w:tab/>
      </w:r>
      <w:r w:rsidRPr="00847F74">
        <w:rPr>
          <w:i/>
        </w:rPr>
        <w:t>Council conclusions</w:t>
      </w:r>
    </w:p>
    <w:p w:rsidR="00F156F7" w:rsidRPr="00847F74" w:rsidRDefault="00F156F7"/>
    <w:p w:rsidR="00F156F7" w:rsidRPr="00847F74" w:rsidRDefault="00F156F7"/>
    <w:p w:rsidR="00F156F7" w:rsidRPr="00847F74" w:rsidRDefault="00F156F7"/>
    <w:p w:rsidR="00F156F7" w:rsidRPr="00847F74" w:rsidRDefault="00F156F7"/>
    <w:p w:rsidR="00F156F7" w:rsidRPr="00847F74" w:rsidRDefault="00F156F7">
      <w:pPr>
        <w:rPr>
          <w:b/>
          <w:snapToGrid w:val="0"/>
        </w:rPr>
      </w:pPr>
      <w:r w:rsidRPr="00847F74">
        <w:rPr>
          <w:b/>
          <w:snapToGrid w:val="0"/>
        </w:rPr>
        <w:t>p.m. Eurogroup 10 July 2006</w:t>
      </w:r>
    </w:p>
    <w:p w:rsidR="00F156F7" w:rsidRPr="00847F74" w:rsidRDefault="00F156F7"/>
    <w:p w:rsidR="00F156F7" w:rsidRPr="00847F74" w:rsidRDefault="00F156F7">
      <w:r w:rsidRPr="00847F74">
        <w:rPr>
          <w:snapToGrid w:val="0"/>
        </w:rPr>
        <w:br w:type="page"/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5"/>
      </w:tblGrid>
      <w:tr w:rsidR="00000000" w:rsidRPr="00847F74">
        <w:trPr>
          <w:cantSplit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br w:type="page"/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PROVISIONAL AGENDA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ECONOMIC AND FINANCIAL AFFAIRS COUNCIL (BUDGET)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BRUSSELS – 14 JULY 2006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</w:p>
        </w:tc>
      </w:tr>
    </w:tbl>
    <w:p w:rsidR="00F156F7" w:rsidRPr="00847F74" w:rsidRDefault="00F156F7"/>
    <w:p w:rsidR="00F156F7" w:rsidRPr="00847F74" w:rsidRDefault="00F156F7"/>
    <w:p w:rsidR="00F156F7" w:rsidRPr="00847F74" w:rsidRDefault="00F156F7"/>
    <w:p w:rsidR="00F156F7" w:rsidRPr="00847F74" w:rsidRDefault="00F156F7">
      <w:pPr>
        <w:rPr>
          <w:b/>
        </w:rPr>
      </w:pPr>
      <w:r w:rsidRPr="00847F74">
        <w:rPr>
          <w:b/>
        </w:rPr>
        <w:t>Preparation of the conciliation meeting with the European Parliament</w:t>
      </w:r>
    </w:p>
    <w:p w:rsidR="00F156F7" w:rsidRPr="00847F74" w:rsidRDefault="00F156F7"/>
    <w:p w:rsidR="00F156F7" w:rsidRPr="00847F74" w:rsidRDefault="00F156F7"/>
    <w:p w:rsidR="00F156F7" w:rsidRPr="00847F74" w:rsidRDefault="00F156F7"/>
    <w:p w:rsidR="00F156F7" w:rsidRPr="00847F74" w:rsidRDefault="00F156F7">
      <w:pPr>
        <w:rPr>
          <w:b/>
        </w:rPr>
      </w:pPr>
      <w:r w:rsidRPr="00847F74">
        <w:rPr>
          <w:b/>
        </w:rPr>
        <w:t>Establishment by the Council of the Draft of the Budget of the European Union for 2007</w:t>
      </w:r>
    </w:p>
    <w:p w:rsidR="00F156F7" w:rsidRPr="00847F74" w:rsidRDefault="00F156F7"/>
    <w:p w:rsidR="00F156F7" w:rsidRPr="00847F74" w:rsidRDefault="00F156F7"/>
    <w:p w:rsidR="00F156F7" w:rsidRPr="00847F74" w:rsidRDefault="00F156F7">
      <w:pPr>
        <w:rPr>
          <w:snapToGrid w:val="0"/>
        </w:rPr>
      </w:pPr>
    </w:p>
    <w:p w:rsidR="00F156F7" w:rsidRPr="00847F74" w:rsidRDefault="00F156F7">
      <w:pPr>
        <w:rPr>
          <w:b/>
          <w:snapToGrid w:val="0"/>
        </w:rPr>
      </w:pPr>
      <w:r w:rsidRPr="00847F74">
        <w:rPr>
          <w:b/>
          <w:snapToGrid w:val="0"/>
        </w:rPr>
        <w:t>AOB</w:t>
      </w:r>
    </w:p>
    <w:p w:rsidR="00F156F7" w:rsidRPr="00847F74" w:rsidRDefault="00F156F7">
      <w:pPr>
        <w:rPr>
          <w:snapToGrid w:val="0"/>
        </w:rPr>
      </w:pPr>
    </w:p>
    <w:p w:rsidR="00F156F7" w:rsidRPr="00847F74" w:rsidRDefault="00F156F7">
      <w:pPr>
        <w:rPr>
          <w:b/>
          <w:snapToGrid w:val="0"/>
        </w:rPr>
      </w:pPr>
      <w:r w:rsidRPr="00847F74">
        <w:rPr>
          <w:b/>
          <w:snapToGrid w:val="0"/>
        </w:rPr>
        <w:br w:type="page"/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5"/>
      </w:tblGrid>
      <w:tr w:rsidR="00000000" w:rsidRPr="00847F74">
        <w:trPr>
          <w:cantSplit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156F7" w:rsidRPr="00847F74" w:rsidRDefault="00F156F7">
            <w:pPr>
              <w:jc w:val="center"/>
              <w:rPr>
                <w:b/>
              </w:rPr>
            </w:pP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PROVISIONAL AGENDA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ECONOMIC AND FINANCIAL AFFAIRS COUNCIL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LUXEMBOURG – 10 OCTOBER 2006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</w:p>
        </w:tc>
      </w:tr>
    </w:tbl>
    <w:p w:rsidR="00F156F7" w:rsidRPr="00847F74" w:rsidRDefault="00F156F7"/>
    <w:p w:rsidR="00F156F7" w:rsidRPr="00847F74" w:rsidRDefault="00F156F7"/>
    <w:p w:rsidR="00F156F7" w:rsidRPr="00847F74" w:rsidRDefault="00F156F7"/>
    <w:p w:rsidR="00F156F7" w:rsidRPr="00847F74" w:rsidRDefault="00F156F7">
      <w:r w:rsidRPr="00847F74">
        <w:rPr>
          <w:b/>
        </w:rPr>
        <w:t xml:space="preserve">Debriefing of the Eurogroup </w:t>
      </w:r>
      <w:r w:rsidRPr="00847F74">
        <w:rPr>
          <w:i/>
        </w:rPr>
        <w:t>(restricted session)</w:t>
      </w:r>
    </w:p>
    <w:p w:rsidR="00F156F7" w:rsidRPr="00847F74" w:rsidRDefault="00F156F7"/>
    <w:p w:rsidR="00F156F7" w:rsidRPr="00847F74" w:rsidRDefault="00F156F7"/>
    <w:p w:rsidR="00F156F7" w:rsidRPr="00847F74" w:rsidRDefault="00F156F7">
      <w:r w:rsidRPr="00847F74">
        <w:t xml:space="preserve">(poss.) </w:t>
      </w:r>
      <w:r w:rsidRPr="00847F74">
        <w:rPr>
          <w:b/>
        </w:rPr>
        <w:t xml:space="preserve">Implementation of the Stability and Growth Pact </w:t>
      </w:r>
      <w:r w:rsidRPr="00847F74">
        <w:rPr>
          <w:i/>
        </w:rPr>
        <w:t>(restricted session)</w:t>
      </w:r>
    </w:p>
    <w:p w:rsidR="00F156F7" w:rsidRPr="00847F74" w:rsidRDefault="00F156F7">
      <w:pPr>
        <w:outlineLvl w:val="0"/>
      </w:pPr>
    </w:p>
    <w:p w:rsidR="00F156F7" w:rsidRPr="00847F74" w:rsidRDefault="00F156F7">
      <w:pPr>
        <w:outlineLvl w:val="0"/>
      </w:pPr>
    </w:p>
    <w:p w:rsidR="00F156F7" w:rsidRPr="00847F74" w:rsidRDefault="00F156F7">
      <w:pPr>
        <w:outlineLvl w:val="0"/>
        <w:rPr>
          <w:b/>
        </w:rPr>
      </w:pPr>
      <w:r w:rsidRPr="00847F74">
        <w:rPr>
          <w:b/>
        </w:rPr>
        <w:t>Better Regulation: Administrative burden</w:t>
      </w:r>
    </w:p>
    <w:p w:rsidR="00F156F7" w:rsidRPr="00847F74" w:rsidRDefault="00F156F7">
      <w:pPr>
        <w:ind w:left="567"/>
      </w:pPr>
      <w:r w:rsidRPr="00847F74">
        <w:rPr>
          <w:b/>
        </w:rPr>
        <w:t>=</w:t>
      </w:r>
      <w:r w:rsidRPr="00847F74">
        <w:rPr>
          <w:b/>
        </w:rPr>
        <w:tab/>
      </w:r>
      <w:r w:rsidRPr="00847F74">
        <w:rPr>
          <w:i/>
        </w:rPr>
        <w:t>Exchange of views/ Council conclusions</w:t>
      </w:r>
    </w:p>
    <w:p w:rsidR="00F156F7" w:rsidRPr="00847F74" w:rsidRDefault="00F156F7"/>
    <w:p w:rsidR="00F156F7" w:rsidRPr="00847F74" w:rsidRDefault="00F156F7"/>
    <w:p w:rsidR="00F156F7" w:rsidRPr="00847F74" w:rsidRDefault="00F156F7">
      <w:pPr>
        <w:outlineLvl w:val="0"/>
        <w:rPr>
          <w:b/>
        </w:rPr>
      </w:pPr>
      <w:r w:rsidRPr="00847F74">
        <w:rPr>
          <w:b/>
        </w:rPr>
        <w:t>The Quality of Public Finances</w:t>
      </w:r>
    </w:p>
    <w:p w:rsidR="00F156F7" w:rsidRPr="00847F74" w:rsidRDefault="00F156F7">
      <w:pPr>
        <w:outlineLvl w:val="0"/>
        <w:rPr>
          <w:i/>
        </w:rPr>
      </w:pPr>
      <w:r w:rsidRPr="00847F74">
        <w:rPr>
          <w:b/>
        </w:rPr>
        <w:tab/>
        <w:t>=</w:t>
      </w:r>
      <w:r w:rsidRPr="00847F74">
        <w:rPr>
          <w:b/>
        </w:rPr>
        <w:tab/>
      </w:r>
      <w:r w:rsidRPr="00847F74">
        <w:rPr>
          <w:i/>
        </w:rPr>
        <w:t>Exchange of views /Council conclusions</w:t>
      </w:r>
    </w:p>
    <w:p w:rsidR="00F156F7" w:rsidRPr="00847F74" w:rsidRDefault="00F156F7"/>
    <w:p w:rsidR="00F156F7" w:rsidRPr="00847F74" w:rsidRDefault="00F156F7"/>
    <w:p w:rsidR="00F156F7" w:rsidRPr="00847F74" w:rsidRDefault="00F156F7">
      <w:pPr>
        <w:rPr>
          <w:b/>
        </w:rPr>
      </w:pPr>
      <w:r w:rsidRPr="00847F74">
        <w:rPr>
          <w:b/>
        </w:rPr>
        <w:t>EIB external lending mandates</w:t>
      </w:r>
    </w:p>
    <w:p w:rsidR="00F156F7" w:rsidRPr="00847F74" w:rsidRDefault="00F156F7">
      <w:pPr>
        <w:rPr>
          <w:i/>
        </w:rPr>
      </w:pPr>
      <w:r w:rsidRPr="00847F74">
        <w:tab/>
        <w:t>=</w:t>
      </w:r>
      <w:r w:rsidRPr="00847F74">
        <w:tab/>
      </w:r>
      <w:r w:rsidRPr="00847F74">
        <w:rPr>
          <w:i/>
        </w:rPr>
        <w:t>Conclusion on amounts and regional allocation</w:t>
      </w:r>
    </w:p>
    <w:p w:rsidR="00F156F7" w:rsidRPr="00847F74" w:rsidRDefault="00F156F7"/>
    <w:p w:rsidR="00F156F7" w:rsidRPr="00847F74" w:rsidRDefault="00F156F7"/>
    <w:p w:rsidR="00F156F7" w:rsidRPr="00847F74" w:rsidRDefault="00F156F7">
      <w:pPr>
        <w:rPr>
          <w:b/>
        </w:rPr>
      </w:pPr>
      <w:r w:rsidRPr="00847F74">
        <w:rPr>
          <w:b/>
        </w:rPr>
        <w:t xml:space="preserve">Financial services: </w:t>
      </w:r>
    </w:p>
    <w:p w:rsidR="00F156F7" w:rsidRPr="00847F74" w:rsidRDefault="00F156F7"/>
    <w:p w:rsidR="00F156F7" w:rsidRPr="00847F74" w:rsidRDefault="00F156F7">
      <w:pPr>
        <w:ind w:left="567"/>
      </w:pPr>
      <w:r w:rsidRPr="00847F74">
        <w:rPr>
          <w:b/>
        </w:rPr>
        <w:t xml:space="preserve">Clearing and settlement </w:t>
      </w:r>
    </w:p>
    <w:p w:rsidR="00F156F7" w:rsidRPr="00847F74" w:rsidRDefault="00F156F7">
      <w:pPr>
        <w:ind w:left="567"/>
        <w:rPr>
          <w:i/>
        </w:rPr>
      </w:pPr>
      <w:r w:rsidRPr="00847F74">
        <w:rPr>
          <w:i/>
        </w:rPr>
        <w:t>=</w:t>
      </w:r>
      <w:r w:rsidRPr="00847F74">
        <w:rPr>
          <w:i/>
        </w:rPr>
        <w:tab/>
        <w:t>Exchange of views</w:t>
      </w:r>
    </w:p>
    <w:p w:rsidR="00F156F7" w:rsidRPr="00847F74" w:rsidRDefault="00F156F7">
      <w:pPr>
        <w:ind w:left="567"/>
        <w:rPr>
          <w:i/>
        </w:rPr>
      </w:pPr>
    </w:p>
    <w:p w:rsidR="00F156F7" w:rsidRPr="00847F74" w:rsidRDefault="00F156F7">
      <w:pPr>
        <w:ind w:left="567"/>
      </w:pPr>
      <w:r w:rsidRPr="00847F74">
        <w:rPr>
          <w:b/>
        </w:rPr>
        <w:t>Single Euro Payments Area</w:t>
      </w:r>
      <w:r w:rsidRPr="00847F74">
        <w:t xml:space="preserve"> – Next steps</w:t>
      </w:r>
    </w:p>
    <w:p w:rsidR="00F156F7" w:rsidRPr="00847F74" w:rsidRDefault="00F156F7">
      <w:pPr>
        <w:ind w:left="567"/>
        <w:rPr>
          <w:i/>
        </w:rPr>
      </w:pPr>
      <w:r w:rsidRPr="00847F74">
        <w:rPr>
          <w:i/>
        </w:rPr>
        <w:t>=</w:t>
      </w:r>
      <w:r w:rsidRPr="00847F74">
        <w:rPr>
          <w:i/>
        </w:rPr>
        <w:tab/>
        <w:t>Exchange of views</w:t>
      </w:r>
    </w:p>
    <w:p w:rsidR="00F156F7" w:rsidRPr="00847F74" w:rsidRDefault="00F156F7"/>
    <w:p w:rsidR="00F156F7" w:rsidRPr="00847F74" w:rsidRDefault="00F156F7"/>
    <w:p w:rsidR="00F156F7" w:rsidRPr="00847F74" w:rsidRDefault="00F156F7">
      <w:pPr>
        <w:rPr>
          <w:b/>
        </w:rPr>
      </w:pPr>
      <w:r w:rsidRPr="00847F74">
        <w:t xml:space="preserve">(poss.) </w:t>
      </w:r>
      <w:r w:rsidRPr="00847F74">
        <w:rPr>
          <w:b/>
        </w:rPr>
        <w:t>Own Resources</w:t>
      </w:r>
    </w:p>
    <w:p w:rsidR="00F156F7" w:rsidRPr="00847F74" w:rsidRDefault="00F156F7">
      <w:pPr>
        <w:rPr>
          <w:i/>
        </w:rPr>
      </w:pPr>
      <w:r w:rsidRPr="00847F74">
        <w:tab/>
      </w:r>
      <w:r w:rsidRPr="00847F74">
        <w:rPr>
          <w:i/>
        </w:rPr>
        <w:t>=</w:t>
      </w:r>
      <w:r w:rsidRPr="00847F74">
        <w:rPr>
          <w:i/>
        </w:rPr>
        <w:tab/>
        <w:t>Decision</w:t>
      </w:r>
    </w:p>
    <w:p w:rsidR="00F156F7" w:rsidRPr="00847F74" w:rsidRDefault="00F156F7"/>
    <w:p w:rsidR="00F156F7" w:rsidRPr="00847F74" w:rsidRDefault="00F156F7">
      <w:pPr>
        <w:rPr>
          <w:snapToGrid w:val="0"/>
        </w:rPr>
      </w:pPr>
    </w:p>
    <w:p w:rsidR="00F156F7" w:rsidRPr="00847F74" w:rsidRDefault="00F156F7">
      <w:pPr>
        <w:rPr>
          <w:snapToGrid w:val="0"/>
        </w:rPr>
      </w:pPr>
    </w:p>
    <w:p w:rsidR="00F156F7" w:rsidRPr="00847F74" w:rsidRDefault="00F156F7">
      <w:pPr>
        <w:rPr>
          <w:snapToGrid w:val="0"/>
        </w:rPr>
      </w:pPr>
    </w:p>
    <w:p w:rsidR="00F156F7" w:rsidRPr="00847F74" w:rsidRDefault="00F156F7">
      <w:pPr>
        <w:rPr>
          <w:b/>
          <w:snapToGrid w:val="0"/>
        </w:rPr>
      </w:pPr>
      <w:r w:rsidRPr="00847F74">
        <w:rPr>
          <w:b/>
          <w:snapToGrid w:val="0"/>
        </w:rPr>
        <w:t xml:space="preserve">p.m. Eurogroup 9 October 2006 </w:t>
      </w:r>
    </w:p>
    <w:p w:rsidR="00F156F7" w:rsidRPr="00847F74" w:rsidRDefault="00F156F7"/>
    <w:p w:rsidR="00F156F7" w:rsidRPr="00847F74" w:rsidRDefault="00F156F7">
      <w:pPr>
        <w:rPr>
          <w:i/>
        </w:rPr>
      </w:pPr>
    </w:p>
    <w:p w:rsidR="00F156F7" w:rsidRPr="00847F74" w:rsidRDefault="00F156F7">
      <w:pPr>
        <w:rPr>
          <w:b/>
          <w:snapToGrid w:val="0"/>
        </w:rPr>
      </w:pPr>
    </w:p>
    <w:p w:rsidR="00F156F7" w:rsidRPr="00847F74" w:rsidRDefault="00F156F7">
      <w:r w:rsidRPr="00847F74">
        <w:br w:type="page"/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5"/>
      </w:tblGrid>
      <w:tr w:rsidR="00000000" w:rsidRPr="00847F74">
        <w:trPr>
          <w:cantSplit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br w:type="page"/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PROVISIONAL AGENDA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ECONOMIC AND FINANCIAL AFFAIRS COUNCIL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BRUSSELS – 7 NOVEMBER 2006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</w:p>
        </w:tc>
      </w:tr>
    </w:tbl>
    <w:p w:rsidR="00F156F7" w:rsidRPr="00847F74" w:rsidRDefault="00F156F7">
      <w:pPr>
        <w:outlineLvl w:val="0"/>
      </w:pPr>
    </w:p>
    <w:p w:rsidR="00F156F7" w:rsidRPr="00847F74" w:rsidRDefault="00F156F7">
      <w:pPr>
        <w:outlineLvl w:val="0"/>
      </w:pPr>
    </w:p>
    <w:p w:rsidR="00F156F7" w:rsidRPr="00847F74" w:rsidRDefault="00F156F7">
      <w:pPr>
        <w:outlineLvl w:val="0"/>
      </w:pPr>
    </w:p>
    <w:p w:rsidR="00F156F7" w:rsidRPr="00847F74" w:rsidRDefault="00F156F7">
      <w:r w:rsidRPr="00847F74">
        <w:rPr>
          <w:b/>
        </w:rPr>
        <w:t xml:space="preserve">Debriefing of the Eurogroup </w:t>
      </w:r>
      <w:r w:rsidRPr="00847F74">
        <w:rPr>
          <w:i/>
        </w:rPr>
        <w:t>(restricted session)</w:t>
      </w:r>
    </w:p>
    <w:p w:rsidR="00F156F7" w:rsidRPr="00847F74" w:rsidRDefault="00F156F7">
      <w:pPr>
        <w:spacing w:line="360" w:lineRule="auto"/>
        <w:outlineLvl w:val="0"/>
      </w:pPr>
    </w:p>
    <w:p w:rsidR="00F156F7" w:rsidRPr="00847F74" w:rsidRDefault="00F156F7">
      <w:r w:rsidRPr="00847F74">
        <w:t xml:space="preserve">(poss.) </w:t>
      </w:r>
      <w:r w:rsidRPr="00847F74">
        <w:rPr>
          <w:b/>
        </w:rPr>
        <w:t xml:space="preserve">Implementation of the Stability and Growth Pact </w:t>
      </w:r>
      <w:r w:rsidRPr="00847F74">
        <w:rPr>
          <w:i/>
        </w:rPr>
        <w:t>(restricted session)</w:t>
      </w:r>
    </w:p>
    <w:p w:rsidR="00F156F7" w:rsidRPr="00847F74" w:rsidRDefault="00F156F7">
      <w:pPr>
        <w:spacing w:line="360" w:lineRule="auto"/>
        <w:outlineLvl w:val="0"/>
      </w:pPr>
    </w:p>
    <w:p w:rsidR="00F156F7" w:rsidRPr="00847F74" w:rsidRDefault="00F156F7">
      <w:pPr>
        <w:outlineLvl w:val="0"/>
        <w:rPr>
          <w:b/>
        </w:rPr>
      </w:pPr>
      <w:r w:rsidRPr="00847F74">
        <w:rPr>
          <w:b/>
        </w:rPr>
        <w:t>Sustainability of public finances</w:t>
      </w:r>
      <w:r w:rsidRPr="00847F74">
        <w:t xml:space="preserve">: </w:t>
      </w:r>
      <w:r w:rsidRPr="00847F74">
        <w:rPr>
          <w:b/>
        </w:rPr>
        <w:t xml:space="preserve">Sustainability Report </w:t>
      </w:r>
    </w:p>
    <w:p w:rsidR="00F156F7" w:rsidRPr="00847F74" w:rsidRDefault="00F156F7">
      <w:pPr>
        <w:outlineLvl w:val="0"/>
      </w:pPr>
      <w:r w:rsidRPr="00847F74">
        <w:rPr>
          <w:b/>
        </w:rPr>
        <w:tab/>
        <w:t>=</w:t>
      </w:r>
      <w:r w:rsidRPr="00847F74">
        <w:rPr>
          <w:b/>
        </w:rPr>
        <w:tab/>
      </w:r>
      <w:r w:rsidRPr="00847F74">
        <w:rPr>
          <w:i/>
        </w:rPr>
        <w:t>Exchange of views</w:t>
      </w:r>
    </w:p>
    <w:p w:rsidR="00F156F7" w:rsidRPr="00847F74" w:rsidRDefault="00F156F7">
      <w:pPr>
        <w:spacing w:line="360" w:lineRule="auto"/>
        <w:outlineLvl w:val="0"/>
      </w:pPr>
    </w:p>
    <w:p w:rsidR="00F156F7" w:rsidRPr="00847F74" w:rsidRDefault="00F156F7">
      <w:pPr>
        <w:outlineLvl w:val="0"/>
      </w:pPr>
      <w:r w:rsidRPr="00847F74">
        <w:rPr>
          <w:b/>
        </w:rPr>
        <w:t>Statistics</w:t>
      </w:r>
      <w:r w:rsidRPr="00847F74">
        <w:t xml:space="preserve"> </w:t>
      </w:r>
    </w:p>
    <w:p w:rsidR="00F156F7" w:rsidRPr="00847F74" w:rsidRDefault="00F156F7">
      <w:pPr>
        <w:ind w:left="567"/>
      </w:pPr>
      <w:r w:rsidRPr="00847F74">
        <w:t xml:space="preserve">– </w:t>
      </w:r>
      <w:r w:rsidRPr="00847F74">
        <w:rPr>
          <w:b/>
        </w:rPr>
        <w:t>2006 Status Report</w:t>
      </w:r>
      <w:r w:rsidRPr="00847F74">
        <w:t xml:space="preserve"> </w:t>
      </w:r>
    </w:p>
    <w:p w:rsidR="00F156F7" w:rsidRPr="00847F74" w:rsidRDefault="00F156F7">
      <w:pPr>
        <w:ind w:left="567"/>
      </w:pPr>
      <w:r w:rsidRPr="00847F74">
        <w:t>=</w:t>
      </w:r>
      <w:r w:rsidRPr="00847F74">
        <w:tab/>
      </w:r>
      <w:r w:rsidRPr="00847F74">
        <w:rPr>
          <w:i/>
        </w:rPr>
        <w:t>Council conclusions</w:t>
      </w:r>
    </w:p>
    <w:p w:rsidR="00F156F7" w:rsidRPr="00847F74" w:rsidRDefault="00F156F7">
      <w:pPr>
        <w:ind w:left="567"/>
      </w:pPr>
      <w:r w:rsidRPr="00847F74">
        <w:t xml:space="preserve">– </w:t>
      </w:r>
      <w:r w:rsidRPr="00847F74">
        <w:rPr>
          <w:b/>
        </w:rPr>
        <w:t>Review of Priorities in Statistics</w:t>
      </w:r>
    </w:p>
    <w:p w:rsidR="00F156F7" w:rsidRPr="00847F74" w:rsidRDefault="00F156F7">
      <w:pPr>
        <w:ind w:left="567"/>
      </w:pPr>
      <w:r w:rsidRPr="00847F74">
        <w:t>=</w:t>
      </w:r>
      <w:r w:rsidRPr="00847F74">
        <w:tab/>
      </w:r>
      <w:r w:rsidRPr="00847F74">
        <w:rPr>
          <w:i/>
        </w:rPr>
        <w:t xml:space="preserve">Council conclusions </w:t>
      </w:r>
    </w:p>
    <w:p w:rsidR="00F156F7" w:rsidRPr="00847F74" w:rsidRDefault="00F156F7">
      <w:pPr>
        <w:spacing w:line="360" w:lineRule="auto"/>
        <w:outlineLvl w:val="0"/>
      </w:pPr>
    </w:p>
    <w:p w:rsidR="00F156F7" w:rsidRPr="00847F74" w:rsidRDefault="00F156F7">
      <w:pPr>
        <w:outlineLvl w:val="0"/>
      </w:pPr>
      <w:r w:rsidRPr="00847F74">
        <w:rPr>
          <w:b/>
        </w:rPr>
        <w:t>EIB</w:t>
      </w:r>
    </w:p>
    <w:p w:rsidR="00F156F7" w:rsidRPr="00847F74" w:rsidRDefault="00F156F7">
      <w:pPr>
        <w:ind w:left="567"/>
        <w:rPr>
          <w:b/>
        </w:rPr>
      </w:pPr>
      <w:r w:rsidRPr="00847F74">
        <w:t xml:space="preserve">– </w:t>
      </w:r>
      <w:r w:rsidRPr="00847F74">
        <w:rPr>
          <w:b/>
        </w:rPr>
        <w:t>EIB external lending mandates</w:t>
      </w:r>
    </w:p>
    <w:p w:rsidR="00F156F7" w:rsidRPr="00847F74" w:rsidRDefault="00F156F7">
      <w:pPr>
        <w:ind w:left="567"/>
      </w:pPr>
      <w:r w:rsidRPr="00847F74">
        <w:rPr>
          <w:b/>
        </w:rPr>
        <w:t>=</w:t>
      </w:r>
      <w:r w:rsidRPr="00847F74">
        <w:rPr>
          <w:b/>
        </w:rPr>
        <w:tab/>
      </w:r>
      <w:r w:rsidRPr="00847F74">
        <w:rPr>
          <w:i/>
        </w:rPr>
        <w:t>General approach on Council decision</w:t>
      </w:r>
      <w:r w:rsidRPr="00847F74">
        <w:t xml:space="preserve"> </w:t>
      </w:r>
    </w:p>
    <w:p w:rsidR="00F156F7" w:rsidRPr="00847F74" w:rsidRDefault="00F156F7">
      <w:pPr>
        <w:ind w:left="567"/>
      </w:pPr>
    </w:p>
    <w:p w:rsidR="00F156F7" w:rsidRPr="00847F74" w:rsidRDefault="00F156F7">
      <w:pPr>
        <w:ind w:left="567"/>
      </w:pPr>
      <w:r w:rsidRPr="00847F74">
        <w:t xml:space="preserve">– </w:t>
      </w:r>
      <w:r w:rsidRPr="00847F74">
        <w:rPr>
          <w:b/>
        </w:rPr>
        <w:t>Facility for Euro-Mediterranean Investment and Partnership</w:t>
      </w:r>
    </w:p>
    <w:p w:rsidR="00F156F7" w:rsidRPr="00847F74" w:rsidRDefault="00F156F7">
      <w:pPr>
        <w:ind w:left="567"/>
      </w:pPr>
      <w:r w:rsidRPr="00847F74">
        <w:t>=</w:t>
      </w:r>
      <w:r w:rsidRPr="00847F74">
        <w:tab/>
      </w:r>
      <w:r w:rsidRPr="00847F74">
        <w:rPr>
          <w:i/>
        </w:rPr>
        <w:t>Council conclusions</w:t>
      </w:r>
    </w:p>
    <w:p w:rsidR="00F156F7" w:rsidRPr="00847F74" w:rsidRDefault="00F156F7">
      <w:pPr>
        <w:spacing w:line="360" w:lineRule="auto"/>
        <w:outlineLvl w:val="0"/>
      </w:pPr>
    </w:p>
    <w:p w:rsidR="00F156F7" w:rsidRPr="00847F74" w:rsidRDefault="00F156F7">
      <w:pPr>
        <w:outlineLvl w:val="0"/>
      </w:pPr>
      <w:r w:rsidRPr="00847F74">
        <w:rPr>
          <w:b/>
        </w:rPr>
        <w:t>Taxation</w:t>
      </w:r>
    </w:p>
    <w:p w:rsidR="00F156F7" w:rsidRPr="00847F74" w:rsidRDefault="00F156F7">
      <w:pPr>
        <w:ind w:left="567"/>
      </w:pPr>
      <w:r w:rsidRPr="00847F74">
        <w:t xml:space="preserve">– </w:t>
      </w:r>
      <w:r w:rsidRPr="00847F74">
        <w:rPr>
          <w:b/>
        </w:rPr>
        <w:t>VAT Package</w:t>
      </w:r>
    </w:p>
    <w:p w:rsidR="00F156F7" w:rsidRPr="00847F74" w:rsidRDefault="00F156F7">
      <w:pPr>
        <w:ind w:left="567"/>
      </w:pPr>
      <w:r w:rsidRPr="00847F74">
        <w:t>=</w:t>
      </w:r>
      <w:r w:rsidRPr="00847F74">
        <w:tab/>
      </w:r>
      <w:r w:rsidRPr="00847F74">
        <w:rPr>
          <w:i/>
        </w:rPr>
        <w:t>Political agreement</w:t>
      </w:r>
    </w:p>
    <w:p w:rsidR="00F156F7" w:rsidRPr="00847F74" w:rsidRDefault="00F156F7">
      <w:pPr>
        <w:ind w:left="567"/>
      </w:pPr>
    </w:p>
    <w:p w:rsidR="00F156F7" w:rsidRPr="00847F74" w:rsidRDefault="00F156F7">
      <w:pPr>
        <w:ind w:left="567"/>
        <w:rPr>
          <w:b/>
        </w:rPr>
      </w:pPr>
      <w:r w:rsidRPr="00847F74">
        <w:rPr>
          <w:b/>
        </w:rPr>
        <w:t>– Combating Tax Fraud</w:t>
      </w:r>
    </w:p>
    <w:p w:rsidR="00F156F7" w:rsidRPr="00847F74" w:rsidRDefault="00F156F7">
      <w:pPr>
        <w:ind w:left="567"/>
        <w:rPr>
          <w:i/>
        </w:rPr>
      </w:pPr>
      <w:r w:rsidRPr="00847F74">
        <w:rPr>
          <w:i/>
        </w:rPr>
        <w:t xml:space="preserve">= </w:t>
      </w:r>
      <w:r w:rsidRPr="00847F74">
        <w:rPr>
          <w:i/>
        </w:rPr>
        <w:tab/>
        <w:t>Council conclusions</w:t>
      </w:r>
    </w:p>
    <w:p w:rsidR="00F156F7" w:rsidRPr="00847F74" w:rsidRDefault="00F156F7">
      <w:pPr>
        <w:ind w:left="567"/>
      </w:pPr>
    </w:p>
    <w:p w:rsidR="00F156F7" w:rsidRPr="00847F74" w:rsidRDefault="00F156F7">
      <w:pPr>
        <w:ind w:left="567"/>
      </w:pPr>
      <w:r w:rsidRPr="00847F74">
        <w:t xml:space="preserve">– </w:t>
      </w:r>
      <w:r w:rsidRPr="00847F74">
        <w:rPr>
          <w:b/>
        </w:rPr>
        <w:t xml:space="preserve">Excise Duties: Minimum rates on alcoholic beverages </w:t>
      </w:r>
    </w:p>
    <w:p w:rsidR="00F156F7" w:rsidRPr="00847F74" w:rsidRDefault="00F156F7">
      <w:pPr>
        <w:ind w:left="567"/>
      </w:pPr>
      <w:r w:rsidRPr="00847F74">
        <w:t>=</w:t>
      </w:r>
      <w:r w:rsidRPr="00847F74">
        <w:tab/>
      </w:r>
      <w:r w:rsidRPr="00847F74">
        <w:rPr>
          <w:i/>
        </w:rPr>
        <w:t>General approach</w:t>
      </w:r>
    </w:p>
    <w:p w:rsidR="00F156F7" w:rsidRPr="00847F74" w:rsidRDefault="00F156F7">
      <w:pPr>
        <w:spacing w:line="360" w:lineRule="auto"/>
        <w:outlineLvl w:val="0"/>
      </w:pPr>
    </w:p>
    <w:p w:rsidR="00F156F7" w:rsidRPr="00847F74" w:rsidRDefault="00F156F7">
      <w:pPr>
        <w:rPr>
          <w:b/>
        </w:rPr>
      </w:pPr>
      <w:r w:rsidRPr="00847F74">
        <w:t>(poss.)</w:t>
      </w:r>
      <w:r w:rsidRPr="00847F74">
        <w:rPr>
          <w:b/>
        </w:rPr>
        <w:t xml:space="preserve"> Fight against fraud </w:t>
      </w:r>
    </w:p>
    <w:p w:rsidR="00F156F7" w:rsidRPr="00847F74" w:rsidRDefault="00F156F7">
      <w:pPr>
        <w:ind w:left="567"/>
        <w:rPr>
          <w:b/>
        </w:rPr>
      </w:pPr>
      <w:r w:rsidRPr="00847F74">
        <w:rPr>
          <w:b/>
        </w:rPr>
        <w:t xml:space="preserve">– OLAF Regulations </w:t>
      </w:r>
    </w:p>
    <w:p w:rsidR="00F156F7" w:rsidRPr="00847F74" w:rsidRDefault="00F156F7">
      <w:pPr>
        <w:ind w:left="567"/>
        <w:rPr>
          <w:b/>
        </w:rPr>
      </w:pPr>
    </w:p>
    <w:p w:rsidR="00F156F7" w:rsidRPr="00847F74" w:rsidRDefault="00F156F7">
      <w:pPr>
        <w:ind w:left="567"/>
        <w:rPr>
          <w:b/>
          <w:lang w:eastAsia="fi-FI"/>
        </w:rPr>
      </w:pPr>
      <w:r w:rsidRPr="00847F74">
        <w:rPr>
          <w:b/>
        </w:rPr>
        <w:t xml:space="preserve">– </w:t>
      </w:r>
      <w:r w:rsidRPr="00847F74">
        <w:rPr>
          <w:b/>
          <w:lang w:eastAsia="fi-FI"/>
        </w:rPr>
        <w:t>The 2005 report from the Commission on the protection of the European Communities' fina</w:t>
      </w:r>
      <w:r w:rsidRPr="00847F74">
        <w:rPr>
          <w:b/>
          <w:lang w:eastAsia="fi-FI"/>
        </w:rPr>
        <w:t>n</w:t>
      </w:r>
      <w:r w:rsidRPr="00847F74">
        <w:rPr>
          <w:b/>
          <w:lang w:eastAsia="fi-FI"/>
        </w:rPr>
        <w:t>cial interests and the fight against fraud</w:t>
      </w:r>
    </w:p>
    <w:p w:rsidR="00F156F7" w:rsidRPr="00847F74" w:rsidRDefault="00F156F7">
      <w:pPr>
        <w:ind w:left="567"/>
        <w:rPr>
          <w:i/>
        </w:rPr>
      </w:pPr>
      <w:r w:rsidRPr="00847F74">
        <w:rPr>
          <w:b/>
        </w:rPr>
        <w:tab/>
      </w:r>
      <w:r w:rsidRPr="00847F74">
        <w:rPr>
          <w:i/>
        </w:rPr>
        <w:t>Council conclusions</w:t>
      </w:r>
    </w:p>
    <w:p w:rsidR="00F156F7" w:rsidRPr="00847F74" w:rsidRDefault="00F156F7"/>
    <w:p w:rsidR="00F156F7" w:rsidRPr="00847F74" w:rsidRDefault="00F156F7">
      <w:pPr>
        <w:outlineLvl w:val="0"/>
        <w:rPr>
          <w:b/>
        </w:rPr>
      </w:pPr>
      <w:r w:rsidRPr="00847F74">
        <w:rPr>
          <w:b/>
        </w:rPr>
        <w:br w:type="page"/>
        <w:t>Financial Management</w:t>
      </w:r>
    </w:p>
    <w:p w:rsidR="00F156F7" w:rsidRPr="00847F74" w:rsidRDefault="00F156F7">
      <w:pPr>
        <w:ind w:left="567"/>
        <w:outlineLvl w:val="0"/>
        <w:rPr>
          <w:b/>
        </w:rPr>
      </w:pPr>
      <w:r w:rsidRPr="00847F74">
        <w:rPr>
          <w:b/>
        </w:rPr>
        <w:t>– Presentation of the Court of Auditors annual report (2005</w:t>
      </w:r>
      <w:r w:rsidRPr="00847F74">
        <w:rPr>
          <w:b/>
          <w:sz w:val="20"/>
        </w:rPr>
        <w:t>)</w:t>
      </w:r>
    </w:p>
    <w:p w:rsidR="00F156F7" w:rsidRPr="00847F74" w:rsidRDefault="00F156F7">
      <w:pPr>
        <w:ind w:left="567"/>
        <w:outlineLvl w:val="0"/>
        <w:rPr>
          <w:b/>
        </w:rPr>
      </w:pPr>
    </w:p>
    <w:p w:rsidR="00F156F7" w:rsidRPr="00847F74" w:rsidRDefault="00F156F7">
      <w:pPr>
        <w:ind w:left="567"/>
        <w:outlineLvl w:val="0"/>
      </w:pPr>
      <w:r w:rsidRPr="00847F74">
        <w:rPr>
          <w:b/>
        </w:rPr>
        <w:t>– (poss.) Commission's Progress report on the integrated internal control framework and fina</w:t>
      </w:r>
      <w:r w:rsidRPr="00847F74">
        <w:rPr>
          <w:b/>
        </w:rPr>
        <w:t>n</w:t>
      </w:r>
      <w:r w:rsidRPr="00847F74">
        <w:rPr>
          <w:b/>
        </w:rPr>
        <w:t>cial management</w:t>
      </w:r>
    </w:p>
    <w:p w:rsidR="00F156F7" w:rsidRPr="00847F74" w:rsidRDefault="00F156F7"/>
    <w:p w:rsidR="00F156F7" w:rsidRPr="00847F74" w:rsidRDefault="00F156F7"/>
    <w:p w:rsidR="00F156F7" w:rsidRPr="00847F74" w:rsidRDefault="00F156F7"/>
    <w:p w:rsidR="00F156F7" w:rsidRPr="00847F74" w:rsidRDefault="00F156F7">
      <w:pPr>
        <w:rPr>
          <w:b/>
        </w:rPr>
      </w:pPr>
    </w:p>
    <w:p w:rsidR="00F156F7" w:rsidRPr="00847F74" w:rsidRDefault="00F156F7">
      <w:pPr>
        <w:ind w:left="851" w:hanging="851"/>
        <w:rPr>
          <w:b/>
        </w:rPr>
      </w:pPr>
      <w:r w:rsidRPr="00847F74">
        <w:rPr>
          <w:b/>
        </w:rPr>
        <w:t>p.m.</w:t>
      </w:r>
      <w:r w:rsidRPr="00847F74">
        <w:rPr>
          <w:b/>
        </w:rPr>
        <w:tab/>
        <w:t>Eurogroup 6 November 2006</w:t>
      </w:r>
    </w:p>
    <w:p w:rsidR="00F156F7" w:rsidRPr="00847F74" w:rsidRDefault="00F156F7">
      <w:pPr>
        <w:ind w:left="851" w:hanging="851"/>
        <w:rPr>
          <w:b/>
        </w:rPr>
      </w:pPr>
      <w:r w:rsidRPr="00847F74">
        <w:rPr>
          <w:b/>
        </w:rPr>
        <w:tab/>
        <w:t xml:space="preserve">Ministerial Meeting with the EFTA Countries </w:t>
      </w:r>
    </w:p>
    <w:p w:rsidR="00F156F7" w:rsidRPr="00847F74" w:rsidRDefault="00F156F7">
      <w:pPr>
        <w:ind w:left="851" w:hanging="851"/>
        <w:rPr>
          <w:b/>
        </w:rPr>
      </w:pPr>
      <w:r w:rsidRPr="00847F74">
        <w:rPr>
          <w:b/>
        </w:rPr>
        <w:tab/>
        <w:t>(poss.) Meeting of the Ecofin-troika with representatives of the European Parli</w:t>
      </w:r>
      <w:r w:rsidRPr="00847F74">
        <w:rPr>
          <w:b/>
        </w:rPr>
        <w:t>a</w:t>
      </w:r>
      <w:r w:rsidRPr="00847F74">
        <w:rPr>
          <w:b/>
        </w:rPr>
        <w:t>ment</w:t>
      </w:r>
    </w:p>
    <w:p w:rsidR="00F156F7" w:rsidRPr="00847F74" w:rsidRDefault="00F156F7">
      <w:pPr>
        <w:outlineLvl w:val="0"/>
        <w:rPr>
          <w:b/>
        </w:rPr>
      </w:pPr>
    </w:p>
    <w:p w:rsidR="00F156F7" w:rsidRPr="00847F74" w:rsidRDefault="00F156F7">
      <w:pPr>
        <w:rPr>
          <w:b/>
        </w:rPr>
      </w:pPr>
    </w:p>
    <w:p w:rsidR="00F156F7" w:rsidRPr="00847F74" w:rsidRDefault="00F156F7">
      <w:r w:rsidRPr="00847F74">
        <w:br w:type="page"/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5"/>
      </w:tblGrid>
      <w:tr w:rsidR="00000000" w:rsidRPr="00847F74">
        <w:trPr>
          <w:cantSplit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br w:type="page"/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PROVISIONAL AGENDA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ECONOMIC AND FINANCIAL AFFAIRS COUNCIL (BUDGET)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BRUSSELS – 21 NOVEMBER 2006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</w:p>
        </w:tc>
      </w:tr>
    </w:tbl>
    <w:p w:rsidR="00F156F7" w:rsidRPr="00847F74" w:rsidRDefault="00F156F7"/>
    <w:p w:rsidR="00F156F7" w:rsidRPr="00847F74" w:rsidRDefault="00F156F7"/>
    <w:p w:rsidR="00F156F7" w:rsidRPr="00847F74" w:rsidRDefault="00F156F7"/>
    <w:p w:rsidR="00F156F7" w:rsidRPr="00847F74" w:rsidRDefault="00F156F7">
      <w:pPr>
        <w:rPr>
          <w:b/>
        </w:rPr>
      </w:pPr>
      <w:r w:rsidRPr="00847F74">
        <w:rPr>
          <w:b/>
        </w:rPr>
        <w:t>Preparation of the conciliation meeting with the European Parliament</w:t>
      </w:r>
    </w:p>
    <w:p w:rsidR="00F156F7" w:rsidRPr="00847F74" w:rsidRDefault="00F156F7"/>
    <w:p w:rsidR="00F156F7" w:rsidRPr="00847F74" w:rsidRDefault="00F156F7"/>
    <w:p w:rsidR="00F156F7" w:rsidRPr="00847F74" w:rsidRDefault="00F156F7">
      <w:pPr>
        <w:rPr>
          <w:b/>
        </w:rPr>
      </w:pPr>
      <w:r w:rsidRPr="00847F74">
        <w:rPr>
          <w:b/>
        </w:rPr>
        <w:t>Letter of amendment to the preliminary draft budget for 2007</w:t>
      </w:r>
    </w:p>
    <w:p w:rsidR="00F156F7" w:rsidRPr="00847F74" w:rsidRDefault="00F156F7"/>
    <w:p w:rsidR="00F156F7" w:rsidRPr="00847F74" w:rsidRDefault="00F156F7"/>
    <w:p w:rsidR="00F156F7" w:rsidRPr="00847F74" w:rsidRDefault="00F156F7">
      <w:pPr>
        <w:rPr>
          <w:b/>
        </w:rPr>
      </w:pPr>
      <w:r w:rsidRPr="00847F74">
        <w:rPr>
          <w:b/>
        </w:rPr>
        <w:t>Draft EU Budget for 2007 as amended and accompanied by proposals for modifications by the European Parliament: second reading</w:t>
      </w:r>
    </w:p>
    <w:p w:rsidR="00F156F7" w:rsidRPr="00847F74" w:rsidRDefault="00F156F7"/>
    <w:p w:rsidR="00F156F7" w:rsidRPr="00847F74" w:rsidRDefault="00F156F7"/>
    <w:p w:rsidR="00F156F7" w:rsidRPr="00847F74" w:rsidRDefault="00F156F7">
      <w:r w:rsidRPr="00847F74">
        <w:rPr>
          <w:b/>
        </w:rPr>
        <w:t>AOB</w:t>
      </w:r>
    </w:p>
    <w:p w:rsidR="00F156F7" w:rsidRPr="00847F74" w:rsidRDefault="00F156F7"/>
    <w:p w:rsidR="00F156F7" w:rsidRPr="00847F74" w:rsidRDefault="00F156F7">
      <w:pPr>
        <w:rPr>
          <w:b/>
        </w:rPr>
      </w:pPr>
      <w:r w:rsidRPr="00847F74">
        <w:rPr>
          <w:b/>
        </w:rPr>
        <w:br w:type="page"/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5"/>
      </w:tblGrid>
      <w:tr w:rsidR="00000000" w:rsidRPr="00847F74">
        <w:trPr>
          <w:cantSplit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br w:type="page"/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PROVISIONAL AGENDA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ECONOMIC AND FINANCIAL AFFAIRS COUNCIL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  <w:r w:rsidRPr="00847F74">
              <w:rPr>
                <w:b/>
              </w:rPr>
              <w:t>BRUSSELS – 28 NOVEMBER 2006</w:t>
            </w:r>
          </w:p>
          <w:p w:rsidR="00F156F7" w:rsidRPr="00847F74" w:rsidRDefault="00F156F7">
            <w:pPr>
              <w:jc w:val="center"/>
              <w:rPr>
                <w:b/>
              </w:rPr>
            </w:pPr>
          </w:p>
        </w:tc>
      </w:tr>
    </w:tbl>
    <w:p w:rsidR="00F156F7" w:rsidRPr="00847F74" w:rsidRDefault="00F156F7"/>
    <w:p w:rsidR="00F156F7" w:rsidRPr="00847F74" w:rsidRDefault="00F156F7"/>
    <w:p w:rsidR="00F156F7" w:rsidRPr="00847F74" w:rsidRDefault="00F156F7"/>
    <w:p w:rsidR="00F156F7" w:rsidRPr="00847F74" w:rsidRDefault="00F156F7">
      <w:r w:rsidRPr="00847F74">
        <w:rPr>
          <w:b/>
        </w:rPr>
        <w:t xml:space="preserve">Debriefing of the Eurogroup </w:t>
      </w:r>
      <w:r w:rsidRPr="00847F74">
        <w:rPr>
          <w:i/>
        </w:rPr>
        <w:t>(restricted session)</w:t>
      </w:r>
    </w:p>
    <w:p w:rsidR="00F156F7" w:rsidRPr="00847F74" w:rsidRDefault="00F156F7"/>
    <w:p w:rsidR="00F156F7" w:rsidRPr="00847F74" w:rsidRDefault="00F156F7"/>
    <w:p w:rsidR="00F156F7" w:rsidRPr="00847F74" w:rsidRDefault="00F156F7">
      <w:r w:rsidRPr="00847F74">
        <w:t xml:space="preserve">(poss.) </w:t>
      </w:r>
      <w:r w:rsidRPr="00847F74">
        <w:rPr>
          <w:b/>
        </w:rPr>
        <w:t xml:space="preserve">Implementation of the Stability and Growth Pact </w:t>
      </w:r>
      <w:r w:rsidRPr="00847F74">
        <w:rPr>
          <w:i/>
        </w:rPr>
        <w:t>(restricted session)</w:t>
      </w:r>
    </w:p>
    <w:p w:rsidR="00F156F7" w:rsidRPr="00847F74" w:rsidRDefault="00F156F7">
      <w:pPr>
        <w:outlineLvl w:val="0"/>
      </w:pPr>
    </w:p>
    <w:p w:rsidR="00F156F7" w:rsidRPr="00847F74" w:rsidRDefault="00F156F7">
      <w:pPr>
        <w:outlineLvl w:val="0"/>
      </w:pPr>
    </w:p>
    <w:p w:rsidR="00F156F7" w:rsidRPr="00847F74" w:rsidRDefault="00F156F7">
      <w:pPr>
        <w:outlineLvl w:val="0"/>
        <w:rPr>
          <w:b/>
        </w:rPr>
      </w:pPr>
      <w:r w:rsidRPr="00847F74">
        <w:rPr>
          <w:b/>
        </w:rPr>
        <w:t>European Council preparations</w:t>
      </w:r>
    </w:p>
    <w:p w:rsidR="00F156F7" w:rsidRPr="00847F74" w:rsidRDefault="00F156F7">
      <w:pPr>
        <w:ind w:left="567"/>
      </w:pPr>
      <w:r w:rsidRPr="00847F74">
        <w:rPr>
          <w:b/>
        </w:rPr>
        <w:t>– The Lisbon Multilateral surveillance</w:t>
      </w:r>
    </w:p>
    <w:p w:rsidR="00F156F7" w:rsidRPr="00847F74" w:rsidRDefault="00F156F7">
      <w:pPr>
        <w:ind w:left="567"/>
      </w:pPr>
      <w:r w:rsidRPr="00847F74">
        <w:t>=</w:t>
      </w:r>
      <w:r w:rsidRPr="00847F74">
        <w:tab/>
      </w:r>
      <w:r w:rsidRPr="00847F74">
        <w:rPr>
          <w:i/>
        </w:rPr>
        <w:t>Council conclusions</w:t>
      </w:r>
    </w:p>
    <w:p w:rsidR="00F156F7" w:rsidRPr="00847F74" w:rsidRDefault="00F156F7">
      <w:pPr>
        <w:ind w:left="567"/>
      </w:pPr>
    </w:p>
    <w:p w:rsidR="00F156F7" w:rsidRPr="00847F74" w:rsidRDefault="00F156F7">
      <w:pPr>
        <w:ind w:left="567"/>
        <w:rPr>
          <w:b/>
          <w:i/>
        </w:rPr>
      </w:pPr>
      <w:r w:rsidRPr="00847F74">
        <w:rPr>
          <w:b/>
        </w:rPr>
        <w:t xml:space="preserve">– </w:t>
      </w:r>
      <w:r w:rsidRPr="00847F74">
        <w:t>(poss.)</w:t>
      </w:r>
      <w:r w:rsidRPr="00847F74">
        <w:rPr>
          <w:b/>
        </w:rPr>
        <w:t xml:space="preserve"> Structural Indicators</w:t>
      </w:r>
    </w:p>
    <w:p w:rsidR="00F156F7" w:rsidRPr="00847F74" w:rsidRDefault="00F156F7">
      <w:pPr>
        <w:ind w:left="567"/>
        <w:rPr>
          <w:i/>
        </w:rPr>
      </w:pPr>
      <w:r w:rsidRPr="00847F74">
        <w:rPr>
          <w:i/>
        </w:rPr>
        <w:t>=</w:t>
      </w:r>
      <w:r w:rsidRPr="00847F74">
        <w:rPr>
          <w:i/>
        </w:rPr>
        <w:tab/>
        <w:t>Council conclusions/Report</w:t>
      </w:r>
    </w:p>
    <w:p w:rsidR="00F156F7" w:rsidRPr="00847F74" w:rsidRDefault="00F156F7">
      <w:pPr>
        <w:ind w:left="567"/>
      </w:pPr>
    </w:p>
    <w:p w:rsidR="00F156F7" w:rsidRPr="00847F74" w:rsidRDefault="00F156F7">
      <w:pPr>
        <w:ind w:left="567"/>
        <w:rPr>
          <w:b/>
        </w:rPr>
      </w:pPr>
      <w:r w:rsidRPr="00847F74">
        <w:rPr>
          <w:b/>
        </w:rPr>
        <w:t>– Globalisation</w:t>
      </w:r>
    </w:p>
    <w:p w:rsidR="00F156F7" w:rsidRPr="00847F74" w:rsidRDefault="00F156F7">
      <w:pPr>
        <w:ind w:left="567"/>
      </w:pPr>
      <w:r w:rsidRPr="00847F74">
        <w:t>=</w:t>
      </w:r>
      <w:r w:rsidRPr="00847F74">
        <w:tab/>
      </w:r>
      <w:r w:rsidRPr="00847F74">
        <w:rPr>
          <w:i/>
        </w:rPr>
        <w:t>Council conclusions/Report</w:t>
      </w:r>
    </w:p>
    <w:p w:rsidR="00F156F7" w:rsidRPr="00847F74" w:rsidRDefault="00F156F7"/>
    <w:p w:rsidR="00F156F7" w:rsidRPr="00847F74" w:rsidRDefault="00F156F7"/>
    <w:p w:rsidR="00F156F7" w:rsidRPr="00847F74" w:rsidRDefault="00F156F7">
      <w:pPr>
        <w:outlineLvl w:val="0"/>
      </w:pPr>
      <w:r w:rsidRPr="00847F74">
        <w:rPr>
          <w:b/>
        </w:rPr>
        <w:t>Taxation</w:t>
      </w:r>
    </w:p>
    <w:p w:rsidR="00F156F7" w:rsidRPr="00847F74" w:rsidRDefault="00F156F7">
      <w:pPr>
        <w:ind w:left="567"/>
        <w:rPr>
          <w:b/>
        </w:rPr>
      </w:pPr>
      <w:r w:rsidRPr="00847F74">
        <w:t xml:space="preserve">– (poss.) </w:t>
      </w:r>
      <w:r w:rsidRPr="00847F74">
        <w:rPr>
          <w:b/>
        </w:rPr>
        <w:t>Energy taxation: Specific derogations</w:t>
      </w:r>
    </w:p>
    <w:p w:rsidR="00F156F7" w:rsidRPr="00847F74" w:rsidRDefault="00F156F7">
      <w:pPr>
        <w:ind w:left="567"/>
      </w:pPr>
      <w:r w:rsidRPr="00847F74">
        <w:rPr>
          <w:b/>
        </w:rPr>
        <w:t>=</w:t>
      </w:r>
      <w:r w:rsidRPr="00847F74">
        <w:rPr>
          <w:b/>
        </w:rPr>
        <w:tab/>
      </w:r>
      <w:r w:rsidRPr="00847F74">
        <w:rPr>
          <w:i/>
        </w:rPr>
        <w:t>Council decision</w:t>
      </w:r>
    </w:p>
    <w:p w:rsidR="00F156F7" w:rsidRPr="00847F74" w:rsidRDefault="00F156F7">
      <w:pPr>
        <w:ind w:left="567"/>
      </w:pPr>
    </w:p>
    <w:p w:rsidR="00F156F7" w:rsidRPr="00847F74" w:rsidRDefault="00F156F7">
      <w:pPr>
        <w:ind w:left="567"/>
      </w:pPr>
      <w:r w:rsidRPr="00847F74">
        <w:t xml:space="preserve">– (poss.) </w:t>
      </w:r>
      <w:r w:rsidRPr="00847F74">
        <w:rPr>
          <w:b/>
        </w:rPr>
        <w:t>Travellers' allowances directive</w:t>
      </w:r>
    </w:p>
    <w:p w:rsidR="00F156F7" w:rsidRPr="00847F74" w:rsidRDefault="00F156F7">
      <w:pPr>
        <w:ind w:left="567"/>
        <w:rPr>
          <w:i/>
        </w:rPr>
      </w:pPr>
      <w:r w:rsidRPr="00847F74">
        <w:rPr>
          <w:i/>
        </w:rPr>
        <w:t>=</w:t>
      </w:r>
      <w:r w:rsidRPr="00847F74">
        <w:rPr>
          <w:i/>
        </w:rPr>
        <w:tab/>
        <w:t>Political agreement</w:t>
      </w:r>
    </w:p>
    <w:p w:rsidR="00F156F7" w:rsidRPr="00847F74" w:rsidRDefault="00F156F7">
      <w:pPr>
        <w:ind w:left="567"/>
      </w:pPr>
    </w:p>
    <w:p w:rsidR="00F156F7" w:rsidRPr="00847F74" w:rsidRDefault="00F156F7">
      <w:pPr>
        <w:ind w:left="567"/>
        <w:rPr>
          <w:b/>
        </w:rPr>
      </w:pPr>
      <w:r w:rsidRPr="00847F74">
        <w:t xml:space="preserve">– </w:t>
      </w:r>
      <w:r w:rsidRPr="00847F74">
        <w:rPr>
          <w:b/>
        </w:rPr>
        <w:t>Code of Conduct on harmful tax competition: Report of the group</w:t>
      </w:r>
    </w:p>
    <w:p w:rsidR="00F156F7" w:rsidRPr="00847F74" w:rsidRDefault="00F156F7">
      <w:pPr>
        <w:ind w:left="567"/>
        <w:rPr>
          <w:b/>
        </w:rPr>
      </w:pPr>
    </w:p>
    <w:p w:rsidR="00F156F7" w:rsidRPr="00847F74" w:rsidRDefault="00F156F7">
      <w:pPr>
        <w:ind w:left="567"/>
        <w:rPr>
          <w:b/>
        </w:rPr>
      </w:pPr>
      <w:r w:rsidRPr="00847F74">
        <w:rPr>
          <w:b/>
        </w:rPr>
        <w:t>– Common Consolidated Corporate Tax Base</w:t>
      </w:r>
    </w:p>
    <w:p w:rsidR="00F156F7" w:rsidRPr="00847F74" w:rsidRDefault="00F156F7">
      <w:pPr>
        <w:ind w:left="567"/>
        <w:rPr>
          <w:i/>
        </w:rPr>
      </w:pPr>
      <w:r w:rsidRPr="00847F74">
        <w:rPr>
          <w:i/>
        </w:rPr>
        <w:t>=</w:t>
      </w:r>
      <w:r w:rsidRPr="00847F74">
        <w:rPr>
          <w:i/>
        </w:rPr>
        <w:tab/>
        <w:t>Progress report</w:t>
      </w:r>
    </w:p>
    <w:p w:rsidR="00F156F7" w:rsidRPr="00847F74" w:rsidRDefault="00F156F7">
      <w:pPr>
        <w:rPr>
          <w:strike/>
        </w:rPr>
      </w:pPr>
    </w:p>
    <w:p w:rsidR="00F156F7" w:rsidRPr="00847F74" w:rsidRDefault="00F156F7">
      <w:pPr>
        <w:rPr>
          <w:strike/>
        </w:rPr>
      </w:pPr>
    </w:p>
    <w:p w:rsidR="00F156F7" w:rsidRPr="00847F74" w:rsidRDefault="00F156F7">
      <w:pPr>
        <w:outlineLvl w:val="0"/>
        <w:rPr>
          <w:b/>
        </w:rPr>
      </w:pPr>
      <w:r w:rsidRPr="00847F74">
        <w:rPr>
          <w:b/>
        </w:rPr>
        <w:t>Financial Services</w:t>
      </w:r>
    </w:p>
    <w:p w:rsidR="00F156F7" w:rsidRPr="00847F74" w:rsidRDefault="00F156F7">
      <w:pPr>
        <w:outlineLvl w:val="0"/>
      </w:pPr>
    </w:p>
    <w:p w:rsidR="00F156F7" w:rsidRPr="00847F74" w:rsidRDefault="00F156F7">
      <w:pPr>
        <w:ind w:left="567"/>
        <w:rPr>
          <w:b/>
        </w:rPr>
      </w:pPr>
      <w:r w:rsidRPr="00847F74">
        <w:t xml:space="preserve">– </w:t>
      </w:r>
      <w:r w:rsidRPr="00847F74">
        <w:rPr>
          <w:b/>
        </w:rPr>
        <w:t xml:space="preserve">Directive on payment services in the internal market </w:t>
      </w:r>
    </w:p>
    <w:p w:rsidR="00F156F7" w:rsidRPr="00847F74" w:rsidRDefault="00F156F7">
      <w:pPr>
        <w:ind w:left="567"/>
        <w:rPr>
          <w:i/>
        </w:rPr>
      </w:pPr>
      <w:r w:rsidRPr="00847F74">
        <w:rPr>
          <w:b/>
        </w:rPr>
        <w:t>=</w:t>
      </w:r>
      <w:r w:rsidRPr="00847F74">
        <w:rPr>
          <w:b/>
        </w:rPr>
        <w:tab/>
      </w:r>
      <w:r w:rsidRPr="00847F74">
        <w:rPr>
          <w:i/>
        </w:rPr>
        <w:t>Political agreement/General approach</w:t>
      </w:r>
    </w:p>
    <w:p w:rsidR="00F156F7" w:rsidRPr="00847F74" w:rsidRDefault="00F156F7">
      <w:pPr>
        <w:ind w:left="567"/>
      </w:pPr>
    </w:p>
    <w:p w:rsidR="00F156F7" w:rsidRPr="00847F74" w:rsidRDefault="00F156F7">
      <w:pPr>
        <w:ind w:left="567"/>
      </w:pPr>
      <w:r w:rsidRPr="00847F74">
        <w:t xml:space="preserve">– (poss.) </w:t>
      </w:r>
      <w:r w:rsidRPr="00847F74">
        <w:rPr>
          <w:b/>
        </w:rPr>
        <w:t>Amendment of the Banking Directive</w:t>
      </w:r>
      <w:r w:rsidRPr="00847F74">
        <w:t xml:space="preserve">, </w:t>
      </w:r>
      <w:r w:rsidRPr="00847F74">
        <w:rPr>
          <w:b/>
        </w:rPr>
        <w:t xml:space="preserve">Markets in Financial Instruments Directive and the Insurance Directives: Cross Border Consolidation </w:t>
      </w:r>
    </w:p>
    <w:p w:rsidR="00F156F7" w:rsidRPr="00847F74" w:rsidRDefault="00F156F7">
      <w:pPr>
        <w:ind w:left="567"/>
      </w:pPr>
      <w:r w:rsidRPr="00847F74">
        <w:t>=</w:t>
      </w:r>
      <w:r w:rsidRPr="00847F74">
        <w:tab/>
      </w:r>
      <w:r w:rsidRPr="00847F74">
        <w:rPr>
          <w:i/>
        </w:rPr>
        <w:t>Political agreement/General approach</w:t>
      </w:r>
    </w:p>
    <w:p w:rsidR="00F156F7" w:rsidRPr="00847F74" w:rsidRDefault="00F156F7">
      <w:pPr>
        <w:ind w:left="567"/>
      </w:pPr>
    </w:p>
    <w:p w:rsidR="00F156F7" w:rsidRPr="00847F74" w:rsidRDefault="00F156F7">
      <w:pPr>
        <w:ind w:left="567"/>
      </w:pPr>
      <w:r w:rsidRPr="00847F74">
        <w:br w:type="page"/>
        <w:t xml:space="preserve">– (poss.) </w:t>
      </w:r>
      <w:r w:rsidRPr="00847F74">
        <w:rPr>
          <w:b/>
        </w:rPr>
        <w:t xml:space="preserve">Financial market integration and stability </w:t>
      </w:r>
    </w:p>
    <w:p w:rsidR="00F156F7" w:rsidRPr="00847F74" w:rsidRDefault="00F156F7">
      <w:pPr>
        <w:ind w:left="567"/>
        <w:rPr>
          <w:b/>
        </w:rPr>
      </w:pPr>
      <w:r w:rsidRPr="00847F74">
        <w:rPr>
          <w:b/>
        </w:rPr>
        <w:tab/>
        <w:t>– Crisis management</w:t>
      </w:r>
    </w:p>
    <w:p w:rsidR="00F156F7" w:rsidRPr="00847F74" w:rsidRDefault="00F156F7">
      <w:pPr>
        <w:ind w:left="567"/>
        <w:rPr>
          <w:b/>
        </w:rPr>
      </w:pPr>
      <w:r w:rsidRPr="00847F74">
        <w:rPr>
          <w:b/>
        </w:rPr>
        <w:tab/>
        <w:t xml:space="preserve">– Long-term supervisory issues </w:t>
      </w:r>
    </w:p>
    <w:p w:rsidR="00F156F7" w:rsidRPr="00847F74" w:rsidRDefault="00F156F7">
      <w:pPr>
        <w:ind w:left="567"/>
        <w:rPr>
          <w:b/>
        </w:rPr>
      </w:pPr>
      <w:r w:rsidRPr="00847F74">
        <w:rPr>
          <w:b/>
        </w:rPr>
        <w:tab/>
        <w:t>– Deposit Guarantee Schemes</w:t>
      </w:r>
    </w:p>
    <w:p w:rsidR="00F156F7" w:rsidRPr="00847F74" w:rsidRDefault="00F156F7">
      <w:pPr>
        <w:ind w:left="567"/>
      </w:pPr>
      <w:r w:rsidRPr="00847F74">
        <w:t>=</w:t>
      </w:r>
      <w:r w:rsidRPr="00847F74">
        <w:tab/>
      </w:r>
      <w:r w:rsidRPr="00847F74">
        <w:rPr>
          <w:i/>
        </w:rPr>
        <w:t>Council conclusions</w:t>
      </w:r>
    </w:p>
    <w:p w:rsidR="00F156F7" w:rsidRPr="00847F74" w:rsidRDefault="00F156F7"/>
    <w:p w:rsidR="00F156F7" w:rsidRPr="00847F74" w:rsidRDefault="00F156F7"/>
    <w:p w:rsidR="00F156F7" w:rsidRPr="00847F74" w:rsidRDefault="00F156F7"/>
    <w:p w:rsidR="00F156F7" w:rsidRPr="00847F74" w:rsidRDefault="00F156F7"/>
    <w:p w:rsidR="00F156F7" w:rsidRPr="00847F74" w:rsidRDefault="00F156F7">
      <w:pPr>
        <w:ind w:left="851" w:hanging="851"/>
        <w:rPr>
          <w:b/>
        </w:rPr>
      </w:pPr>
      <w:r w:rsidRPr="00847F74">
        <w:rPr>
          <w:b/>
        </w:rPr>
        <w:t>p.m.</w:t>
      </w:r>
      <w:r w:rsidRPr="00847F74">
        <w:rPr>
          <w:b/>
        </w:rPr>
        <w:tab/>
        <w:t>Eurogroup: 27 November</w:t>
      </w:r>
    </w:p>
    <w:p w:rsidR="00F156F7" w:rsidRPr="00847F74" w:rsidRDefault="00F156F7">
      <w:pPr>
        <w:ind w:left="851" w:hanging="851"/>
        <w:rPr>
          <w:b/>
        </w:rPr>
      </w:pPr>
      <w:r w:rsidRPr="00847F74">
        <w:rPr>
          <w:b/>
        </w:rPr>
        <w:tab/>
        <w:t xml:space="preserve">Macroeconomic dialogue </w:t>
      </w:r>
    </w:p>
    <w:p w:rsidR="00F156F7" w:rsidRPr="00847F74" w:rsidRDefault="00F156F7"/>
    <w:p w:rsidR="00F156F7" w:rsidRPr="00847F74" w:rsidRDefault="00F156F7">
      <w:r w:rsidRPr="00847F74">
        <w:br w:type="page"/>
      </w:r>
    </w:p>
    <w:sectPr w:rsidR="00F156F7" w:rsidRPr="00847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52C06D8"/>
    <w:lvl w:ilvl="0">
      <w:numFmt w:val="bullet"/>
      <w:lvlText w:val="*"/>
      <w:lvlJc w:val="left"/>
    </w:lvl>
  </w:abstractNum>
  <w:abstractNum w:abstractNumId="1" w15:restartNumberingAfterBreak="0">
    <w:nsid w:val="015B2ABC"/>
    <w:multiLevelType w:val="hybridMultilevel"/>
    <w:tmpl w:val="376461A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5F58"/>
    <w:multiLevelType w:val="hybridMultilevel"/>
    <w:tmpl w:val="E7EAB99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14BDF"/>
    <w:multiLevelType w:val="hybridMultilevel"/>
    <w:tmpl w:val="2C7E6202"/>
    <w:lvl w:ilvl="0" w:tplc="09A20792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F795F"/>
    <w:multiLevelType w:val="hybridMultilevel"/>
    <w:tmpl w:val="9CA28202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2F56D2"/>
    <w:multiLevelType w:val="multilevel"/>
    <w:tmpl w:val="736687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11F5B"/>
    <w:multiLevelType w:val="hybridMultilevel"/>
    <w:tmpl w:val="AF64FCA4"/>
    <w:lvl w:ilvl="0" w:tplc="E3385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F4273"/>
    <w:multiLevelType w:val="singleLevel"/>
    <w:tmpl w:val="E7180324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0D4B27AC"/>
    <w:multiLevelType w:val="hybridMultilevel"/>
    <w:tmpl w:val="504E391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E29F6"/>
    <w:multiLevelType w:val="hybridMultilevel"/>
    <w:tmpl w:val="1A2AFB5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C551B7"/>
    <w:multiLevelType w:val="hybridMultilevel"/>
    <w:tmpl w:val="C05656A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A317DE"/>
    <w:multiLevelType w:val="hybridMultilevel"/>
    <w:tmpl w:val="903E14C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D82DFB"/>
    <w:multiLevelType w:val="hybridMultilevel"/>
    <w:tmpl w:val="7A94ED4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2D3E84"/>
    <w:multiLevelType w:val="hybridMultilevel"/>
    <w:tmpl w:val="34DC3D4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900778"/>
    <w:multiLevelType w:val="hybridMultilevel"/>
    <w:tmpl w:val="47F60B8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A5E29"/>
    <w:multiLevelType w:val="hybridMultilevel"/>
    <w:tmpl w:val="09E4D0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B7D3F"/>
    <w:multiLevelType w:val="hybridMultilevel"/>
    <w:tmpl w:val="7582671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772727"/>
    <w:multiLevelType w:val="hybridMultilevel"/>
    <w:tmpl w:val="5C2452C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D144A"/>
    <w:multiLevelType w:val="hybridMultilevel"/>
    <w:tmpl w:val="9D4E5DF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5306FA"/>
    <w:multiLevelType w:val="hybridMultilevel"/>
    <w:tmpl w:val="4EE634D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A014866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CA659A"/>
    <w:multiLevelType w:val="singleLevel"/>
    <w:tmpl w:val="CD20B8A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1" w15:restartNumberingAfterBreak="0">
    <w:nsid w:val="22D918D1"/>
    <w:multiLevelType w:val="multilevel"/>
    <w:tmpl w:val="02CA4D8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3D2616B"/>
    <w:multiLevelType w:val="hybridMultilevel"/>
    <w:tmpl w:val="1A349EB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CE1B53"/>
    <w:multiLevelType w:val="hybridMultilevel"/>
    <w:tmpl w:val="FCF04D8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47763C"/>
    <w:multiLevelType w:val="hybridMultilevel"/>
    <w:tmpl w:val="66D6B5A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953CA3"/>
    <w:multiLevelType w:val="hybridMultilevel"/>
    <w:tmpl w:val="FD44C83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C515CEA"/>
    <w:multiLevelType w:val="hybridMultilevel"/>
    <w:tmpl w:val="7BD6330C"/>
    <w:lvl w:ilvl="0" w:tplc="3606FA6C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2D468B"/>
    <w:multiLevelType w:val="singleLevel"/>
    <w:tmpl w:val="8B9E9F3A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8" w15:restartNumberingAfterBreak="0">
    <w:nsid w:val="2D8E6B99"/>
    <w:multiLevelType w:val="hybridMultilevel"/>
    <w:tmpl w:val="384E766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DB37182"/>
    <w:multiLevelType w:val="singleLevel"/>
    <w:tmpl w:val="E2B84316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30" w15:restartNumberingAfterBreak="0">
    <w:nsid w:val="2FF1606A"/>
    <w:multiLevelType w:val="hybridMultilevel"/>
    <w:tmpl w:val="14ECE09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3910D3"/>
    <w:multiLevelType w:val="hybridMultilevel"/>
    <w:tmpl w:val="00D2D17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F13DEB"/>
    <w:multiLevelType w:val="hybridMultilevel"/>
    <w:tmpl w:val="55CCC35A"/>
    <w:lvl w:ilvl="0" w:tplc="040B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4F5925"/>
    <w:multiLevelType w:val="singleLevel"/>
    <w:tmpl w:val="EDBE3B54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34" w15:restartNumberingAfterBreak="0">
    <w:nsid w:val="3D617A7A"/>
    <w:multiLevelType w:val="hybridMultilevel"/>
    <w:tmpl w:val="314A542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DD66C9D"/>
    <w:multiLevelType w:val="singleLevel"/>
    <w:tmpl w:val="7F5C7DA0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36" w15:restartNumberingAfterBreak="0">
    <w:nsid w:val="3FC80B1B"/>
    <w:multiLevelType w:val="singleLevel"/>
    <w:tmpl w:val="ED3461E0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37" w15:restartNumberingAfterBreak="0">
    <w:nsid w:val="4321140B"/>
    <w:multiLevelType w:val="singleLevel"/>
    <w:tmpl w:val="7EA4BCDC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8" w15:restartNumberingAfterBreak="0">
    <w:nsid w:val="436E0A5D"/>
    <w:multiLevelType w:val="singleLevel"/>
    <w:tmpl w:val="F36039FC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9" w15:restartNumberingAfterBreak="0">
    <w:nsid w:val="46086EC0"/>
    <w:multiLevelType w:val="multilevel"/>
    <w:tmpl w:val="3E2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26524E"/>
    <w:multiLevelType w:val="hybridMultilevel"/>
    <w:tmpl w:val="AF0E17F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584249"/>
    <w:multiLevelType w:val="hybridMultilevel"/>
    <w:tmpl w:val="4D4603E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075466"/>
    <w:multiLevelType w:val="hybridMultilevel"/>
    <w:tmpl w:val="76EA597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D562E40"/>
    <w:multiLevelType w:val="hybridMultilevel"/>
    <w:tmpl w:val="2E8AEE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AD3C2A"/>
    <w:multiLevelType w:val="hybridMultilevel"/>
    <w:tmpl w:val="36142BE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DBC6BDB"/>
    <w:multiLevelType w:val="hybridMultilevel"/>
    <w:tmpl w:val="0E20387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E130090"/>
    <w:multiLevelType w:val="multilevel"/>
    <w:tmpl w:val="961AE20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00D3A6F"/>
    <w:multiLevelType w:val="hybridMultilevel"/>
    <w:tmpl w:val="3E2EC2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551FA3"/>
    <w:multiLevelType w:val="hybridMultilevel"/>
    <w:tmpl w:val="E6166D2E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4D9504E"/>
    <w:multiLevelType w:val="hybridMultilevel"/>
    <w:tmpl w:val="188E83E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59B6A8A"/>
    <w:multiLevelType w:val="hybridMultilevel"/>
    <w:tmpl w:val="8116AC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6B76294"/>
    <w:multiLevelType w:val="hybridMultilevel"/>
    <w:tmpl w:val="3AE27A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D277D6"/>
    <w:multiLevelType w:val="hybridMultilevel"/>
    <w:tmpl w:val="8BE6929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AD31CDF"/>
    <w:multiLevelType w:val="hybridMultilevel"/>
    <w:tmpl w:val="2C5E6132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F4142E"/>
    <w:multiLevelType w:val="hybridMultilevel"/>
    <w:tmpl w:val="513A8BD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DA83382"/>
    <w:multiLevelType w:val="hybridMultilevel"/>
    <w:tmpl w:val="CEB6BA1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DD0421F"/>
    <w:multiLevelType w:val="hybridMultilevel"/>
    <w:tmpl w:val="410E0FB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E5E12C2"/>
    <w:multiLevelType w:val="hybridMultilevel"/>
    <w:tmpl w:val="DECAAB2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942CCC"/>
    <w:multiLevelType w:val="hybridMultilevel"/>
    <w:tmpl w:val="A92C9FB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3E20F5B"/>
    <w:multiLevelType w:val="hybridMultilevel"/>
    <w:tmpl w:val="74DA573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4DA4946"/>
    <w:multiLevelType w:val="hybridMultilevel"/>
    <w:tmpl w:val="859AEBA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4F7DE8"/>
    <w:multiLevelType w:val="hybridMultilevel"/>
    <w:tmpl w:val="070EE00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7A459C2"/>
    <w:multiLevelType w:val="hybridMultilevel"/>
    <w:tmpl w:val="0C7672AC"/>
    <w:lvl w:ilvl="0" w:tplc="CF08E7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CE903CC"/>
    <w:multiLevelType w:val="hybridMultilevel"/>
    <w:tmpl w:val="D8D87D2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7B5AF0"/>
    <w:multiLevelType w:val="hybridMultilevel"/>
    <w:tmpl w:val="ED52E39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E4E71E4"/>
    <w:multiLevelType w:val="multilevel"/>
    <w:tmpl w:val="2C6473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69C0560"/>
    <w:multiLevelType w:val="hybridMultilevel"/>
    <w:tmpl w:val="A6F480F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9FA34D6"/>
    <w:multiLevelType w:val="singleLevel"/>
    <w:tmpl w:val="9BDCBFAC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68" w15:restartNumberingAfterBreak="0">
    <w:nsid w:val="79FE4AE2"/>
    <w:multiLevelType w:val="hybridMultilevel"/>
    <w:tmpl w:val="6C1245C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224524"/>
    <w:multiLevelType w:val="hybridMultilevel"/>
    <w:tmpl w:val="F3E890F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7399938">
    <w:abstractNumId w:val="37"/>
  </w:num>
  <w:num w:numId="2" w16cid:durableId="1704475512">
    <w:abstractNumId w:val="21"/>
  </w:num>
  <w:num w:numId="3" w16cid:durableId="575163618">
    <w:abstractNumId w:val="67"/>
  </w:num>
  <w:num w:numId="4" w16cid:durableId="1385060451">
    <w:abstractNumId w:val="20"/>
  </w:num>
  <w:num w:numId="5" w16cid:durableId="482550251">
    <w:abstractNumId w:val="38"/>
  </w:num>
  <w:num w:numId="6" w16cid:durableId="2102682503">
    <w:abstractNumId w:val="33"/>
  </w:num>
  <w:num w:numId="7" w16cid:durableId="148719866">
    <w:abstractNumId w:val="35"/>
  </w:num>
  <w:num w:numId="8" w16cid:durableId="1694845697">
    <w:abstractNumId w:val="29"/>
  </w:num>
  <w:num w:numId="9" w16cid:durableId="604118350">
    <w:abstractNumId w:val="36"/>
  </w:num>
  <w:num w:numId="10" w16cid:durableId="2114010373">
    <w:abstractNumId w:val="27"/>
  </w:num>
  <w:num w:numId="11" w16cid:durableId="996033284">
    <w:abstractNumId w:val="7"/>
  </w:num>
  <w:num w:numId="12" w16cid:durableId="582301500">
    <w:abstractNumId w:val="65"/>
    <w:lvlOverride w:ilvl="0">
      <w:startOverride w:val="1"/>
    </w:lvlOverride>
  </w:num>
  <w:num w:numId="13" w16cid:durableId="913202104">
    <w:abstractNumId w:val="58"/>
  </w:num>
  <w:num w:numId="14" w16cid:durableId="2073653833">
    <w:abstractNumId w:val="65"/>
    <w:lvlOverride w:ilvl="0"/>
  </w:num>
  <w:num w:numId="15" w16cid:durableId="498926735">
    <w:abstractNumId w:val="65"/>
    <w:lvlOverride w:ilvl="0">
      <w:startOverride w:val="9"/>
    </w:lvlOverride>
  </w:num>
  <w:num w:numId="16" w16cid:durableId="1325518">
    <w:abstractNumId w:val="43"/>
  </w:num>
  <w:num w:numId="17" w16cid:durableId="1260792881">
    <w:abstractNumId w:val="65"/>
    <w:lvlOverride w:ilvl="0">
      <w:startOverride w:val="8"/>
    </w:lvlOverride>
  </w:num>
  <w:num w:numId="18" w16cid:durableId="362367355">
    <w:abstractNumId w:val="65"/>
  </w:num>
  <w:num w:numId="19" w16cid:durableId="1152940698">
    <w:abstractNumId w:val="65"/>
    <w:lvlOverride w:ilvl="0">
      <w:startOverride w:val="10"/>
    </w:lvlOverride>
  </w:num>
  <w:num w:numId="20" w16cid:durableId="898975307">
    <w:abstractNumId w:val="3"/>
  </w:num>
  <w:num w:numId="21" w16cid:durableId="1915511113">
    <w:abstractNumId w:val="65"/>
    <w:lvlOverride w:ilvl="0">
      <w:startOverride w:val="14"/>
    </w:lvlOverride>
  </w:num>
  <w:num w:numId="22" w16cid:durableId="1724481097">
    <w:abstractNumId w:val="65"/>
    <w:lvlOverride w:ilvl="0">
      <w:startOverride w:val="17"/>
    </w:lvlOverride>
  </w:num>
  <w:num w:numId="23" w16cid:durableId="411506179">
    <w:abstractNumId w:val="65"/>
    <w:lvlOverride w:ilvl="0">
      <w:startOverride w:val="19"/>
    </w:lvlOverride>
  </w:num>
  <w:num w:numId="24" w16cid:durableId="558901988">
    <w:abstractNumId w:val="26"/>
  </w:num>
  <w:num w:numId="25" w16cid:durableId="687832597">
    <w:abstractNumId w:val="46"/>
  </w:num>
  <w:num w:numId="26" w16cid:durableId="1310328935">
    <w:abstractNumId w:val="5"/>
  </w:num>
  <w:num w:numId="27" w16cid:durableId="348794399">
    <w:abstractNumId w:val="48"/>
  </w:num>
  <w:num w:numId="28" w16cid:durableId="292558698">
    <w:abstractNumId w:val="31"/>
  </w:num>
  <w:num w:numId="29" w16cid:durableId="2049450069">
    <w:abstractNumId w:val="40"/>
  </w:num>
  <w:num w:numId="30" w16cid:durableId="237133178">
    <w:abstractNumId w:val="63"/>
  </w:num>
  <w:num w:numId="31" w16cid:durableId="1646813380">
    <w:abstractNumId w:val="16"/>
  </w:num>
  <w:num w:numId="32" w16cid:durableId="235820643">
    <w:abstractNumId w:val="19"/>
  </w:num>
  <w:num w:numId="33" w16cid:durableId="1681850719">
    <w:abstractNumId w:val="18"/>
  </w:num>
  <w:num w:numId="34" w16cid:durableId="1184591560">
    <w:abstractNumId w:val="69"/>
  </w:num>
  <w:num w:numId="35" w16cid:durableId="1151866769">
    <w:abstractNumId w:val="44"/>
  </w:num>
  <w:num w:numId="36" w16cid:durableId="982198916">
    <w:abstractNumId w:val="52"/>
  </w:num>
  <w:num w:numId="37" w16cid:durableId="1243955257">
    <w:abstractNumId w:val="28"/>
  </w:num>
  <w:num w:numId="38" w16cid:durableId="21169724">
    <w:abstractNumId w:val="50"/>
  </w:num>
  <w:num w:numId="39" w16cid:durableId="1723940188">
    <w:abstractNumId w:val="56"/>
  </w:num>
  <w:num w:numId="40" w16cid:durableId="737363504">
    <w:abstractNumId w:val="10"/>
  </w:num>
  <w:num w:numId="41" w16cid:durableId="1463232886">
    <w:abstractNumId w:val="34"/>
  </w:num>
  <w:num w:numId="42" w16cid:durableId="1343430420">
    <w:abstractNumId w:val="45"/>
  </w:num>
  <w:num w:numId="43" w16cid:durableId="1899700790">
    <w:abstractNumId w:val="68"/>
  </w:num>
  <w:num w:numId="44" w16cid:durableId="889074632">
    <w:abstractNumId w:val="66"/>
  </w:num>
  <w:num w:numId="45" w16cid:durableId="1267229891">
    <w:abstractNumId w:val="9"/>
  </w:num>
  <w:num w:numId="46" w16cid:durableId="1337882573">
    <w:abstractNumId w:val="12"/>
  </w:num>
  <w:num w:numId="47" w16cid:durableId="929890809">
    <w:abstractNumId w:val="11"/>
  </w:num>
  <w:num w:numId="48" w16cid:durableId="1674524352">
    <w:abstractNumId w:val="14"/>
  </w:num>
  <w:num w:numId="49" w16cid:durableId="841747366">
    <w:abstractNumId w:val="22"/>
  </w:num>
  <w:num w:numId="50" w16cid:durableId="195702018">
    <w:abstractNumId w:val="24"/>
  </w:num>
  <w:num w:numId="51" w16cid:durableId="1629780960">
    <w:abstractNumId w:val="64"/>
  </w:num>
  <w:num w:numId="52" w16cid:durableId="621041150">
    <w:abstractNumId w:val="25"/>
  </w:num>
  <w:num w:numId="53" w16cid:durableId="950553044">
    <w:abstractNumId w:val="49"/>
  </w:num>
  <w:num w:numId="54" w16cid:durableId="377512322">
    <w:abstractNumId w:val="42"/>
  </w:num>
  <w:num w:numId="55" w16cid:durableId="278875334">
    <w:abstractNumId w:val="41"/>
  </w:num>
  <w:num w:numId="56" w16cid:durableId="368536172">
    <w:abstractNumId w:val="61"/>
  </w:num>
  <w:num w:numId="57" w16cid:durableId="2006080396">
    <w:abstractNumId w:val="55"/>
  </w:num>
  <w:num w:numId="58" w16cid:durableId="1322926862">
    <w:abstractNumId w:val="4"/>
  </w:num>
  <w:num w:numId="59" w16cid:durableId="1058893561">
    <w:abstractNumId w:val="57"/>
  </w:num>
  <w:num w:numId="60" w16cid:durableId="564343763">
    <w:abstractNumId w:val="6"/>
  </w:num>
  <w:num w:numId="61" w16cid:durableId="1634602402">
    <w:abstractNumId w:val="17"/>
  </w:num>
  <w:num w:numId="62" w16cid:durableId="938223999">
    <w:abstractNumId w:val="32"/>
  </w:num>
  <w:num w:numId="63" w16cid:durableId="557016301">
    <w:abstractNumId w:val="60"/>
  </w:num>
  <w:num w:numId="64" w16cid:durableId="347147661">
    <w:abstractNumId w:val="54"/>
  </w:num>
  <w:num w:numId="65" w16cid:durableId="500512891">
    <w:abstractNumId w:val="13"/>
  </w:num>
  <w:num w:numId="66" w16cid:durableId="59526598">
    <w:abstractNumId w:val="62"/>
  </w:num>
  <w:num w:numId="67" w16cid:durableId="1584221709">
    <w:abstractNumId w:val="53"/>
  </w:num>
  <w:num w:numId="68" w16cid:durableId="387337246">
    <w:abstractNumId w:val="15"/>
  </w:num>
  <w:num w:numId="69" w16cid:durableId="14585696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0" w16cid:durableId="1374768823">
    <w:abstractNumId w:val="47"/>
  </w:num>
  <w:num w:numId="71" w16cid:durableId="310132938">
    <w:abstractNumId w:val="23"/>
  </w:num>
  <w:num w:numId="72" w16cid:durableId="1328748821">
    <w:abstractNumId w:val="59"/>
  </w:num>
  <w:num w:numId="73" w16cid:durableId="1768577719">
    <w:abstractNumId w:val="2"/>
  </w:num>
  <w:num w:numId="74" w16cid:durableId="1839073091">
    <w:abstractNumId w:val="8"/>
  </w:num>
  <w:num w:numId="75" w16cid:durableId="966353317">
    <w:abstractNumId w:val="1"/>
  </w:num>
  <w:num w:numId="76" w16cid:durableId="1152336487">
    <w:abstractNumId w:val="51"/>
  </w:num>
  <w:num w:numId="77" w16cid:durableId="732773150">
    <w:abstractNumId w:val="30"/>
  </w:num>
  <w:num w:numId="78" w16cid:durableId="72171317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defaultTabStop w:val="720"/>
  <w:autoHyphenation/>
  <w:hyphenationZone w:val="40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FB"/>
    <w:rsid w:val="00847F74"/>
    <w:rsid w:val="00EF60FB"/>
    <w:rsid w:val="00F1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2A47B-37F8-4C0E-B970-A2ADC381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sv-SE" w:eastAsia="en-US"/>
    </w:rPr>
  </w:style>
  <w:style w:type="paragraph" w:styleId="Rubrik1">
    <w:name w:val="heading 1"/>
    <w:basedOn w:val="Normal"/>
    <w:next w:val="Text1"/>
    <w:qFormat/>
    <w:pPr>
      <w:keepNext/>
      <w:spacing w:before="360" w:after="120"/>
      <w:jc w:val="both"/>
      <w:outlineLvl w:val="0"/>
    </w:pPr>
    <w:rPr>
      <w:b/>
      <w:smallCaps/>
      <w:szCs w:val="20"/>
      <w:lang w:eastAsia="fr-B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1">
    <w:name w:val="Text 1"/>
    <w:basedOn w:val="Normal"/>
    <w:pPr>
      <w:spacing w:before="120" w:after="120"/>
      <w:ind w:left="851"/>
      <w:jc w:val="both"/>
    </w:pPr>
    <w:rPr>
      <w:szCs w:val="20"/>
      <w:lang w:eastAsia="fr-BE"/>
    </w:rPr>
  </w:style>
  <w:style w:type="paragraph" w:styleId="Sidhuvud">
    <w:name w:val="header"/>
    <w:basedOn w:val="Normal"/>
    <w:semiHidden/>
    <w:pPr>
      <w:widowControl w:val="0"/>
      <w:tabs>
        <w:tab w:val="center" w:pos="4820"/>
        <w:tab w:val="right" w:pos="7371"/>
        <w:tab w:val="right" w:pos="9639"/>
      </w:tabs>
    </w:pPr>
    <w:rPr>
      <w:szCs w:val="20"/>
      <w:lang w:eastAsia="fr-BE"/>
    </w:rPr>
  </w:style>
  <w:style w:type="paragraph" w:customStyle="1" w:styleId="Par-number10">
    <w:name w:val="Par-number 1)"/>
    <w:basedOn w:val="Normal"/>
    <w:next w:val="Normal"/>
    <w:pPr>
      <w:widowControl w:val="0"/>
      <w:numPr>
        <w:numId w:val="9"/>
      </w:numPr>
    </w:pPr>
    <w:rPr>
      <w:szCs w:val="20"/>
      <w:lang w:eastAsia="fr-BE"/>
    </w:rPr>
  </w:style>
  <w:style w:type="paragraph" w:customStyle="1" w:styleId="Par-bullet">
    <w:name w:val="Par-bullet"/>
    <w:basedOn w:val="Normal"/>
    <w:next w:val="Normal"/>
    <w:pPr>
      <w:widowControl w:val="0"/>
      <w:numPr>
        <w:numId w:val="3"/>
      </w:numPr>
    </w:pPr>
    <w:rPr>
      <w:szCs w:val="20"/>
      <w:lang w:eastAsia="fr-BE"/>
    </w:rPr>
  </w:style>
  <w:style w:type="paragraph" w:customStyle="1" w:styleId="Par-equal">
    <w:name w:val="Par-equal"/>
    <w:basedOn w:val="Normal"/>
    <w:next w:val="Normal"/>
    <w:pPr>
      <w:widowControl w:val="0"/>
      <w:numPr>
        <w:numId w:val="5"/>
      </w:numPr>
    </w:pPr>
    <w:rPr>
      <w:szCs w:val="20"/>
      <w:lang w:eastAsia="fr-BE"/>
    </w:rPr>
  </w:style>
  <w:style w:type="paragraph" w:customStyle="1" w:styleId="Par-number1">
    <w:name w:val="Par-number (1)"/>
    <w:basedOn w:val="Normal"/>
    <w:next w:val="Normal"/>
    <w:pPr>
      <w:widowControl w:val="0"/>
      <w:numPr>
        <w:numId w:val="6"/>
      </w:numPr>
    </w:pPr>
    <w:rPr>
      <w:szCs w:val="20"/>
      <w:lang w:eastAsia="fr-BE"/>
    </w:rPr>
  </w:style>
  <w:style w:type="paragraph" w:customStyle="1" w:styleId="Par-numberI">
    <w:name w:val="Par-number I."/>
    <w:basedOn w:val="Normal"/>
    <w:next w:val="Normal"/>
    <w:pPr>
      <w:widowControl w:val="0"/>
      <w:numPr>
        <w:numId w:val="11"/>
      </w:numPr>
    </w:pPr>
    <w:rPr>
      <w:szCs w:val="20"/>
      <w:lang w:eastAsia="fr-BE"/>
    </w:rPr>
  </w:style>
  <w:style w:type="paragraph" w:customStyle="1" w:styleId="Par-dash">
    <w:name w:val="Par-dash"/>
    <w:basedOn w:val="Normal"/>
    <w:next w:val="Normal"/>
    <w:pPr>
      <w:widowControl w:val="0"/>
      <w:numPr>
        <w:numId w:val="4"/>
      </w:numPr>
    </w:pPr>
    <w:rPr>
      <w:szCs w:val="20"/>
      <w:lang w:eastAsia="fr-BE"/>
    </w:rPr>
  </w:style>
  <w:style w:type="paragraph" w:customStyle="1" w:styleId="Par-numberA">
    <w:name w:val="Par-number A."/>
    <w:basedOn w:val="Normal"/>
    <w:next w:val="Normal"/>
    <w:pPr>
      <w:widowControl w:val="0"/>
      <w:numPr>
        <w:numId w:val="10"/>
      </w:numPr>
    </w:pPr>
    <w:rPr>
      <w:szCs w:val="20"/>
      <w:lang w:eastAsia="fr-BE"/>
    </w:rPr>
  </w:style>
  <w:style w:type="paragraph" w:customStyle="1" w:styleId="Par-numberi0">
    <w:name w:val="Par-number (i)"/>
    <w:basedOn w:val="Normal"/>
    <w:next w:val="Normal"/>
    <w:pPr>
      <w:widowControl w:val="0"/>
      <w:numPr>
        <w:numId w:val="8"/>
      </w:numPr>
      <w:tabs>
        <w:tab w:val="clear" w:pos="720"/>
        <w:tab w:val="left" w:pos="567"/>
      </w:tabs>
    </w:pPr>
    <w:rPr>
      <w:szCs w:val="20"/>
      <w:lang w:eastAsia="fr-BE"/>
    </w:rPr>
  </w:style>
  <w:style w:type="paragraph" w:customStyle="1" w:styleId="Par-numbera0">
    <w:name w:val="Par-number (a)"/>
    <w:basedOn w:val="Normal"/>
    <w:next w:val="Normal"/>
    <w:pPr>
      <w:widowControl w:val="0"/>
      <w:numPr>
        <w:numId w:val="7"/>
      </w:numPr>
    </w:pPr>
    <w:rPr>
      <w:szCs w:val="20"/>
      <w:lang w:eastAsia="fr-BE"/>
    </w:rPr>
  </w:style>
  <w:style w:type="paragraph" w:customStyle="1" w:styleId="Considrant">
    <w:name w:val="Considérant"/>
    <w:basedOn w:val="Normal"/>
    <w:pPr>
      <w:numPr>
        <w:numId w:val="1"/>
      </w:numPr>
      <w:spacing w:before="120" w:after="120"/>
      <w:jc w:val="both"/>
    </w:pPr>
    <w:rPr>
      <w:szCs w:val="20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4032</Characters>
  <Application>Microsoft Office Word</Application>
  <DocSecurity>4</DocSecurity>
  <Lines>288</Lines>
  <Paragraphs>141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Regeringskansliet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subject>PROVISIONAL AGENDA</dc:subject>
  <dc:creator>Riksdagen</dc:creator>
  <cp:keywords>Riksdagen</cp:keywords>
  <dc:description/>
  <cp:lastModifiedBy>Lars Brink</cp:lastModifiedBy>
  <cp:revision>2</cp:revision>
  <dcterms:created xsi:type="dcterms:W3CDTF">2025-12-16T23:14:00Z</dcterms:created>
  <dcterms:modified xsi:type="dcterms:W3CDTF">2025-12-16T23:14:00Z</dcterms:modified>
</cp:coreProperties>
</file>