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A827D2">
              <w:rPr>
                <w:b/>
              </w:rPr>
              <w:t>18</w:t>
            </w:r>
            <w:r w:rsidRPr="007A327C">
              <w:rPr>
                <w:b/>
              </w:rPr>
              <w:t>/</w:t>
            </w:r>
            <w:r w:rsidR="00A827D2">
              <w:rPr>
                <w:b/>
              </w:rPr>
              <w:t>19</w:t>
            </w:r>
            <w:r w:rsidR="004F680C" w:rsidRPr="007A327C">
              <w:rPr>
                <w:b/>
              </w:rPr>
              <w:t>:</w:t>
            </w:r>
            <w:r w:rsidR="00696E4A">
              <w:rPr>
                <w:b/>
              </w:rPr>
              <w:t>22</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2544E0" w:rsidP="00AC3854">
            <w:r w:rsidRPr="007A327C">
              <w:t>20</w:t>
            </w:r>
            <w:r w:rsidR="00596129">
              <w:t>1</w:t>
            </w:r>
            <w:r w:rsidR="00913943">
              <w:t>9</w:t>
            </w:r>
            <w:r w:rsidR="00F5133A">
              <w:t>-</w:t>
            </w:r>
            <w:r w:rsidR="00696E4A">
              <w:t>02-14</w:t>
            </w:r>
          </w:p>
        </w:tc>
      </w:tr>
      <w:tr w:rsidR="004F680C" w:rsidRPr="007A327C">
        <w:tc>
          <w:tcPr>
            <w:tcW w:w="1985" w:type="dxa"/>
          </w:tcPr>
          <w:p w:rsidR="004F680C" w:rsidRPr="007A327C" w:rsidRDefault="004F680C">
            <w:r w:rsidRPr="007A327C">
              <w:t>TID</w:t>
            </w:r>
          </w:p>
        </w:tc>
        <w:tc>
          <w:tcPr>
            <w:tcW w:w="6463" w:type="dxa"/>
          </w:tcPr>
          <w:p w:rsidR="004F680C" w:rsidRPr="007A327C" w:rsidRDefault="00696E4A" w:rsidP="000C1DF3">
            <w:r>
              <w:t>10.3</w:t>
            </w:r>
            <w:r w:rsidR="00721DB8">
              <w:t>0</w:t>
            </w:r>
            <w:r w:rsidR="006F41EB">
              <w:t>–</w:t>
            </w:r>
            <w:r>
              <w:t>11.5</w:t>
            </w:r>
            <w:r w:rsidR="000C1DF3">
              <w:t>5</w:t>
            </w:r>
          </w:p>
        </w:tc>
      </w:tr>
      <w:tr w:rsidR="004F680C" w:rsidRPr="007A327C">
        <w:tc>
          <w:tcPr>
            <w:tcW w:w="1985" w:type="dxa"/>
          </w:tcPr>
          <w:p w:rsidR="004F680C" w:rsidRPr="007A327C" w:rsidRDefault="004F680C">
            <w:r w:rsidRPr="007A327C">
              <w:t>NÄRVARANDE</w:t>
            </w:r>
          </w:p>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F5133A" w:rsidRPr="007A327C" w:rsidRDefault="00F5133A" w:rsidP="00F5133A">
            <w:pPr>
              <w:tabs>
                <w:tab w:val="left" w:pos="1701"/>
              </w:tabs>
              <w:rPr>
                <w:b/>
                <w:snapToGrid w:val="0"/>
              </w:rPr>
            </w:pPr>
            <w:r>
              <w:rPr>
                <w:b/>
                <w:snapToGrid w:val="0"/>
              </w:rPr>
              <w:t>Justering av protokoll</w:t>
            </w:r>
          </w:p>
          <w:p w:rsidR="00F5133A" w:rsidRPr="007A327C" w:rsidRDefault="00F5133A" w:rsidP="00F5133A">
            <w:pPr>
              <w:tabs>
                <w:tab w:val="left" w:pos="1701"/>
              </w:tabs>
              <w:rPr>
                <w:snapToGrid w:val="0"/>
              </w:rPr>
            </w:pPr>
          </w:p>
          <w:p w:rsidR="004F680C" w:rsidRDefault="00F5133A" w:rsidP="00A827D2">
            <w:pPr>
              <w:tabs>
                <w:tab w:val="left" w:pos="1701"/>
              </w:tabs>
              <w:rPr>
                <w:snapToGrid w:val="0"/>
              </w:rPr>
            </w:pPr>
            <w:r>
              <w:rPr>
                <w:snapToGrid w:val="0"/>
              </w:rPr>
              <w:t xml:space="preserve">Utskottet justerade protokoll </w:t>
            </w:r>
            <w:r w:rsidRPr="007A327C">
              <w:rPr>
                <w:snapToGrid w:val="0"/>
              </w:rPr>
              <w:t>20</w:t>
            </w:r>
            <w:r w:rsidR="00A827D2">
              <w:rPr>
                <w:snapToGrid w:val="0"/>
              </w:rPr>
              <w:t>18</w:t>
            </w:r>
            <w:r w:rsidRPr="007A327C">
              <w:rPr>
                <w:snapToGrid w:val="0"/>
              </w:rPr>
              <w:t>/</w:t>
            </w:r>
            <w:r w:rsidR="00A827D2">
              <w:rPr>
                <w:snapToGrid w:val="0"/>
              </w:rPr>
              <w:t>19</w:t>
            </w:r>
            <w:r w:rsidRPr="007A327C">
              <w:rPr>
                <w:snapToGrid w:val="0"/>
              </w:rPr>
              <w:t>:</w:t>
            </w:r>
            <w:r w:rsidR="00696E4A">
              <w:rPr>
                <w:snapToGrid w:val="0"/>
              </w:rPr>
              <w:t>21</w:t>
            </w:r>
          </w:p>
          <w:p w:rsidR="00696E4A" w:rsidRPr="007A327C" w:rsidRDefault="00696E4A" w:rsidP="00A827D2">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4F680C" w:rsidRDefault="00696E4A" w:rsidP="00F5133A">
            <w:pPr>
              <w:tabs>
                <w:tab w:val="left" w:pos="1701"/>
              </w:tabs>
              <w:rPr>
                <w:rFonts w:eastAsiaTheme="minorHAnsi"/>
                <w:b/>
                <w:bCs/>
                <w:color w:val="000000"/>
                <w:szCs w:val="24"/>
                <w:lang w:eastAsia="en-US"/>
              </w:rPr>
            </w:pPr>
            <w:r w:rsidRPr="00BA620D">
              <w:rPr>
                <w:rFonts w:eastAsiaTheme="minorHAnsi"/>
                <w:b/>
                <w:bCs/>
                <w:color w:val="000000"/>
                <w:szCs w:val="24"/>
                <w:lang w:eastAsia="en-US"/>
              </w:rPr>
              <w:t>Riksrevisionens rapport om skyddet mot oegentligheter inom migrationsverksamheten vid utlandsmyndigheterna (SfU2y)</w:t>
            </w:r>
          </w:p>
          <w:p w:rsidR="00696E4A" w:rsidRDefault="00696E4A" w:rsidP="00F5133A">
            <w:pPr>
              <w:tabs>
                <w:tab w:val="left" w:pos="1701"/>
              </w:tabs>
              <w:rPr>
                <w:rFonts w:eastAsiaTheme="minorHAnsi"/>
                <w:b/>
                <w:bCs/>
                <w:color w:val="000000"/>
                <w:szCs w:val="24"/>
                <w:lang w:eastAsia="en-US"/>
              </w:rPr>
            </w:pPr>
          </w:p>
          <w:p w:rsidR="00696E4A" w:rsidRDefault="00696E4A" w:rsidP="00F5133A">
            <w:pPr>
              <w:tabs>
                <w:tab w:val="left" w:pos="1701"/>
              </w:tabs>
              <w:rPr>
                <w:rFonts w:eastAsiaTheme="minorHAnsi"/>
                <w:bCs/>
                <w:color w:val="000000"/>
                <w:szCs w:val="24"/>
                <w:lang w:eastAsia="en-US"/>
              </w:rPr>
            </w:pPr>
            <w:r>
              <w:rPr>
                <w:rFonts w:eastAsiaTheme="minorHAnsi"/>
                <w:bCs/>
                <w:color w:val="000000"/>
                <w:szCs w:val="24"/>
                <w:lang w:eastAsia="en-US"/>
              </w:rPr>
              <w:t>Utskottet justerade yttrande 2018/19:SfU2y</w:t>
            </w:r>
          </w:p>
          <w:p w:rsidR="00696E4A" w:rsidRDefault="00696E4A" w:rsidP="00F5133A">
            <w:pPr>
              <w:tabs>
                <w:tab w:val="left" w:pos="1701"/>
              </w:tabs>
              <w:rPr>
                <w:rFonts w:eastAsiaTheme="minorHAnsi"/>
                <w:bCs/>
                <w:color w:val="000000"/>
                <w:szCs w:val="24"/>
                <w:lang w:eastAsia="en-US"/>
              </w:rPr>
            </w:pPr>
          </w:p>
          <w:p w:rsidR="00696E4A" w:rsidRDefault="00696E4A" w:rsidP="00F5133A">
            <w:pPr>
              <w:tabs>
                <w:tab w:val="left" w:pos="1701"/>
              </w:tabs>
              <w:rPr>
                <w:rFonts w:eastAsiaTheme="minorHAnsi"/>
                <w:bCs/>
                <w:color w:val="000000"/>
                <w:szCs w:val="24"/>
                <w:lang w:eastAsia="en-US"/>
              </w:rPr>
            </w:pPr>
            <w:r>
              <w:rPr>
                <w:rFonts w:eastAsiaTheme="minorHAnsi"/>
                <w:bCs/>
                <w:color w:val="000000"/>
                <w:szCs w:val="24"/>
                <w:lang w:eastAsia="en-US"/>
              </w:rPr>
              <w:t>Denna paragraf förklarades omedelbart justerad.</w:t>
            </w:r>
          </w:p>
          <w:p w:rsidR="00696E4A" w:rsidRPr="00696E4A" w:rsidRDefault="00696E4A" w:rsidP="00F5133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696E4A" w:rsidP="00F5133A">
            <w:pPr>
              <w:tabs>
                <w:tab w:val="left" w:pos="1701"/>
              </w:tabs>
              <w:rPr>
                <w:snapToGrid w:val="0"/>
              </w:rPr>
            </w:pPr>
            <w:r w:rsidRPr="00BA620D">
              <w:rPr>
                <w:rFonts w:eastAsiaTheme="minorHAnsi"/>
                <w:b/>
                <w:bCs/>
                <w:color w:val="000000"/>
                <w:szCs w:val="24"/>
                <w:lang w:eastAsia="en-US"/>
              </w:rPr>
              <w:t>EU-frågor på det socialpolitiska området</w:t>
            </w:r>
            <w:r w:rsidRPr="00BA620D">
              <w:rPr>
                <w:rFonts w:eastAsiaTheme="minorHAnsi"/>
                <w:b/>
                <w:bCs/>
                <w:color w:val="000000"/>
                <w:szCs w:val="24"/>
                <w:lang w:eastAsia="en-US"/>
              </w:rPr>
              <w:br/>
            </w:r>
          </w:p>
          <w:p w:rsidR="00696E4A" w:rsidRDefault="00696E4A" w:rsidP="00F5133A">
            <w:pPr>
              <w:tabs>
                <w:tab w:val="left" w:pos="1701"/>
              </w:tabs>
              <w:rPr>
                <w:snapToGrid w:val="0"/>
              </w:rPr>
            </w:pPr>
            <w:r>
              <w:rPr>
                <w:snapToGrid w:val="0"/>
              </w:rPr>
              <w:t>Statssekreterare Roger Mörtvik, Socialdepartementet, återrapporterade från Epsco-rådets möte den 6–7 december 2018.</w:t>
            </w:r>
          </w:p>
          <w:p w:rsidR="00696E4A" w:rsidRPr="007A327C" w:rsidRDefault="00696E4A"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696E4A" w:rsidP="00F5133A">
            <w:pPr>
              <w:tabs>
                <w:tab w:val="left" w:pos="1701"/>
              </w:tabs>
              <w:rPr>
                <w:rFonts w:eastAsiaTheme="minorHAnsi"/>
                <w:b/>
                <w:bCs/>
                <w:color w:val="000000"/>
                <w:szCs w:val="24"/>
                <w:lang w:eastAsia="en-US"/>
              </w:rPr>
            </w:pPr>
            <w:r w:rsidRPr="00BA620D">
              <w:rPr>
                <w:rFonts w:eastAsiaTheme="minorHAnsi"/>
                <w:b/>
                <w:bCs/>
                <w:color w:val="000000"/>
                <w:szCs w:val="24"/>
                <w:lang w:eastAsia="en-US"/>
              </w:rPr>
              <w:t>Förslag till förordning om fastställande av beredskapsåtgärder när det gäller samordning av de sociala trygghetssystemen efter Storbritannien och Nordirlands utträde ur Europeiska unionen</w:t>
            </w:r>
          </w:p>
          <w:p w:rsidR="00696E4A" w:rsidRDefault="00696E4A" w:rsidP="00F5133A">
            <w:pPr>
              <w:tabs>
                <w:tab w:val="left" w:pos="1701"/>
              </w:tabs>
              <w:rPr>
                <w:rFonts w:eastAsiaTheme="minorHAnsi"/>
                <w:b/>
                <w:bCs/>
                <w:color w:val="000000"/>
                <w:szCs w:val="24"/>
                <w:lang w:eastAsia="en-US"/>
              </w:rPr>
            </w:pPr>
          </w:p>
          <w:p w:rsidR="00696E4A" w:rsidRPr="00696E4A" w:rsidRDefault="00696E4A" w:rsidP="00696E4A">
            <w:pPr>
              <w:tabs>
                <w:tab w:val="left" w:pos="1701"/>
              </w:tabs>
              <w:rPr>
                <w:bCs/>
                <w:snapToGrid w:val="0"/>
              </w:rPr>
            </w:pPr>
            <w:r w:rsidRPr="00696E4A">
              <w:rPr>
                <w:bCs/>
                <w:snapToGrid w:val="0"/>
              </w:rPr>
              <w:t>Utskottet överlade med statssekreterare Roger Mörtvik, Socialdepartementet.</w:t>
            </w:r>
          </w:p>
          <w:p w:rsidR="00696E4A" w:rsidRPr="00696E4A" w:rsidRDefault="00696E4A" w:rsidP="00696E4A">
            <w:pPr>
              <w:tabs>
                <w:tab w:val="left" w:pos="1701"/>
              </w:tabs>
              <w:rPr>
                <w:snapToGrid w:val="0"/>
              </w:rPr>
            </w:pPr>
          </w:p>
          <w:p w:rsidR="00696E4A" w:rsidRPr="00696E4A" w:rsidRDefault="00696E4A" w:rsidP="00696E4A">
            <w:pPr>
              <w:tabs>
                <w:tab w:val="left" w:pos="1701"/>
              </w:tabs>
              <w:rPr>
                <w:snapToGrid w:val="0"/>
              </w:rPr>
            </w:pPr>
            <w:r w:rsidRPr="00696E4A">
              <w:rPr>
                <w:snapToGrid w:val="0"/>
              </w:rPr>
              <w:t>Underlaget utgjordes av kommissionens förslag till förordning om fastställande av beredskapsåtgärder när det gäller samordning av de sociala trygghetssystemen efter Förenade konungariket Storbritannien och Nordirlands utträde ur Europeiska unionen, COM(2019) 53 samt en överläggningspromemoria upprättad av Socialdepartementet den 12 februari 2019.</w:t>
            </w:r>
          </w:p>
          <w:p w:rsidR="00696E4A" w:rsidRPr="00696E4A" w:rsidRDefault="00696E4A" w:rsidP="00696E4A">
            <w:pPr>
              <w:tabs>
                <w:tab w:val="left" w:pos="1701"/>
              </w:tabs>
              <w:rPr>
                <w:snapToGrid w:val="0"/>
              </w:rPr>
            </w:pPr>
          </w:p>
          <w:p w:rsidR="00696E4A" w:rsidRPr="00696E4A" w:rsidRDefault="00696E4A" w:rsidP="00696E4A">
            <w:pPr>
              <w:tabs>
                <w:tab w:val="left" w:pos="1701"/>
              </w:tabs>
              <w:rPr>
                <w:snapToGrid w:val="0"/>
              </w:rPr>
            </w:pPr>
            <w:r w:rsidRPr="00696E4A">
              <w:rPr>
                <w:snapToGrid w:val="0"/>
              </w:rPr>
              <w:t>Regeringens ståndpunkt angiven i överläggningspromemorian var:</w:t>
            </w:r>
          </w:p>
          <w:p w:rsidR="00696E4A" w:rsidRPr="00696E4A" w:rsidRDefault="00696E4A" w:rsidP="00696E4A">
            <w:pPr>
              <w:tabs>
                <w:tab w:val="left" w:pos="1701"/>
              </w:tabs>
              <w:rPr>
                <w:snapToGrid w:val="0"/>
              </w:rPr>
            </w:pPr>
            <w:r w:rsidRPr="00696E4A">
              <w:rPr>
                <w:snapToGrid w:val="0"/>
              </w:rPr>
              <w:t xml:space="preserve">Regeringen välkomnar att kommissionen har lagt ett förslag som syftar till att värna tillämpningen av de unionsrättsliga principerna för samordning av de sociala trygghetssystemen för det fall att Förenade kungariket lämnar unionen utan ett utträdesavtal. </w:t>
            </w:r>
          </w:p>
          <w:p w:rsidR="00696E4A" w:rsidRPr="00696E4A" w:rsidRDefault="00696E4A" w:rsidP="00696E4A">
            <w:pPr>
              <w:tabs>
                <w:tab w:val="left" w:pos="1701"/>
              </w:tabs>
              <w:rPr>
                <w:snapToGrid w:val="0"/>
              </w:rPr>
            </w:pPr>
            <w:r w:rsidRPr="00696E4A">
              <w:rPr>
                <w:snapToGrid w:val="0"/>
              </w:rPr>
              <w:t xml:space="preserve">Regeringen bedömer att förslaget från kommissionen säkerställer en enhetlig tillämpning i medlemsstaterna gällande de grundläggande principerna i EU- regelverket om samordning av de sociala trygghetssystemen vilka fortsatt bör gälla. </w:t>
            </w:r>
          </w:p>
          <w:p w:rsidR="00696E4A" w:rsidRPr="00696E4A" w:rsidRDefault="00696E4A" w:rsidP="00696E4A">
            <w:pPr>
              <w:tabs>
                <w:tab w:val="left" w:pos="1701"/>
              </w:tabs>
              <w:rPr>
                <w:snapToGrid w:val="0"/>
              </w:rPr>
            </w:pPr>
            <w:r w:rsidRPr="00696E4A">
              <w:rPr>
                <w:snapToGrid w:val="0"/>
              </w:rPr>
              <w:t xml:space="preserve">Regeringen kan ge sitt stöd till den inriktning kommissionens förslag </w:t>
            </w:r>
            <w:r w:rsidRPr="00696E4A">
              <w:rPr>
                <w:snapToGrid w:val="0"/>
              </w:rPr>
              <w:lastRenderedPageBreak/>
              <w:t>har. Det är positivt att förslaget inte innehåller bestämmelser som främst ligger inom den nationella kompetensen att omhänderta, såsom export av förmåner. Regeringen kan stödja ändringar som innebär att administrationen av ärenden som berör både Förenade kungariket och medlemsstaterna förenklas och förtydligas.</w:t>
            </w:r>
          </w:p>
          <w:p w:rsidR="00696E4A" w:rsidRPr="00696E4A" w:rsidRDefault="00696E4A" w:rsidP="00696E4A">
            <w:pPr>
              <w:tabs>
                <w:tab w:val="left" w:pos="1701"/>
              </w:tabs>
              <w:rPr>
                <w:snapToGrid w:val="0"/>
              </w:rPr>
            </w:pPr>
          </w:p>
          <w:p w:rsidR="00696E4A" w:rsidRPr="00696E4A" w:rsidRDefault="00696E4A" w:rsidP="00696E4A">
            <w:pPr>
              <w:tabs>
                <w:tab w:val="left" w:pos="1701"/>
              </w:tabs>
              <w:rPr>
                <w:snapToGrid w:val="0"/>
              </w:rPr>
            </w:pPr>
            <w:r w:rsidRPr="00696E4A">
              <w:rPr>
                <w:snapToGrid w:val="0"/>
              </w:rPr>
              <w:t>Ordföranden konstaterade att det fanns en majoritet för regeringens redovisade ståndpunkt.</w:t>
            </w:r>
          </w:p>
          <w:p w:rsidR="00696E4A" w:rsidRPr="00696E4A" w:rsidRDefault="00696E4A" w:rsidP="00696E4A">
            <w:pPr>
              <w:tabs>
                <w:tab w:val="left" w:pos="1701"/>
              </w:tabs>
              <w:rPr>
                <w:snapToGrid w:val="0"/>
              </w:rPr>
            </w:pPr>
          </w:p>
          <w:p w:rsidR="00696E4A" w:rsidRDefault="00696E4A" w:rsidP="00F5133A">
            <w:pPr>
              <w:tabs>
                <w:tab w:val="left" w:pos="1701"/>
              </w:tabs>
              <w:rPr>
                <w:snapToGrid w:val="0"/>
              </w:rPr>
            </w:pPr>
            <w:r>
              <w:rPr>
                <w:snapToGrid w:val="0"/>
              </w:rPr>
              <w:t>SD-ledamöterna anmälde följande avvikande mening:</w:t>
            </w:r>
          </w:p>
          <w:p w:rsidR="00696E4A" w:rsidRDefault="00696E4A" w:rsidP="00F5133A">
            <w:pPr>
              <w:tabs>
                <w:tab w:val="left" w:pos="1701"/>
              </w:tabs>
              <w:rPr>
                <w:snapToGrid w:val="0"/>
              </w:rPr>
            </w:pPr>
          </w:p>
          <w:p w:rsidR="00696E4A" w:rsidRPr="00696E4A" w:rsidRDefault="00696E4A" w:rsidP="00696E4A">
            <w:pPr>
              <w:tabs>
                <w:tab w:val="left" w:pos="1701"/>
              </w:tabs>
              <w:rPr>
                <w:snapToGrid w:val="0"/>
              </w:rPr>
            </w:pPr>
            <w:r w:rsidRPr="00696E4A">
              <w:rPr>
                <w:snapToGrid w:val="0"/>
              </w:rPr>
              <w:t>Goda förbindelser mellan Sverige och Förenade kungariket måste värnas i fråga om socialförsäkringsrättigheter. Möjligheten att i framtiden ingå bilaterala avtal mellan parterna måste därför finnas. Kommissionens förslag till förordning är alltför otydlig när det gäller frågan om möjligheten till framtida bilaterala avtal med Förenade kungariket. I förslaget anges också att kommissionen i ett senare skede kan komma att överväga att utvidga sitt förslag till förordning till att även omfatta tredjelandsmedborgare som är lagligen bosatta i en medlemsstat. Vad denna kommentar innebär är allt för otydligt för att vi ska kunna stå bakom förslaget till förordning. Regeringens ståndpunkt borde varit tydligare i dessa avseenden.</w:t>
            </w:r>
          </w:p>
          <w:p w:rsidR="00696E4A" w:rsidRDefault="00696E4A" w:rsidP="00F5133A">
            <w:pPr>
              <w:tabs>
                <w:tab w:val="left" w:pos="1701"/>
              </w:tabs>
              <w:rPr>
                <w:snapToGrid w:val="0"/>
              </w:rPr>
            </w:pPr>
          </w:p>
          <w:p w:rsidR="00696E4A" w:rsidRDefault="00696E4A" w:rsidP="00F5133A">
            <w:pPr>
              <w:tabs>
                <w:tab w:val="left" w:pos="1701"/>
              </w:tabs>
              <w:rPr>
                <w:snapToGrid w:val="0"/>
              </w:rPr>
            </w:pPr>
            <w:r>
              <w:rPr>
                <w:snapToGrid w:val="0"/>
              </w:rPr>
              <w:t>Denna paragraf förklarades omedelbart justerad.</w:t>
            </w:r>
          </w:p>
          <w:p w:rsidR="00696E4A" w:rsidRPr="007A327C" w:rsidRDefault="00696E4A" w:rsidP="00F5133A">
            <w:pPr>
              <w:tabs>
                <w:tab w:val="left" w:pos="1701"/>
              </w:tabs>
              <w:rPr>
                <w:snapToGrid w:val="0"/>
              </w:rPr>
            </w:pPr>
          </w:p>
        </w:tc>
      </w:tr>
      <w:tr w:rsidR="00696E4A" w:rsidRPr="007A327C" w:rsidTr="00F5133A">
        <w:tc>
          <w:tcPr>
            <w:tcW w:w="567" w:type="dxa"/>
          </w:tcPr>
          <w:p w:rsidR="00696E4A" w:rsidRDefault="00696E4A">
            <w:pPr>
              <w:tabs>
                <w:tab w:val="left" w:pos="1701"/>
              </w:tabs>
              <w:rPr>
                <w:b/>
                <w:snapToGrid w:val="0"/>
              </w:rPr>
            </w:pPr>
            <w:r>
              <w:rPr>
                <w:b/>
                <w:snapToGrid w:val="0"/>
              </w:rPr>
              <w:lastRenderedPageBreak/>
              <w:t>§ 5</w:t>
            </w:r>
          </w:p>
        </w:tc>
        <w:tc>
          <w:tcPr>
            <w:tcW w:w="6946" w:type="dxa"/>
            <w:gridSpan w:val="2"/>
          </w:tcPr>
          <w:p w:rsidR="00696E4A" w:rsidRDefault="00696E4A" w:rsidP="00F5133A">
            <w:pPr>
              <w:tabs>
                <w:tab w:val="left" w:pos="1701"/>
              </w:tabs>
              <w:rPr>
                <w:rFonts w:eastAsiaTheme="minorHAnsi"/>
                <w:b/>
                <w:bCs/>
                <w:color w:val="000000"/>
                <w:szCs w:val="24"/>
                <w:lang w:eastAsia="en-US"/>
              </w:rPr>
            </w:pPr>
            <w:r w:rsidRPr="00BA620D">
              <w:rPr>
                <w:rFonts w:eastAsiaTheme="minorHAnsi"/>
                <w:b/>
                <w:bCs/>
                <w:color w:val="000000"/>
                <w:szCs w:val="24"/>
                <w:lang w:eastAsia="en-US"/>
              </w:rPr>
              <w:t>EU-frågor på det socialpolitiska området</w:t>
            </w:r>
          </w:p>
          <w:p w:rsidR="00696E4A" w:rsidRDefault="00696E4A" w:rsidP="00F5133A">
            <w:pPr>
              <w:tabs>
                <w:tab w:val="left" w:pos="1701"/>
              </w:tabs>
              <w:rPr>
                <w:rFonts w:eastAsiaTheme="minorHAnsi"/>
                <w:b/>
                <w:bCs/>
                <w:color w:val="000000"/>
                <w:szCs w:val="24"/>
                <w:lang w:eastAsia="en-US"/>
              </w:rPr>
            </w:pPr>
          </w:p>
          <w:p w:rsidR="00696E4A" w:rsidRDefault="00696E4A" w:rsidP="00F5133A">
            <w:pPr>
              <w:tabs>
                <w:tab w:val="left" w:pos="1701"/>
              </w:tabs>
              <w:rPr>
                <w:rFonts w:eastAsiaTheme="minorHAnsi"/>
                <w:bCs/>
                <w:color w:val="000000"/>
                <w:szCs w:val="24"/>
                <w:lang w:eastAsia="en-US"/>
              </w:rPr>
            </w:pPr>
            <w:r>
              <w:rPr>
                <w:rFonts w:eastAsiaTheme="minorHAnsi"/>
                <w:bCs/>
                <w:color w:val="000000"/>
                <w:szCs w:val="24"/>
                <w:lang w:eastAsia="en-US"/>
              </w:rPr>
              <w:t>Statssekreterare Roger Mörtvik, m.fl. Socialdepartementet, informerade om:</w:t>
            </w:r>
          </w:p>
          <w:p w:rsidR="00696E4A" w:rsidRDefault="00696E4A" w:rsidP="00F5133A">
            <w:pPr>
              <w:tabs>
                <w:tab w:val="left" w:pos="1701"/>
              </w:tabs>
            </w:pPr>
            <w:r>
              <w:rPr>
                <w:rFonts w:eastAsiaTheme="minorHAnsi"/>
                <w:bCs/>
                <w:color w:val="000000"/>
                <w:szCs w:val="24"/>
                <w:lang w:eastAsia="en-US"/>
              </w:rPr>
              <w:t xml:space="preserve">- </w:t>
            </w:r>
            <w:r w:rsidRPr="00BA620D">
              <w:t>Det rumänska ordförandeskapets prioriteringar</w:t>
            </w:r>
            <w:r>
              <w:br/>
              <w:t xml:space="preserve">- </w:t>
            </w:r>
            <w:r w:rsidR="00065866">
              <w:t>Hur förhandlingarna fortskrider vad gäller k</w:t>
            </w:r>
            <w:r>
              <w:t>ommissionens förslag till direktiv om balans mellan arbete och privatliv för föräldrar och anhörigvårdare, COM(2017) 253</w:t>
            </w:r>
          </w:p>
          <w:p w:rsidR="00696E4A" w:rsidRDefault="00696E4A" w:rsidP="00F5133A">
            <w:pPr>
              <w:tabs>
                <w:tab w:val="left" w:pos="1701"/>
              </w:tabs>
            </w:pPr>
            <w:r>
              <w:t xml:space="preserve">- </w:t>
            </w:r>
            <w:r w:rsidR="00065866">
              <w:t>Förslag till r</w:t>
            </w:r>
            <w:r>
              <w:t>ådsslutsatser om den årliga tillväxtöversikten och den gemensamma sysselsättningsrapporten</w:t>
            </w:r>
          </w:p>
          <w:p w:rsidR="00696E4A" w:rsidRDefault="00696E4A" w:rsidP="00F5133A">
            <w:pPr>
              <w:tabs>
                <w:tab w:val="left" w:pos="1701"/>
              </w:tabs>
            </w:pPr>
            <w:r>
              <w:t>- Läget i förhandlingarna om förslaget till revidering av förordning 883/2004 om samordning av de sociala trygghetssystemen, COM(2016) 815 samt Högsta förvaltningsdomstolens dom 6869-17 om föräldrapenning</w:t>
            </w:r>
          </w:p>
          <w:p w:rsidR="00696E4A" w:rsidRPr="00696E4A" w:rsidRDefault="00696E4A" w:rsidP="00065866">
            <w:pPr>
              <w:tabs>
                <w:tab w:val="left" w:pos="1701"/>
              </w:tabs>
              <w:rPr>
                <w:rFonts w:eastAsiaTheme="minorHAnsi"/>
                <w:bCs/>
                <w:i/>
                <w:color w:val="000000"/>
                <w:szCs w:val="24"/>
                <w:lang w:eastAsia="en-US"/>
              </w:rPr>
            </w:pPr>
          </w:p>
        </w:tc>
      </w:tr>
      <w:tr w:rsidR="00696E4A" w:rsidRPr="007A327C" w:rsidTr="00F5133A">
        <w:tc>
          <w:tcPr>
            <w:tcW w:w="567" w:type="dxa"/>
          </w:tcPr>
          <w:p w:rsidR="00696E4A" w:rsidRDefault="00696E4A">
            <w:pPr>
              <w:tabs>
                <w:tab w:val="left" w:pos="1701"/>
              </w:tabs>
              <w:rPr>
                <w:b/>
                <w:snapToGrid w:val="0"/>
              </w:rPr>
            </w:pPr>
            <w:r>
              <w:rPr>
                <w:b/>
                <w:snapToGrid w:val="0"/>
              </w:rPr>
              <w:t>§ 6</w:t>
            </w:r>
          </w:p>
        </w:tc>
        <w:tc>
          <w:tcPr>
            <w:tcW w:w="6946" w:type="dxa"/>
            <w:gridSpan w:val="2"/>
          </w:tcPr>
          <w:p w:rsidR="00696E4A" w:rsidRDefault="00696E4A" w:rsidP="00F5133A">
            <w:pPr>
              <w:tabs>
                <w:tab w:val="left" w:pos="1701"/>
              </w:tabs>
              <w:rPr>
                <w:rFonts w:eastAsiaTheme="minorHAnsi"/>
                <w:b/>
                <w:bCs/>
                <w:color w:val="000000"/>
                <w:szCs w:val="24"/>
                <w:lang w:eastAsia="en-US"/>
              </w:rPr>
            </w:pPr>
            <w:r w:rsidRPr="00BA620D">
              <w:rPr>
                <w:rFonts w:eastAsiaTheme="minorHAnsi"/>
                <w:b/>
                <w:bCs/>
                <w:color w:val="000000"/>
                <w:szCs w:val="24"/>
                <w:lang w:eastAsia="en-US"/>
              </w:rPr>
              <w:t>Förslag till förordning om fastställande av beredskapsåtgärder när det gäller samordning av de sociala trygghetssystemen efter Storbritannien och Nordirlands utträde ur Europeiska unionen</w:t>
            </w:r>
          </w:p>
          <w:p w:rsidR="00696E4A" w:rsidRDefault="00696E4A" w:rsidP="00F5133A">
            <w:pPr>
              <w:tabs>
                <w:tab w:val="left" w:pos="1701"/>
              </w:tabs>
              <w:rPr>
                <w:rFonts w:eastAsiaTheme="minorHAnsi"/>
                <w:b/>
                <w:bCs/>
                <w:color w:val="000000"/>
                <w:szCs w:val="24"/>
                <w:lang w:eastAsia="en-US"/>
              </w:rPr>
            </w:pPr>
          </w:p>
          <w:p w:rsidR="00696E4A" w:rsidRDefault="00696E4A" w:rsidP="00F5133A">
            <w:pPr>
              <w:tabs>
                <w:tab w:val="left" w:pos="1701"/>
              </w:tabs>
              <w:rPr>
                <w:rFonts w:eastAsiaTheme="minorHAnsi"/>
                <w:bCs/>
                <w:color w:val="000000"/>
                <w:szCs w:val="24"/>
                <w:lang w:eastAsia="en-US"/>
              </w:rPr>
            </w:pPr>
            <w:r>
              <w:rPr>
                <w:rFonts w:eastAsiaTheme="minorHAnsi"/>
                <w:bCs/>
                <w:color w:val="000000"/>
                <w:szCs w:val="24"/>
                <w:lang w:eastAsia="en-US"/>
              </w:rPr>
              <w:t xml:space="preserve">Utskottet behandlade fråga om subsidiaritetsprövning av </w:t>
            </w:r>
            <w:r>
              <w:rPr>
                <w:rFonts w:eastAsiaTheme="minorHAnsi"/>
                <w:bCs/>
                <w:color w:val="000000"/>
                <w:szCs w:val="24"/>
                <w:lang w:eastAsia="en-US"/>
              </w:rPr>
              <w:br/>
              <w:t>COM(2019) 53.</w:t>
            </w:r>
          </w:p>
          <w:p w:rsidR="00696E4A" w:rsidRDefault="00696E4A" w:rsidP="00F5133A">
            <w:pPr>
              <w:tabs>
                <w:tab w:val="left" w:pos="1701"/>
              </w:tabs>
              <w:rPr>
                <w:rFonts w:eastAsiaTheme="minorHAnsi"/>
                <w:bCs/>
                <w:color w:val="000000"/>
                <w:szCs w:val="24"/>
                <w:lang w:eastAsia="en-US"/>
              </w:rPr>
            </w:pPr>
          </w:p>
          <w:p w:rsidR="00696E4A" w:rsidRDefault="00696E4A" w:rsidP="00F5133A">
            <w:pPr>
              <w:tabs>
                <w:tab w:val="left" w:pos="1701"/>
              </w:tabs>
              <w:rPr>
                <w:rFonts w:eastAsiaTheme="minorHAnsi"/>
                <w:bCs/>
                <w:color w:val="000000"/>
                <w:szCs w:val="24"/>
                <w:lang w:eastAsia="en-US"/>
              </w:rPr>
            </w:pPr>
            <w:r>
              <w:rPr>
                <w:rFonts w:eastAsiaTheme="minorHAnsi"/>
                <w:bCs/>
                <w:color w:val="000000"/>
                <w:szCs w:val="24"/>
                <w:lang w:eastAsia="en-US"/>
              </w:rPr>
              <w:t>Utskottet beslutade att förslaget inte strider mot subsidiaritetsprincipen.</w:t>
            </w:r>
          </w:p>
          <w:p w:rsidR="00696E4A" w:rsidRDefault="00696E4A" w:rsidP="00F5133A">
            <w:pPr>
              <w:tabs>
                <w:tab w:val="left" w:pos="1701"/>
              </w:tabs>
              <w:rPr>
                <w:rFonts w:eastAsiaTheme="minorHAnsi"/>
                <w:bCs/>
                <w:color w:val="000000"/>
                <w:szCs w:val="24"/>
                <w:lang w:eastAsia="en-US"/>
              </w:rPr>
            </w:pPr>
          </w:p>
          <w:p w:rsidR="00696E4A" w:rsidRDefault="00696E4A" w:rsidP="00F5133A">
            <w:pPr>
              <w:tabs>
                <w:tab w:val="left" w:pos="1701"/>
              </w:tabs>
              <w:rPr>
                <w:rFonts w:eastAsiaTheme="minorHAnsi"/>
                <w:bCs/>
                <w:color w:val="000000"/>
                <w:szCs w:val="24"/>
                <w:lang w:eastAsia="en-US"/>
              </w:rPr>
            </w:pPr>
            <w:r>
              <w:rPr>
                <w:rFonts w:eastAsiaTheme="minorHAnsi"/>
                <w:bCs/>
                <w:color w:val="000000"/>
                <w:szCs w:val="24"/>
                <w:lang w:eastAsia="en-US"/>
              </w:rPr>
              <w:t>SD-ledamöterna reserverade sig och ansåg att förslaget strider mot subsidiaritetsprincipen.</w:t>
            </w:r>
          </w:p>
          <w:p w:rsidR="00696E4A" w:rsidRDefault="00696E4A" w:rsidP="00F5133A">
            <w:pPr>
              <w:tabs>
                <w:tab w:val="left" w:pos="1701"/>
              </w:tabs>
              <w:rPr>
                <w:rFonts w:eastAsiaTheme="minorHAnsi"/>
                <w:bCs/>
                <w:color w:val="000000"/>
                <w:szCs w:val="24"/>
                <w:lang w:eastAsia="en-US"/>
              </w:rPr>
            </w:pPr>
          </w:p>
          <w:p w:rsidR="003E1C54" w:rsidRPr="00696E4A" w:rsidRDefault="003E1C54" w:rsidP="00F5133A">
            <w:pPr>
              <w:tabs>
                <w:tab w:val="left" w:pos="1701"/>
              </w:tabs>
              <w:rPr>
                <w:rFonts w:eastAsiaTheme="minorHAnsi"/>
                <w:bCs/>
                <w:color w:val="000000"/>
                <w:szCs w:val="24"/>
                <w:lang w:eastAsia="en-US"/>
              </w:rPr>
            </w:pPr>
            <w:bookmarkStart w:id="0" w:name="_GoBack"/>
            <w:bookmarkEnd w:id="0"/>
          </w:p>
        </w:tc>
      </w:tr>
      <w:tr w:rsidR="00696E4A" w:rsidRPr="007A327C" w:rsidTr="00F5133A">
        <w:tc>
          <w:tcPr>
            <w:tcW w:w="567" w:type="dxa"/>
          </w:tcPr>
          <w:p w:rsidR="00696E4A" w:rsidRDefault="00696E4A">
            <w:pPr>
              <w:tabs>
                <w:tab w:val="left" w:pos="1701"/>
              </w:tabs>
              <w:rPr>
                <w:b/>
                <w:snapToGrid w:val="0"/>
              </w:rPr>
            </w:pPr>
            <w:r>
              <w:rPr>
                <w:b/>
                <w:snapToGrid w:val="0"/>
              </w:rPr>
              <w:lastRenderedPageBreak/>
              <w:t>§ 7</w:t>
            </w:r>
          </w:p>
        </w:tc>
        <w:tc>
          <w:tcPr>
            <w:tcW w:w="6946" w:type="dxa"/>
            <w:gridSpan w:val="2"/>
          </w:tcPr>
          <w:p w:rsidR="00696E4A" w:rsidRPr="00696E4A" w:rsidRDefault="00696E4A" w:rsidP="00696E4A">
            <w:pPr>
              <w:tabs>
                <w:tab w:val="left" w:pos="1701"/>
              </w:tabs>
              <w:rPr>
                <w:rFonts w:eastAsiaTheme="minorHAnsi"/>
                <w:b/>
                <w:bCs/>
                <w:color w:val="000000"/>
                <w:szCs w:val="24"/>
                <w:lang w:eastAsia="en-US"/>
              </w:rPr>
            </w:pPr>
            <w:r w:rsidRPr="00696E4A">
              <w:rPr>
                <w:rFonts w:eastAsiaTheme="minorHAnsi"/>
                <w:b/>
                <w:bCs/>
                <w:color w:val="000000"/>
                <w:szCs w:val="24"/>
                <w:lang w:eastAsia="en-US"/>
              </w:rPr>
              <w:t>Fråga om utskottsinitiativ</w:t>
            </w:r>
            <w:r>
              <w:rPr>
                <w:rFonts w:eastAsiaTheme="minorHAnsi"/>
                <w:b/>
                <w:bCs/>
                <w:color w:val="000000"/>
                <w:szCs w:val="24"/>
                <w:lang w:eastAsia="en-US"/>
              </w:rPr>
              <w:t xml:space="preserve"> om konvertiter</w:t>
            </w:r>
          </w:p>
          <w:p w:rsidR="00696E4A" w:rsidRDefault="00696E4A" w:rsidP="00F5133A">
            <w:pPr>
              <w:tabs>
                <w:tab w:val="left" w:pos="1701"/>
              </w:tabs>
              <w:rPr>
                <w:rFonts w:eastAsiaTheme="minorHAnsi"/>
                <w:b/>
                <w:bCs/>
                <w:color w:val="000000"/>
                <w:szCs w:val="24"/>
                <w:lang w:eastAsia="en-US"/>
              </w:rPr>
            </w:pPr>
          </w:p>
          <w:p w:rsidR="00696E4A" w:rsidRDefault="00696E4A" w:rsidP="00696E4A">
            <w:pPr>
              <w:tabs>
                <w:tab w:val="left" w:pos="1701"/>
              </w:tabs>
              <w:rPr>
                <w:rFonts w:eastAsiaTheme="minorHAnsi"/>
                <w:bCs/>
                <w:color w:val="000000"/>
                <w:szCs w:val="24"/>
                <w:lang w:eastAsia="en-US"/>
              </w:rPr>
            </w:pPr>
            <w:r>
              <w:rPr>
                <w:rFonts w:eastAsiaTheme="minorHAnsi"/>
                <w:bCs/>
                <w:color w:val="000000"/>
                <w:szCs w:val="24"/>
                <w:lang w:eastAsia="en-US"/>
              </w:rPr>
              <w:t>Utskottet fortsatte behandlingen av ett förslag om ett utskottsinitiativ om konvertiter.</w:t>
            </w:r>
          </w:p>
          <w:p w:rsidR="00696E4A" w:rsidRDefault="00696E4A" w:rsidP="00696E4A">
            <w:pPr>
              <w:tabs>
                <w:tab w:val="left" w:pos="1701"/>
              </w:tabs>
              <w:rPr>
                <w:rFonts w:eastAsiaTheme="minorHAnsi"/>
                <w:bCs/>
                <w:color w:val="000000"/>
                <w:szCs w:val="24"/>
                <w:lang w:eastAsia="en-US"/>
              </w:rPr>
            </w:pPr>
          </w:p>
          <w:p w:rsidR="00696E4A" w:rsidRPr="00065866" w:rsidRDefault="00696E4A" w:rsidP="00696E4A">
            <w:pPr>
              <w:tabs>
                <w:tab w:val="left" w:pos="1701"/>
              </w:tabs>
              <w:rPr>
                <w:rFonts w:eastAsiaTheme="minorHAnsi"/>
                <w:bCs/>
                <w:color w:val="000000"/>
                <w:szCs w:val="24"/>
                <w:lang w:eastAsia="en-US"/>
              </w:rPr>
            </w:pPr>
            <w:r w:rsidRPr="00065866">
              <w:rPr>
                <w:rFonts w:eastAsiaTheme="minorHAnsi"/>
                <w:bCs/>
                <w:color w:val="000000"/>
                <w:szCs w:val="24"/>
                <w:lang w:eastAsia="en-US"/>
              </w:rPr>
              <w:t>Utskottet beslutade att bjuda in Migrationsverket i syfte att inhämta information</w:t>
            </w:r>
            <w:r w:rsidR="00065866" w:rsidRPr="00065866">
              <w:rPr>
                <w:rFonts w:eastAsiaTheme="minorHAnsi"/>
                <w:bCs/>
                <w:color w:val="000000"/>
                <w:szCs w:val="24"/>
                <w:lang w:eastAsia="en-US"/>
              </w:rPr>
              <w:t>.</w:t>
            </w:r>
          </w:p>
          <w:p w:rsidR="00696E4A" w:rsidRDefault="00696E4A" w:rsidP="00696E4A">
            <w:pPr>
              <w:tabs>
                <w:tab w:val="left" w:pos="1701"/>
              </w:tabs>
              <w:rPr>
                <w:rFonts w:eastAsiaTheme="minorHAnsi"/>
                <w:bCs/>
                <w:color w:val="000000"/>
                <w:szCs w:val="24"/>
                <w:lang w:eastAsia="en-US"/>
              </w:rPr>
            </w:pPr>
          </w:p>
          <w:p w:rsidR="00696E4A" w:rsidRDefault="00696E4A" w:rsidP="00696E4A">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696E4A" w:rsidRPr="00696E4A" w:rsidRDefault="00696E4A" w:rsidP="00696E4A">
            <w:pPr>
              <w:tabs>
                <w:tab w:val="left" w:pos="1701"/>
              </w:tabs>
              <w:rPr>
                <w:rFonts w:eastAsiaTheme="minorHAnsi"/>
                <w:bCs/>
                <w:color w:val="000000"/>
                <w:szCs w:val="24"/>
                <w:lang w:eastAsia="en-US"/>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065866">
              <w:rPr>
                <w:b/>
                <w:snapToGrid w:val="0"/>
              </w:rPr>
              <w:t xml:space="preserve"> 8</w:t>
            </w:r>
          </w:p>
        </w:tc>
        <w:tc>
          <w:tcPr>
            <w:tcW w:w="6946" w:type="dxa"/>
            <w:gridSpan w:val="2"/>
          </w:tcPr>
          <w:p w:rsidR="00403AC6" w:rsidRDefault="00696E4A" w:rsidP="00403AC6">
            <w:pPr>
              <w:tabs>
                <w:tab w:val="left" w:pos="1701"/>
              </w:tabs>
              <w:rPr>
                <w:b/>
                <w:snapToGrid w:val="0"/>
              </w:rPr>
            </w:pPr>
            <w:r>
              <w:rPr>
                <w:b/>
                <w:snapToGrid w:val="0"/>
              </w:rPr>
              <w:t>Val av ordförande</w:t>
            </w:r>
          </w:p>
          <w:p w:rsidR="00403AC6" w:rsidRDefault="00403AC6" w:rsidP="00403AC6">
            <w:pPr>
              <w:tabs>
                <w:tab w:val="left" w:pos="1701"/>
              </w:tabs>
              <w:rPr>
                <w:b/>
                <w:snapToGrid w:val="0"/>
              </w:rPr>
            </w:pPr>
          </w:p>
          <w:p w:rsidR="00696E4A" w:rsidRDefault="00696E4A" w:rsidP="00696E4A">
            <w:pPr>
              <w:tabs>
                <w:tab w:val="left" w:pos="1701"/>
              </w:tabs>
              <w:rPr>
                <w:snapToGrid w:val="0"/>
              </w:rPr>
            </w:pPr>
            <w:r>
              <w:rPr>
                <w:snapToGrid w:val="0"/>
              </w:rPr>
              <w:t>Maria Malmer Stenergard (M) valdes till ordförande.</w:t>
            </w:r>
          </w:p>
          <w:p w:rsidR="00696E4A" w:rsidRDefault="00696E4A" w:rsidP="00696E4A">
            <w:pPr>
              <w:tabs>
                <w:tab w:val="left" w:pos="1701"/>
              </w:tabs>
              <w:rPr>
                <w:snapToGrid w:val="0"/>
              </w:rPr>
            </w:pPr>
          </w:p>
          <w:p w:rsidR="00696E4A" w:rsidRDefault="00696E4A" w:rsidP="00696E4A">
            <w:pPr>
              <w:tabs>
                <w:tab w:val="left" w:pos="1701"/>
              </w:tabs>
              <w:rPr>
                <w:snapToGrid w:val="0"/>
              </w:rPr>
            </w:pPr>
            <w:r>
              <w:rPr>
                <w:snapToGrid w:val="0"/>
              </w:rPr>
              <w:t>Rikard Larsson (S) överlämnade åt ordföranden att leda sammanträdet.</w:t>
            </w:r>
          </w:p>
          <w:p w:rsidR="00696E4A" w:rsidRDefault="00696E4A" w:rsidP="00696E4A">
            <w:pPr>
              <w:tabs>
                <w:tab w:val="left" w:pos="1701"/>
              </w:tabs>
              <w:rPr>
                <w:snapToGrid w:val="0"/>
              </w:rPr>
            </w:pPr>
          </w:p>
          <w:p w:rsidR="00696E4A" w:rsidRDefault="00696E4A" w:rsidP="00696E4A">
            <w:pPr>
              <w:tabs>
                <w:tab w:val="left" w:pos="1701"/>
              </w:tabs>
              <w:rPr>
                <w:snapToGrid w:val="0"/>
              </w:rPr>
            </w:pPr>
            <w:r>
              <w:rPr>
                <w:snapToGrid w:val="0"/>
              </w:rPr>
              <w:t>Denna paragraf förklarades omedelbart justerad.</w:t>
            </w:r>
          </w:p>
          <w:p w:rsidR="00403AC6" w:rsidRDefault="00696E4A" w:rsidP="00696E4A">
            <w:pPr>
              <w:tabs>
                <w:tab w:val="left" w:pos="1701"/>
              </w:tabs>
              <w:rPr>
                <w:b/>
                <w:snapToGrid w:val="0"/>
              </w:rPr>
            </w:pPr>
            <w:r>
              <w:rPr>
                <w:snapToGrid w:val="0"/>
              </w:rPr>
              <w:t xml:space="preserve"> </w:t>
            </w: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065866">
              <w:rPr>
                <w:b/>
                <w:snapToGrid w:val="0"/>
              </w:rPr>
              <w:t>9</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696E4A">
              <w:rPr>
                <w:color w:val="000000"/>
                <w:szCs w:val="24"/>
              </w:rPr>
              <w:t>tisdagen</w:t>
            </w:r>
            <w:r w:rsidRPr="00DC304A">
              <w:rPr>
                <w:color w:val="000000"/>
                <w:szCs w:val="24"/>
              </w:rPr>
              <w:t xml:space="preserve"> den </w:t>
            </w:r>
            <w:r w:rsidR="00696E4A">
              <w:rPr>
                <w:color w:val="000000"/>
                <w:szCs w:val="24"/>
              </w:rPr>
              <w:t>26 februari 2019 kl. 11.00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65866">
              <w:t xml:space="preserve"> 26 februari</w:t>
            </w:r>
            <w:r w:rsidR="00081A95">
              <w:t xml:space="preserve"> 20</w:t>
            </w:r>
            <w:r w:rsidR="00251677">
              <w:t>1</w:t>
            </w:r>
            <w:r w:rsidR="00413959">
              <w:t>9</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364"/>
        <w:gridCol w:w="364"/>
        <w:gridCol w:w="364"/>
        <w:gridCol w:w="364"/>
        <w:gridCol w:w="364"/>
        <w:gridCol w:w="364"/>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t>NÄRVAROFÖRTECKNING</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A827D2">
            <w:pPr>
              <w:tabs>
                <w:tab w:val="left" w:pos="1701"/>
              </w:tabs>
              <w:rPr>
                <w:sz w:val="23"/>
                <w:szCs w:val="23"/>
              </w:rPr>
            </w:pPr>
            <w:r w:rsidRPr="002A1A33">
              <w:rPr>
                <w:sz w:val="23"/>
                <w:szCs w:val="23"/>
              </w:rPr>
              <w:t>20</w:t>
            </w:r>
            <w:r w:rsidR="00A827D2" w:rsidRPr="002A1A33">
              <w:rPr>
                <w:sz w:val="23"/>
                <w:szCs w:val="23"/>
              </w:rPr>
              <w:t>18</w:t>
            </w:r>
            <w:r w:rsidRPr="002A1A33">
              <w:rPr>
                <w:sz w:val="23"/>
                <w:szCs w:val="23"/>
              </w:rPr>
              <w:t>/</w:t>
            </w:r>
            <w:r w:rsidR="00A827D2" w:rsidRPr="002A1A33">
              <w:rPr>
                <w:sz w:val="23"/>
                <w:szCs w:val="23"/>
              </w:rPr>
              <w:t>19</w:t>
            </w:r>
            <w:r w:rsidRPr="002A1A33">
              <w:rPr>
                <w:sz w:val="23"/>
                <w:szCs w:val="23"/>
              </w:rPr>
              <w:t>:</w:t>
            </w:r>
            <w:r w:rsidR="00696E4A">
              <w:rPr>
                <w:sz w:val="23"/>
                <w:szCs w:val="23"/>
              </w:rPr>
              <w:t>22</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696E4A">
              <w:rPr>
                <w:sz w:val="23"/>
                <w:szCs w:val="23"/>
              </w:rPr>
              <w:t>2</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696E4A">
              <w:rPr>
                <w:sz w:val="23"/>
                <w:szCs w:val="23"/>
              </w:rPr>
              <w:t>3</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696E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4–6</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696E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7</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96E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8</w:t>
            </w:r>
            <w:r w:rsidR="0027578E">
              <w:rPr>
                <w:sz w:val="23"/>
                <w:szCs w:val="23"/>
              </w:rPr>
              <w:t>–9</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2FE6">
            <w:pPr>
              <w:rPr>
                <w:sz w:val="23"/>
                <w:szCs w:val="23"/>
              </w:rPr>
            </w:pPr>
            <w:r w:rsidRPr="002A2FE6">
              <w:rPr>
                <w:sz w:val="22"/>
                <w:szCs w:val="22"/>
              </w:rPr>
              <w:t>Maria Malmer Stenergard (M)</w:t>
            </w:r>
            <w:r w:rsidR="00656DD9" w:rsidRPr="002A1A33">
              <w:rPr>
                <w:sz w:val="23"/>
                <w:szCs w:val="23"/>
              </w:rPr>
              <w:t xml:space="preserve"> </w:t>
            </w:r>
            <w:r w:rsidR="00656DD9" w:rsidRPr="002A2FE6">
              <w:rPr>
                <w:sz w:val="22"/>
                <w:szCs w:val="22"/>
              </w:rPr>
              <w:t>ordf.</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96E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696E4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7578E" w:rsidRPr="002A1A33" w:rsidRDefault="0027578E" w:rsidP="0027578E">
            <w:pPr>
              <w:rPr>
                <w:sz w:val="23"/>
                <w:szCs w:val="23"/>
                <w:lang w:val="en-US"/>
              </w:rPr>
            </w:pPr>
            <w:r w:rsidRPr="002A1A33">
              <w:rPr>
                <w:sz w:val="23"/>
                <w:szCs w:val="23"/>
                <w:lang w:val="en-US"/>
              </w:rPr>
              <w:t>Rikard Larsson (S)</w:t>
            </w:r>
            <w:r>
              <w:rPr>
                <w:sz w:val="23"/>
                <w:szCs w:val="23"/>
                <w:lang w:val="en-US"/>
              </w:rPr>
              <w:t xml:space="preserve"> vice ordf.</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7578E" w:rsidRPr="002A1A33" w:rsidRDefault="0027578E" w:rsidP="0027578E">
            <w:pPr>
              <w:rPr>
                <w:sz w:val="23"/>
                <w:szCs w:val="23"/>
                <w:lang w:val="en-US"/>
              </w:rPr>
            </w:pPr>
            <w:r w:rsidRPr="002A1A33">
              <w:rPr>
                <w:sz w:val="23"/>
                <w:szCs w:val="23"/>
                <w:lang w:val="en-US"/>
              </w:rPr>
              <w:t>Carina Ohlsson (S)</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Katarina Brännström (M)</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Paula Bieler (SD)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Teresa Carvalho (S)</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Solveig Zander (C)</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Nooshi Dadgostar (V)</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Elisabeth Björnsdotter Rahm (M)</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Julia Kronlid (SD)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Kadir Kasirga (S)</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Hans Eklind (KD)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Björn Petersson (S)</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lang w:val="en-US"/>
              </w:rPr>
            </w:pPr>
            <w:r w:rsidRPr="002A1A33">
              <w:rPr>
                <w:sz w:val="23"/>
                <w:szCs w:val="23"/>
                <w:lang w:val="en-US"/>
              </w:rPr>
              <w:t>Emma Carlsson Löfdahl (L)</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rPr>
            </w:pPr>
            <w:r w:rsidRPr="002A1A33">
              <w:rPr>
                <w:sz w:val="23"/>
                <w:szCs w:val="23"/>
              </w:rPr>
              <w:t>Jonas Andersson i Skellefteå (SD)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rPr>
            </w:pPr>
            <w:r>
              <w:rPr>
                <w:sz w:val="23"/>
                <w:szCs w:val="23"/>
              </w:rPr>
              <w:t>Mats Berglund</w:t>
            </w:r>
            <w:r w:rsidRPr="002A1A33">
              <w:rPr>
                <w:sz w:val="23"/>
                <w:szCs w:val="23"/>
              </w:rPr>
              <w:t xml:space="preserve"> (MP)</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rPr>
            </w:pPr>
            <w:r w:rsidRPr="002A1A33">
              <w:rPr>
                <w:sz w:val="23"/>
                <w:szCs w:val="23"/>
              </w:rPr>
              <w:t>Arin Karapet (M)</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2B5FBD">
        <w:tc>
          <w:tcPr>
            <w:tcW w:w="3332" w:type="dxa"/>
            <w:tcBorders>
              <w:top w:val="single" w:sz="6" w:space="0" w:color="auto"/>
              <w:left w:val="single" w:sz="6" w:space="0" w:color="auto"/>
              <w:bottom w:val="single" w:sz="6" w:space="0" w:color="auto"/>
              <w:right w:val="single" w:sz="6" w:space="0" w:color="auto"/>
            </w:tcBorders>
            <w:vAlign w:val="bottom"/>
          </w:tcPr>
          <w:p w:rsidR="0027578E" w:rsidRPr="002A1A33" w:rsidRDefault="0027578E" w:rsidP="0027578E">
            <w:pPr>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Emilia Töyrä (S)</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2B5FBD">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Ann-Sofie Alm (M)</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Jennie Åfeldt (SD)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2B5FBD">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Paula Holmqvist (S)</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Johanna Jönsson (C)</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Christina Höj Larsen (V)</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Ellen Juntti (M)</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Linda Lindberg (SD)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2B5FBD">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Åsa Karlsson (S)</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Pia Steensland (KD)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Dag Larsson (S)</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Fredrik Malm (L)</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Anne Oskarsson (SD)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Pr>
                <w:sz w:val="23"/>
                <w:szCs w:val="23"/>
              </w:rPr>
              <w:t>Karolina Skog (MP)</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sidRPr="002A1A33">
              <w:rPr>
                <w:sz w:val="23"/>
                <w:szCs w:val="23"/>
              </w:rPr>
              <w:t>Marléne Lund Kopparklint (M)</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Pr>
                <w:sz w:val="23"/>
                <w:szCs w:val="23"/>
              </w:rPr>
              <w:t>Clara Aranda (SD)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Pr>
                <w:sz w:val="23"/>
                <w:szCs w:val="23"/>
              </w:rPr>
              <w:t>Mikael Strandman (SD)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Pr>
                <w:sz w:val="23"/>
                <w:szCs w:val="23"/>
              </w:rPr>
              <w:t>Mats Persson (L)</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Pr>
                <w:sz w:val="23"/>
                <w:szCs w:val="23"/>
              </w:rPr>
              <w:t>Barbro Westerholm (L)</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Default="0027578E" w:rsidP="0027578E">
            <w:pPr>
              <w:rPr>
                <w:sz w:val="23"/>
                <w:szCs w:val="23"/>
              </w:rPr>
            </w:pPr>
            <w:r>
              <w:rPr>
                <w:sz w:val="23"/>
                <w:szCs w:val="23"/>
              </w:rPr>
              <w:t>Jonny Cato Hansson (C)</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Default="0027578E" w:rsidP="0027578E">
            <w:pPr>
              <w:rPr>
                <w:sz w:val="23"/>
                <w:szCs w:val="23"/>
              </w:rPr>
            </w:pPr>
            <w:r>
              <w:rPr>
                <w:sz w:val="23"/>
                <w:szCs w:val="23"/>
              </w:rPr>
              <w:t>Ciczie Weidby (V)</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Default="0027578E" w:rsidP="0027578E">
            <w:pPr>
              <w:rPr>
                <w:sz w:val="23"/>
                <w:szCs w:val="23"/>
              </w:rPr>
            </w:pPr>
            <w:r>
              <w:rPr>
                <w:sz w:val="23"/>
                <w:szCs w:val="23"/>
              </w:rPr>
              <w:t>Jimmy Loord (KD)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Default="0027578E" w:rsidP="0027578E">
            <w:pPr>
              <w:rPr>
                <w:sz w:val="23"/>
                <w:szCs w:val="23"/>
              </w:rPr>
            </w:pPr>
            <w:r>
              <w:rPr>
                <w:sz w:val="23"/>
                <w:szCs w:val="23"/>
              </w:rPr>
              <w:t>Sofia Damm (KD)</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rPr>
                <w:sz w:val="23"/>
                <w:szCs w:val="23"/>
              </w:rPr>
            </w:pPr>
            <w:r>
              <w:rPr>
                <w:sz w:val="23"/>
                <w:szCs w:val="23"/>
              </w:rPr>
              <w:t>Fredrik Lundh Sammeli (S)</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2A1A33" w:rsidTr="00A827D2">
        <w:tc>
          <w:tcPr>
            <w:tcW w:w="3332" w:type="dxa"/>
            <w:tcBorders>
              <w:top w:val="single" w:sz="6" w:space="0" w:color="auto"/>
              <w:left w:val="single" w:sz="6" w:space="0" w:color="auto"/>
              <w:bottom w:val="single" w:sz="6" w:space="0" w:color="auto"/>
              <w:right w:val="single" w:sz="6" w:space="0" w:color="auto"/>
            </w:tcBorders>
          </w:tcPr>
          <w:p w:rsidR="0027578E" w:rsidRDefault="0027578E" w:rsidP="0027578E">
            <w:pPr>
              <w:rPr>
                <w:sz w:val="23"/>
                <w:szCs w:val="23"/>
              </w:rPr>
            </w:pPr>
            <w:r w:rsidRPr="002D656B">
              <w:rPr>
                <w:sz w:val="23"/>
                <w:szCs w:val="23"/>
              </w:rPr>
              <w:t>Abir Al-Sahlani (C)</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7578E" w:rsidRPr="00696E4A" w:rsidTr="00A827D2">
        <w:tc>
          <w:tcPr>
            <w:tcW w:w="3332" w:type="dxa"/>
            <w:tcBorders>
              <w:top w:val="single" w:sz="6" w:space="0" w:color="auto"/>
              <w:left w:val="single" w:sz="6" w:space="0" w:color="auto"/>
              <w:bottom w:val="single" w:sz="6" w:space="0" w:color="auto"/>
              <w:right w:val="single" w:sz="6" w:space="0" w:color="auto"/>
            </w:tcBorders>
          </w:tcPr>
          <w:p w:rsidR="0027578E" w:rsidRPr="00CF22E1" w:rsidRDefault="0027578E" w:rsidP="0027578E">
            <w:pPr>
              <w:rPr>
                <w:sz w:val="23"/>
                <w:szCs w:val="23"/>
                <w:lang w:val="en-US"/>
              </w:rPr>
            </w:pPr>
            <w:r w:rsidRPr="00CF22E1">
              <w:rPr>
                <w:sz w:val="23"/>
                <w:szCs w:val="23"/>
                <w:lang w:val="en-US"/>
              </w:rPr>
              <w:t xml:space="preserve">Erica Nådin (S) </w:t>
            </w:r>
            <w:r>
              <w:rPr>
                <w:sz w:val="23"/>
                <w:szCs w:val="23"/>
                <w:lang w:val="en-US"/>
              </w:rPr>
              <w:t xml:space="preserve"> </w:t>
            </w:r>
            <w:r w:rsidRPr="00CF22E1">
              <w:rPr>
                <w:sz w:val="20"/>
                <w:lang w:val="en-US"/>
              </w:rPr>
              <w:t>extra suppleant</w:t>
            </w:r>
          </w:p>
        </w:tc>
        <w:tc>
          <w:tcPr>
            <w:tcW w:w="364" w:type="dxa"/>
            <w:tcBorders>
              <w:top w:val="single" w:sz="6" w:space="0" w:color="auto"/>
              <w:left w:val="single" w:sz="6" w:space="0" w:color="auto"/>
              <w:bottom w:val="single" w:sz="6" w:space="0" w:color="auto"/>
              <w:right w:val="single" w:sz="6" w:space="0" w:color="auto"/>
            </w:tcBorders>
          </w:tcPr>
          <w:p w:rsidR="0027578E" w:rsidRPr="00CF22E1"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27578E" w:rsidRPr="00CF22E1"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27578E" w:rsidRPr="00CF22E1"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CF22E1"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CF22E1"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CF22E1"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27578E" w:rsidRPr="00CF22E1"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696E4A" w:rsidTr="005A37D9">
        <w:trPr>
          <w:trHeight w:hRule="exact" w:val="57"/>
        </w:trPr>
        <w:tc>
          <w:tcPr>
            <w:tcW w:w="3332" w:type="dxa"/>
            <w:tcBorders>
              <w:top w:val="nil"/>
              <w:left w:val="nil"/>
              <w:bottom w:val="nil"/>
              <w:right w:val="nil"/>
            </w:tcBorders>
          </w:tcPr>
          <w:p w:rsidR="0027578E" w:rsidRPr="00CF22E1"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27578E" w:rsidRPr="00CF22E1"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27578E" w:rsidRPr="002A1A33" w:rsidTr="005A37D9">
        <w:trPr>
          <w:trHeight w:val="263"/>
        </w:trPr>
        <w:tc>
          <w:tcPr>
            <w:tcW w:w="3332" w:type="dxa"/>
            <w:tcBorders>
              <w:top w:val="nil"/>
              <w:left w:val="nil"/>
              <w:bottom w:val="nil"/>
              <w:right w:val="nil"/>
            </w:tcBorders>
            <w:hideMark/>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 = Närvarande</w:t>
            </w:r>
          </w:p>
        </w:tc>
        <w:tc>
          <w:tcPr>
            <w:tcW w:w="5098" w:type="dxa"/>
            <w:gridSpan w:val="14"/>
            <w:tcBorders>
              <w:top w:val="nil"/>
              <w:left w:val="nil"/>
              <w:bottom w:val="nil"/>
              <w:right w:val="nil"/>
            </w:tcBorders>
            <w:hideMark/>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x = ledamöter som deltagit i handläggningen</w:t>
            </w:r>
          </w:p>
        </w:tc>
      </w:tr>
      <w:tr w:rsidR="0027578E" w:rsidRPr="002A1A33" w:rsidTr="004B2502">
        <w:trPr>
          <w:trHeight w:val="170"/>
        </w:trPr>
        <w:tc>
          <w:tcPr>
            <w:tcW w:w="3332" w:type="dxa"/>
            <w:tcBorders>
              <w:top w:val="nil"/>
              <w:left w:val="nil"/>
              <w:bottom w:val="nil"/>
              <w:right w:val="nil"/>
            </w:tcBorders>
            <w:hideMark/>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 = Votering</w:t>
            </w:r>
          </w:p>
        </w:tc>
        <w:tc>
          <w:tcPr>
            <w:tcW w:w="5098" w:type="dxa"/>
            <w:gridSpan w:val="14"/>
            <w:tcBorders>
              <w:top w:val="nil"/>
              <w:left w:val="nil"/>
              <w:bottom w:val="nil"/>
              <w:right w:val="nil"/>
            </w:tcBorders>
            <w:hideMark/>
          </w:tcPr>
          <w:p w:rsidR="0027578E" w:rsidRPr="002A1A33" w:rsidRDefault="0027578E" w:rsidP="002757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o = ledamöter som härutöver har varit närvarande</w:t>
            </w:r>
          </w:p>
        </w:tc>
      </w:tr>
    </w:tbl>
    <w:p w:rsidR="005F59C8" w:rsidRPr="002A1A33" w:rsidRDefault="005F59C8" w:rsidP="004B2502">
      <w:pPr>
        <w:tabs>
          <w:tab w:val="left" w:pos="1701"/>
        </w:tabs>
        <w:rPr>
          <w:sz w:val="23"/>
          <w:szCs w:val="23"/>
        </w:rPr>
      </w:pPr>
    </w:p>
    <w:sectPr w:rsidR="005F59C8" w:rsidRPr="002A1A33" w:rsidSect="00CB5A24">
      <w:pgSz w:w="11906" w:h="16838" w:code="9"/>
      <w:pgMar w:top="737" w:right="1134" w:bottom="23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6AA08B3"/>
    <w:multiLevelType w:val="multilevel"/>
    <w:tmpl w:val="3F48002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85"/>
    <w:rsid w:val="00040691"/>
    <w:rsid w:val="000616DB"/>
    <w:rsid w:val="00064E0C"/>
    <w:rsid w:val="00065866"/>
    <w:rsid w:val="00065F76"/>
    <w:rsid w:val="00070EB6"/>
    <w:rsid w:val="00073D71"/>
    <w:rsid w:val="00081A95"/>
    <w:rsid w:val="00093BD4"/>
    <w:rsid w:val="00095048"/>
    <w:rsid w:val="000C1DF3"/>
    <w:rsid w:val="000F2A32"/>
    <w:rsid w:val="001141DB"/>
    <w:rsid w:val="0011654F"/>
    <w:rsid w:val="00120A12"/>
    <w:rsid w:val="001211A3"/>
    <w:rsid w:val="00142A52"/>
    <w:rsid w:val="001441C2"/>
    <w:rsid w:val="001531D2"/>
    <w:rsid w:val="0016078E"/>
    <w:rsid w:val="00161AA6"/>
    <w:rsid w:val="00165630"/>
    <w:rsid w:val="0018036E"/>
    <w:rsid w:val="0018189D"/>
    <w:rsid w:val="00195A71"/>
    <w:rsid w:val="001A7020"/>
    <w:rsid w:val="001B29C0"/>
    <w:rsid w:val="001B59E4"/>
    <w:rsid w:val="001C39BB"/>
    <w:rsid w:val="001F54F3"/>
    <w:rsid w:val="00211AAB"/>
    <w:rsid w:val="00250C53"/>
    <w:rsid w:val="00251677"/>
    <w:rsid w:val="002544E0"/>
    <w:rsid w:val="00274599"/>
    <w:rsid w:val="0027578E"/>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E1C54"/>
    <w:rsid w:val="003F5A35"/>
    <w:rsid w:val="003F5BD7"/>
    <w:rsid w:val="00403AC6"/>
    <w:rsid w:val="00413959"/>
    <w:rsid w:val="00430167"/>
    <w:rsid w:val="00447BD0"/>
    <w:rsid w:val="00447EA2"/>
    <w:rsid w:val="00453974"/>
    <w:rsid w:val="004659A3"/>
    <w:rsid w:val="00484380"/>
    <w:rsid w:val="004B2502"/>
    <w:rsid w:val="004F1B55"/>
    <w:rsid w:val="004F42DA"/>
    <w:rsid w:val="004F680C"/>
    <w:rsid w:val="005347A1"/>
    <w:rsid w:val="005646A3"/>
    <w:rsid w:val="005714D8"/>
    <w:rsid w:val="0057395B"/>
    <w:rsid w:val="005778AA"/>
    <w:rsid w:val="00592D6B"/>
    <w:rsid w:val="00596129"/>
    <w:rsid w:val="005A0889"/>
    <w:rsid w:val="005A37D9"/>
    <w:rsid w:val="005B6D13"/>
    <w:rsid w:val="005C3E25"/>
    <w:rsid w:val="005D721E"/>
    <w:rsid w:val="005F59C8"/>
    <w:rsid w:val="00606D38"/>
    <w:rsid w:val="00616572"/>
    <w:rsid w:val="00631795"/>
    <w:rsid w:val="0063430B"/>
    <w:rsid w:val="00640310"/>
    <w:rsid w:val="00640C19"/>
    <w:rsid w:val="0064344C"/>
    <w:rsid w:val="00656DD9"/>
    <w:rsid w:val="00660A8A"/>
    <w:rsid w:val="00670187"/>
    <w:rsid w:val="0068513C"/>
    <w:rsid w:val="0069442A"/>
    <w:rsid w:val="00696E4A"/>
    <w:rsid w:val="006A56E8"/>
    <w:rsid w:val="006C21FA"/>
    <w:rsid w:val="006D1030"/>
    <w:rsid w:val="006E06A4"/>
    <w:rsid w:val="006E5E91"/>
    <w:rsid w:val="006E774B"/>
    <w:rsid w:val="006F41EB"/>
    <w:rsid w:val="006F6C7A"/>
    <w:rsid w:val="007026FD"/>
    <w:rsid w:val="00703D16"/>
    <w:rsid w:val="00711F2E"/>
    <w:rsid w:val="00721DB8"/>
    <w:rsid w:val="00723C10"/>
    <w:rsid w:val="00723DD0"/>
    <w:rsid w:val="00726C3B"/>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94188"/>
    <w:rsid w:val="00894D40"/>
    <w:rsid w:val="008C2D0B"/>
    <w:rsid w:val="008D1752"/>
    <w:rsid w:val="00901669"/>
    <w:rsid w:val="00912575"/>
    <w:rsid w:val="00913943"/>
    <w:rsid w:val="00916634"/>
    <w:rsid w:val="00940F4E"/>
    <w:rsid w:val="00946978"/>
    <w:rsid w:val="00973D8B"/>
    <w:rsid w:val="009800E4"/>
    <w:rsid w:val="009E1625"/>
    <w:rsid w:val="00A0486E"/>
    <w:rsid w:val="00A05767"/>
    <w:rsid w:val="00A07505"/>
    <w:rsid w:val="00A119D6"/>
    <w:rsid w:val="00A51C20"/>
    <w:rsid w:val="00A5427F"/>
    <w:rsid w:val="00A5528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71AD"/>
    <w:rsid w:val="00B74FAF"/>
    <w:rsid w:val="00B75E0D"/>
    <w:rsid w:val="00BB778C"/>
    <w:rsid w:val="00C0607C"/>
    <w:rsid w:val="00C12C24"/>
    <w:rsid w:val="00C150F4"/>
    <w:rsid w:val="00C30522"/>
    <w:rsid w:val="00C45E21"/>
    <w:rsid w:val="00C8434B"/>
    <w:rsid w:val="00C850D4"/>
    <w:rsid w:val="00C94625"/>
    <w:rsid w:val="00C9784D"/>
    <w:rsid w:val="00CA31D0"/>
    <w:rsid w:val="00CA4971"/>
    <w:rsid w:val="00CA5BCE"/>
    <w:rsid w:val="00CB2353"/>
    <w:rsid w:val="00CB4DAF"/>
    <w:rsid w:val="00CB5A24"/>
    <w:rsid w:val="00CC72FB"/>
    <w:rsid w:val="00CD3B87"/>
    <w:rsid w:val="00CE3987"/>
    <w:rsid w:val="00CF22E1"/>
    <w:rsid w:val="00D21B05"/>
    <w:rsid w:val="00D360B4"/>
    <w:rsid w:val="00D409A3"/>
    <w:rsid w:val="00D54317"/>
    <w:rsid w:val="00D90D9B"/>
    <w:rsid w:val="00DC42D6"/>
    <w:rsid w:val="00DC4D41"/>
    <w:rsid w:val="00DD0831"/>
    <w:rsid w:val="00DD270A"/>
    <w:rsid w:val="00DE1C47"/>
    <w:rsid w:val="00DE6176"/>
    <w:rsid w:val="00DF2C5A"/>
    <w:rsid w:val="00E24A87"/>
    <w:rsid w:val="00E55E38"/>
    <w:rsid w:val="00E7686B"/>
    <w:rsid w:val="00EB3E50"/>
    <w:rsid w:val="00EB6861"/>
    <w:rsid w:val="00ED28CD"/>
    <w:rsid w:val="00ED3389"/>
    <w:rsid w:val="00F2328F"/>
    <w:rsid w:val="00F357B8"/>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1AA27"/>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01883">
      <w:bodyDiv w:val="1"/>
      <w:marLeft w:val="0"/>
      <w:marRight w:val="0"/>
      <w:marTop w:val="0"/>
      <w:marBottom w:val="0"/>
      <w:divBdr>
        <w:top w:val="none" w:sz="0" w:space="0" w:color="auto"/>
        <w:left w:val="none" w:sz="0" w:space="0" w:color="auto"/>
        <w:bottom w:val="none" w:sz="0" w:space="0" w:color="auto"/>
        <w:right w:val="none" w:sz="0" w:space="0" w:color="auto"/>
      </w:divBdr>
    </w:div>
    <w:div w:id="21397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5D458-621D-4C44-A838-A2D9E72A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14</TotalTime>
  <Pages>4</Pages>
  <Words>900</Words>
  <Characters>5881</Characters>
  <Application>Microsoft Office Word</Application>
  <DocSecurity>0</DocSecurity>
  <Lines>1176</Lines>
  <Paragraphs>218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Johan Eriksson</cp:lastModifiedBy>
  <cp:revision>6</cp:revision>
  <cp:lastPrinted>2019-02-21T10:09:00Z</cp:lastPrinted>
  <dcterms:created xsi:type="dcterms:W3CDTF">2019-02-19T08:27:00Z</dcterms:created>
  <dcterms:modified xsi:type="dcterms:W3CDTF">2019-02-21T10:09:00Z</dcterms:modified>
</cp:coreProperties>
</file>