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974AB6" w:rsidTr="00263D78">
        <w:tblPrEx>
          <w:tblCellMar>
            <w:top w:w="0" w:type="dxa"/>
            <w:bottom w:w="0" w:type="dxa"/>
          </w:tblCellMar>
        </w:tblPrEx>
        <w:tc>
          <w:tcPr>
            <w:tcW w:w="2268" w:type="dxa"/>
          </w:tcPr>
          <w:p w:rsidR="006E4E11" w:rsidRPr="00974AB6"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974AB6" w:rsidRDefault="006E4E11" w:rsidP="007242A3">
            <w:pPr>
              <w:framePr w:w="5035" w:h="1644" w:wrap="notBeside" w:vAnchor="page" w:hAnchor="page" w:x="6573" w:y="721"/>
              <w:rPr>
                <w:rFonts w:ascii="TradeGothic" w:hAnsi="TradeGothic"/>
                <w:i/>
                <w:sz w:val="18"/>
              </w:rPr>
            </w:pPr>
          </w:p>
        </w:tc>
      </w:tr>
      <w:tr w:rsidR="00263D78" w:rsidRPr="00974AB6" w:rsidTr="00263D78">
        <w:tblPrEx>
          <w:tblCellMar>
            <w:top w:w="0" w:type="dxa"/>
            <w:bottom w:w="0" w:type="dxa"/>
          </w:tblCellMar>
        </w:tblPrEx>
        <w:tc>
          <w:tcPr>
            <w:tcW w:w="5267" w:type="dxa"/>
            <w:gridSpan w:val="3"/>
          </w:tcPr>
          <w:p w:rsidR="00263D78" w:rsidRPr="00974AB6" w:rsidRDefault="00263D78" w:rsidP="007242A3">
            <w:pPr>
              <w:framePr w:w="5035" w:h="1644" w:wrap="notBeside" w:vAnchor="page" w:hAnchor="page" w:x="6573" w:y="721"/>
              <w:rPr>
                <w:rFonts w:ascii="TradeGothic" w:hAnsi="TradeGothic"/>
                <w:b/>
                <w:sz w:val="22"/>
              </w:rPr>
            </w:pPr>
            <w:r w:rsidRPr="00974AB6">
              <w:rPr>
                <w:rFonts w:ascii="TradeGothic" w:hAnsi="TradeGothic"/>
                <w:b/>
                <w:sz w:val="22"/>
              </w:rPr>
              <w:t>Rådspromemoria</w:t>
            </w:r>
          </w:p>
        </w:tc>
      </w:tr>
      <w:tr w:rsidR="006E4E11" w:rsidRPr="00974AB6" w:rsidTr="00263D78">
        <w:tblPrEx>
          <w:tblCellMar>
            <w:top w:w="0" w:type="dxa"/>
            <w:bottom w:w="0" w:type="dxa"/>
          </w:tblCellMar>
        </w:tblPrEx>
        <w:tc>
          <w:tcPr>
            <w:tcW w:w="3402" w:type="dxa"/>
            <w:gridSpan w:val="2"/>
          </w:tcPr>
          <w:p w:rsidR="006E4E11" w:rsidRPr="00974AB6" w:rsidRDefault="006E4E11" w:rsidP="007242A3">
            <w:pPr>
              <w:framePr w:w="5035" w:h="1644" w:wrap="notBeside" w:vAnchor="page" w:hAnchor="page" w:x="6573" w:y="721"/>
            </w:pPr>
          </w:p>
        </w:tc>
        <w:tc>
          <w:tcPr>
            <w:tcW w:w="1865" w:type="dxa"/>
          </w:tcPr>
          <w:p w:rsidR="006E4E11" w:rsidRPr="00974AB6" w:rsidRDefault="006E4E11" w:rsidP="007242A3">
            <w:pPr>
              <w:framePr w:w="5035" w:h="1644" w:wrap="notBeside" w:vAnchor="page" w:hAnchor="page" w:x="6573" w:y="721"/>
            </w:pPr>
          </w:p>
        </w:tc>
      </w:tr>
      <w:tr w:rsidR="006E4E11" w:rsidRPr="00974AB6" w:rsidTr="00263D78">
        <w:tblPrEx>
          <w:tblCellMar>
            <w:top w:w="0" w:type="dxa"/>
            <w:bottom w:w="0" w:type="dxa"/>
          </w:tblCellMar>
        </w:tblPrEx>
        <w:tc>
          <w:tcPr>
            <w:tcW w:w="2268" w:type="dxa"/>
          </w:tcPr>
          <w:p w:rsidR="006E4E11" w:rsidRPr="00974AB6" w:rsidRDefault="00A17009" w:rsidP="007242A3">
            <w:pPr>
              <w:framePr w:w="5035" w:h="1644" w:wrap="notBeside" w:vAnchor="page" w:hAnchor="page" w:x="6573" w:y="721"/>
            </w:pPr>
            <w:r w:rsidRPr="00974AB6">
              <w:t>2011-</w:t>
            </w:r>
            <w:r w:rsidR="00807596" w:rsidRPr="00974AB6">
              <w:t>11-17</w:t>
            </w:r>
          </w:p>
        </w:tc>
        <w:tc>
          <w:tcPr>
            <w:tcW w:w="2999" w:type="dxa"/>
            <w:gridSpan w:val="2"/>
          </w:tcPr>
          <w:p w:rsidR="006E4E11" w:rsidRPr="00974AB6" w:rsidRDefault="006E4E11" w:rsidP="007242A3">
            <w:pPr>
              <w:framePr w:w="5035" w:h="1644" w:wrap="notBeside" w:vAnchor="page" w:hAnchor="page" w:x="6573" w:y="721"/>
            </w:pPr>
          </w:p>
        </w:tc>
      </w:tr>
      <w:tr w:rsidR="006E4E11" w:rsidRPr="00974AB6" w:rsidTr="00263D78">
        <w:tblPrEx>
          <w:tblCellMar>
            <w:top w:w="0" w:type="dxa"/>
            <w:bottom w:w="0" w:type="dxa"/>
          </w:tblCellMar>
        </w:tblPrEx>
        <w:tc>
          <w:tcPr>
            <w:tcW w:w="2268" w:type="dxa"/>
          </w:tcPr>
          <w:p w:rsidR="006E4E11" w:rsidRPr="00974AB6" w:rsidRDefault="006E4E11" w:rsidP="007242A3">
            <w:pPr>
              <w:framePr w:w="5035" w:h="1644" w:wrap="notBeside" w:vAnchor="page" w:hAnchor="page" w:x="6573" w:y="721"/>
            </w:pPr>
          </w:p>
        </w:tc>
        <w:tc>
          <w:tcPr>
            <w:tcW w:w="2999" w:type="dxa"/>
            <w:gridSpan w:val="2"/>
          </w:tcPr>
          <w:p w:rsidR="006E4E11" w:rsidRPr="00974AB6"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74AB6">
        <w:tblPrEx>
          <w:tblCellMar>
            <w:top w:w="0" w:type="dxa"/>
            <w:bottom w:w="0" w:type="dxa"/>
          </w:tblCellMar>
        </w:tblPrEx>
        <w:trPr>
          <w:trHeight w:val="284"/>
        </w:trPr>
        <w:tc>
          <w:tcPr>
            <w:tcW w:w="4911" w:type="dxa"/>
          </w:tcPr>
          <w:p w:rsidR="006E4E11" w:rsidRPr="00974AB6" w:rsidRDefault="00263D78">
            <w:pPr>
              <w:pStyle w:val="Avsndare"/>
              <w:framePr w:h="2483" w:wrap="notBeside" w:x="1504"/>
              <w:rPr>
                <w:b/>
                <w:i w:val="0"/>
                <w:sz w:val="22"/>
              </w:rPr>
            </w:pPr>
            <w:r w:rsidRPr="00974AB6">
              <w:rPr>
                <w:b/>
                <w:i w:val="0"/>
                <w:sz w:val="22"/>
              </w:rPr>
              <w:t>Arbetsmarknadsdepartementet</w:t>
            </w:r>
          </w:p>
        </w:tc>
      </w:tr>
      <w:tr w:rsidR="006E4E11" w:rsidRPr="00974AB6">
        <w:tblPrEx>
          <w:tblCellMar>
            <w:top w:w="0" w:type="dxa"/>
            <w:bottom w:w="0" w:type="dxa"/>
          </w:tblCellMar>
        </w:tblPrEx>
        <w:trPr>
          <w:trHeight w:val="284"/>
        </w:trPr>
        <w:tc>
          <w:tcPr>
            <w:tcW w:w="4911" w:type="dxa"/>
          </w:tcPr>
          <w:p w:rsidR="006E4E11" w:rsidRPr="00974AB6" w:rsidRDefault="006E4E11">
            <w:pPr>
              <w:pStyle w:val="Avsndare"/>
              <w:framePr w:h="2483" w:wrap="notBeside" w:x="1504"/>
              <w:rPr>
                <w:bCs/>
                <w:iCs/>
              </w:rPr>
            </w:pPr>
          </w:p>
        </w:tc>
      </w:tr>
      <w:tr w:rsidR="006E4E11" w:rsidRPr="00974AB6">
        <w:tblPrEx>
          <w:tblCellMar>
            <w:top w:w="0" w:type="dxa"/>
            <w:bottom w:w="0" w:type="dxa"/>
          </w:tblCellMar>
        </w:tblPrEx>
        <w:trPr>
          <w:trHeight w:val="284"/>
        </w:trPr>
        <w:tc>
          <w:tcPr>
            <w:tcW w:w="4911" w:type="dxa"/>
          </w:tcPr>
          <w:p w:rsidR="006E4E11" w:rsidRPr="00974AB6" w:rsidRDefault="006E4E11">
            <w:pPr>
              <w:pStyle w:val="Avsndare"/>
              <w:framePr w:h="2483" w:wrap="notBeside" w:x="1504"/>
              <w:rPr>
                <w:bCs/>
                <w:iCs/>
              </w:rPr>
            </w:pPr>
          </w:p>
        </w:tc>
      </w:tr>
      <w:tr w:rsidR="006E4E11" w:rsidRPr="00974AB6">
        <w:tblPrEx>
          <w:tblCellMar>
            <w:top w:w="0" w:type="dxa"/>
            <w:bottom w:w="0" w:type="dxa"/>
          </w:tblCellMar>
        </w:tblPrEx>
        <w:trPr>
          <w:trHeight w:val="284"/>
        </w:trPr>
        <w:tc>
          <w:tcPr>
            <w:tcW w:w="4911" w:type="dxa"/>
          </w:tcPr>
          <w:p w:rsidR="006E4E11" w:rsidRPr="00974AB6" w:rsidRDefault="006E4E11">
            <w:pPr>
              <w:pStyle w:val="Avsndare"/>
              <w:framePr w:h="2483" w:wrap="notBeside" w:x="1504"/>
              <w:rPr>
                <w:bCs/>
                <w:iCs/>
              </w:rPr>
            </w:pPr>
          </w:p>
        </w:tc>
      </w:tr>
      <w:tr w:rsidR="006E4E11" w:rsidRPr="00974AB6">
        <w:tblPrEx>
          <w:tblCellMar>
            <w:top w:w="0" w:type="dxa"/>
            <w:bottom w:w="0" w:type="dxa"/>
          </w:tblCellMar>
        </w:tblPrEx>
        <w:trPr>
          <w:trHeight w:val="284"/>
        </w:trPr>
        <w:tc>
          <w:tcPr>
            <w:tcW w:w="4911" w:type="dxa"/>
          </w:tcPr>
          <w:p w:rsidR="006E4E11" w:rsidRPr="00974AB6" w:rsidRDefault="006E4E11">
            <w:pPr>
              <w:pStyle w:val="Avsndare"/>
              <w:framePr w:h="2483" w:wrap="notBeside" w:x="1504"/>
              <w:rPr>
                <w:bCs/>
                <w:iCs/>
              </w:rPr>
            </w:pPr>
          </w:p>
        </w:tc>
      </w:tr>
      <w:tr w:rsidR="006E4E11" w:rsidRPr="00974AB6">
        <w:tblPrEx>
          <w:tblCellMar>
            <w:top w:w="0" w:type="dxa"/>
            <w:bottom w:w="0" w:type="dxa"/>
          </w:tblCellMar>
        </w:tblPrEx>
        <w:trPr>
          <w:trHeight w:val="284"/>
        </w:trPr>
        <w:tc>
          <w:tcPr>
            <w:tcW w:w="4911" w:type="dxa"/>
          </w:tcPr>
          <w:p w:rsidR="006E4E11" w:rsidRPr="00974AB6" w:rsidRDefault="006E4E11">
            <w:pPr>
              <w:pStyle w:val="Avsndare"/>
              <w:framePr w:h="2483" w:wrap="notBeside" w:x="1504"/>
              <w:rPr>
                <w:bCs/>
                <w:iCs/>
              </w:rPr>
            </w:pPr>
          </w:p>
        </w:tc>
      </w:tr>
      <w:tr w:rsidR="006E4E11" w:rsidRPr="00974AB6">
        <w:tblPrEx>
          <w:tblCellMar>
            <w:top w:w="0" w:type="dxa"/>
            <w:bottom w:w="0" w:type="dxa"/>
          </w:tblCellMar>
        </w:tblPrEx>
        <w:trPr>
          <w:trHeight w:val="284"/>
        </w:trPr>
        <w:tc>
          <w:tcPr>
            <w:tcW w:w="4911" w:type="dxa"/>
          </w:tcPr>
          <w:p w:rsidR="006E4E11" w:rsidRPr="00974AB6" w:rsidRDefault="006E4E11">
            <w:pPr>
              <w:pStyle w:val="Avsndare"/>
              <w:framePr w:h="2483" w:wrap="notBeside" w:x="1504"/>
              <w:rPr>
                <w:bCs/>
                <w:iCs/>
              </w:rPr>
            </w:pPr>
          </w:p>
        </w:tc>
      </w:tr>
      <w:tr w:rsidR="006E4E11" w:rsidRPr="00974AB6">
        <w:tblPrEx>
          <w:tblCellMar>
            <w:top w:w="0" w:type="dxa"/>
            <w:bottom w:w="0" w:type="dxa"/>
          </w:tblCellMar>
        </w:tblPrEx>
        <w:trPr>
          <w:trHeight w:val="284"/>
        </w:trPr>
        <w:tc>
          <w:tcPr>
            <w:tcW w:w="4911" w:type="dxa"/>
          </w:tcPr>
          <w:p w:rsidR="006E4E11" w:rsidRPr="00974AB6" w:rsidRDefault="006E4E11">
            <w:pPr>
              <w:pStyle w:val="Avsndare"/>
              <w:framePr w:h="2483" w:wrap="notBeside" w:x="1504"/>
              <w:rPr>
                <w:bCs/>
                <w:iCs/>
              </w:rPr>
            </w:pPr>
          </w:p>
        </w:tc>
      </w:tr>
      <w:tr w:rsidR="006E4E11" w:rsidRPr="00974AB6">
        <w:tblPrEx>
          <w:tblCellMar>
            <w:top w:w="0" w:type="dxa"/>
            <w:bottom w:w="0" w:type="dxa"/>
          </w:tblCellMar>
        </w:tblPrEx>
        <w:trPr>
          <w:trHeight w:val="284"/>
        </w:trPr>
        <w:tc>
          <w:tcPr>
            <w:tcW w:w="4911" w:type="dxa"/>
          </w:tcPr>
          <w:p w:rsidR="006E4E11" w:rsidRPr="00974AB6" w:rsidRDefault="006E4E11">
            <w:pPr>
              <w:pStyle w:val="Avsndare"/>
              <w:framePr w:h="2483" w:wrap="notBeside" w:x="1504"/>
              <w:rPr>
                <w:bCs/>
                <w:iCs/>
              </w:rPr>
            </w:pPr>
          </w:p>
        </w:tc>
      </w:tr>
    </w:tbl>
    <w:p w:rsidR="006E4E11" w:rsidRPr="00974AB6" w:rsidRDefault="006E4E11">
      <w:pPr>
        <w:framePr w:w="4400" w:h="2523" w:wrap="notBeside" w:vAnchor="page" w:hAnchor="page" w:x="6453" w:y="2445"/>
        <w:ind w:left="142"/>
        <w:rPr>
          <w:b/>
        </w:rPr>
      </w:pPr>
    </w:p>
    <w:p w:rsidR="00263D78" w:rsidRPr="00974AB6" w:rsidRDefault="00263D78">
      <w:pPr>
        <w:pStyle w:val="RKrubrik"/>
        <w:pBdr>
          <w:bottom w:val="single" w:sz="6" w:space="1" w:color="auto"/>
        </w:pBdr>
      </w:pPr>
      <w:bookmarkStart w:id="0" w:name="bRubrik"/>
      <w:bookmarkEnd w:id="0"/>
      <w:r w:rsidRPr="00974AB6">
        <w:t xml:space="preserve">Rådets möte </w:t>
      </w:r>
      <w:r w:rsidR="00807596" w:rsidRPr="00974AB6">
        <w:t>den 1 december 2011</w:t>
      </w:r>
    </w:p>
    <w:p w:rsidR="00263D78" w:rsidRPr="00974AB6" w:rsidRDefault="00263D78">
      <w:pPr>
        <w:pStyle w:val="RKnormal"/>
      </w:pPr>
    </w:p>
    <w:p w:rsidR="00A17009" w:rsidRPr="00974AB6" w:rsidRDefault="00174D0D" w:rsidP="00A17009">
      <w:pPr>
        <w:pStyle w:val="RKnormal"/>
      </w:pPr>
      <w:r w:rsidRPr="00974AB6">
        <w:t>Dagordningspunkt 6</w:t>
      </w:r>
      <w:r w:rsidR="00A17009" w:rsidRPr="00974AB6">
        <w:t>.</w:t>
      </w:r>
      <w:r w:rsidR="00A17009" w:rsidRPr="00974AB6">
        <w:tab/>
      </w:r>
    </w:p>
    <w:p w:rsidR="00263D78" w:rsidRPr="00974AB6" w:rsidRDefault="00263D78">
      <w:pPr>
        <w:pStyle w:val="RKnormal"/>
      </w:pPr>
    </w:p>
    <w:p w:rsidR="00174D0D" w:rsidRPr="00974AB6" w:rsidRDefault="00263D78" w:rsidP="00174D0D">
      <w:pPr>
        <w:pStyle w:val="RKnormal"/>
        <w:rPr>
          <w:bCs/>
        </w:rPr>
      </w:pPr>
      <w:r w:rsidRPr="00974AB6">
        <w:t>Rubrik:</w:t>
      </w:r>
      <w:r w:rsidR="00A17009" w:rsidRPr="00974AB6">
        <w:t xml:space="preserve"> </w:t>
      </w:r>
      <w:r w:rsidR="00174D0D" w:rsidRPr="00974AB6">
        <w:rPr>
          <w:bCs/>
        </w:rPr>
        <w:t xml:space="preserve">Proposal for a Directive of the European Parliament and of the Council amending Council Directive 92/85/EEC on the introduction of measures to encourage improvements in the safety and health at work of pregnant workers and workers who have recently given birth or are breastfeeding </w:t>
      </w:r>
    </w:p>
    <w:p w:rsidR="00174D0D" w:rsidRPr="00974AB6" w:rsidRDefault="00174D0D" w:rsidP="00174D0D">
      <w:pPr>
        <w:pStyle w:val="RKnormal"/>
        <w:rPr>
          <w:i/>
        </w:rPr>
      </w:pPr>
    </w:p>
    <w:p w:rsidR="00174D0D" w:rsidRPr="00974AB6" w:rsidRDefault="00174D0D" w:rsidP="00174D0D">
      <w:pPr>
        <w:pStyle w:val="RKnormal"/>
        <w:rPr>
          <w:i/>
        </w:rPr>
      </w:pPr>
      <w:r w:rsidRPr="00974AB6">
        <w:rPr>
          <w:b/>
          <w:i/>
        </w:rPr>
        <w:t xml:space="preserve">- </w:t>
      </w:r>
      <w:r w:rsidRPr="00974AB6">
        <w:rPr>
          <w:i/>
          <w:iCs/>
        </w:rPr>
        <w:t xml:space="preserve">Progress report </w:t>
      </w:r>
      <w:r w:rsidRPr="00974AB6">
        <w:rPr>
          <w:i/>
        </w:rPr>
        <w:t xml:space="preserve"> </w:t>
      </w:r>
    </w:p>
    <w:p w:rsidR="00263D78" w:rsidRPr="00974AB6" w:rsidRDefault="00263D78">
      <w:pPr>
        <w:pStyle w:val="RKnormal"/>
      </w:pPr>
    </w:p>
    <w:p w:rsidR="00263D78" w:rsidRPr="00974AB6" w:rsidRDefault="00263D78">
      <w:pPr>
        <w:pStyle w:val="RKnormal"/>
        <w:rPr>
          <w:i/>
        </w:rPr>
      </w:pPr>
      <w:r w:rsidRPr="00974AB6">
        <w:t>Dokument:</w:t>
      </w:r>
      <w:r w:rsidR="00CA3640" w:rsidRPr="00974AB6">
        <w:t xml:space="preserve"> </w:t>
      </w:r>
      <w:r w:rsidR="00CA3640" w:rsidRPr="00974AB6">
        <w:rPr>
          <w:i/>
        </w:rPr>
        <w:t>Kompletteras senare.</w:t>
      </w:r>
    </w:p>
    <w:p w:rsidR="00263D78" w:rsidRPr="00974AB6" w:rsidRDefault="00263D78">
      <w:pPr>
        <w:pStyle w:val="RKnormal"/>
      </w:pPr>
    </w:p>
    <w:p w:rsidR="00263D78" w:rsidRPr="00974AB6" w:rsidRDefault="00A17009">
      <w:pPr>
        <w:pStyle w:val="RKnormal"/>
      </w:pPr>
      <w:r w:rsidRPr="00974AB6">
        <w:t>Tidigare dokument: Faktapromemoria 2008/09:FPM30</w:t>
      </w:r>
    </w:p>
    <w:p w:rsidR="00A17009" w:rsidRPr="00974AB6" w:rsidRDefault="00A17009">
      <w:pPr>
        <w:pStyle w:val="RKnormal"/>
      </w:pPr>
    </w:p>
    <w:p w:rsidR="00A17009" w:rsidRPr="00974AB6" w:rsidRDefault="00263D78" w:rsidP="00A17009">
      <w:pPr>
        <w:pStyle w:val="RKnormal"/>
      </w:pPr>
      <w:r w:rsidRPr="00974AB6">
        <w:t xml:space="preserve">Tidigare behandlad vid samråd med EU-nämnden: </w:t>
      </w:r>
      <w:r w:rsidR="00A17009" w:rsidRPr="00974AB6">
        <w:t>Frågan har tagits upp med EU-nämnden den 6</w:t>
      </w:r>
      <w:r w:rsidR="00174D0D" w:rsidRPr="00974AB6">
        <w:t xml:space="preserve"> mars 2009, </w:t>
      </w:r>
      <w:r w:rsidR="00A17009" w:rsidRPr="00974AB6">
        <w:t>den 3 december 2010</w:t>
      </w:r>
      <w:r w:rsidR="00174D0D" w:rsidRPr="00974AB6">
        <w:t xml:space="preserve"> samt den 10 juni 2011</w:t>
      </w:r>
      <w:r w:rsidR="00A17009" w:rsidRPr="00974AB6">
        <w:t xml:space="preserve">. Regeringen har också överlagt </w:t>
      </w:r>
      <w:r w:rsidR="004F04FF" w:rsidRPr="00974AB6">
        <w:t xml:space="preserve">med </w:t>
      </w:r>
      <w:r w:rsidR="00A17009" w:rsidRPr="00974AB6">
        <w:t>arbetsmarknadsutskottet den 27 november 2008, samt informerat utskottet om frågan den 19 febr</w:t>
      </w:r>
      <w:r w:rsidR="00696ED4" w:rsidRPr="00974AB6">
        <w:t xml:space="preserve">uari, den 28 april, den 3 juni och </w:t>
      </w:r>
      <w:r w:rsidR="00A17009" w:rsidRPr="00974AB6">
        <w:t>den 13 oktober 2009</w:t>
      </w:r>
      <w:r w:rsidR="00696ED4" w:rsidRPr="00974AB6">
        <w:t>,</w:t>
      </w:r>
      <w:r w:rsidR="00A17009" w:rsidRPr="00974AB6">
        <w:t xml:space="preserve"> den 16 november 2010</w:t>
      </w:r>
      <w:r w:rsidR="00174D0D" w:rsidRPr="00974AB6">
        <w:t xml:space="preserve">, </w:t>
      </w:r>
      <w:r w:rsidR="00696ED4" w:rsidRPr="00974AB6">
        <w:t>den 10 februari 2011</w:t>
      </w:r>
      <w:r w:rsidR="00174D0D" w:rsidRPr="00974AB6">
        <w:t xml:space="preserve"> samt </w:t>
      </w:r>
      <w:r w:rsidR="000F73FC" w:rsidRPr="00974AB6">
        <w:t>den 22 september 2011</w:t>
      </w:r>
      <w:r w:rsidR="00A17009" w:rsidRPr="00974AB6">
        <w:t>.</w:t>
      </w:r>
    </w:p>
    <w:p w:rsidR="00263D78" w:rsidRPr="00974AB6" w:rsidRDefault="00263D78">
      <w:pPr>
        <w:pStyle w:val="RKrubrik"/>
      </w:pPr>
      <w:r w:rsidRPr="00974AB6">
        <w:t>Bakgrund</w:t>
      </w:r>
    </w:p>
    <w:p w:rsidR="00263D78" w:rsidRPr="00974AB6" w:rsidRDefault="00263D78">
      <w:pPr>
        <w:pStyle w:val="RKnormal"/>
      </w:pPr>
    </w:p>
    <w:p w:rsidR="00C45EF1" w:rsidRPr="00974AB6" w:rsidRDefault="00C45EF1" w:rsidP="00C45EF1">
      <w:pPr>
        <w:pStyle w:val="RKnormal"/>
      </w:pPr>
      <w:r w:rsidRPr="00974AB6">
        <w:t>I kommissionens arbetsprogram 2008 ingick en öve</w:t>
      </w:r>
      <w:r w:rsidRPr="00974AB6">
        <w:t>r</w:t>
      </w:r>
      <w:r w:rsidRPr="00974AB6">
        <w:t xml:space="preserve">syn av gällande lagstiftning som syftade till att bl.a. göra det enklare att förena arbetslivet med privatliv och familjeliv. Som en del i detta arbete föreslog kommissionen 2008  ändringar i direktiv 92/85/EEG om åtgärder för att förbättra säkerhet och hälsa på arbetsplatsen för arbetstagare som är gravida, nyligen har fött barn eller ammar. </w:t>
      </w:r>
    </w:p>
    <w:p w:rsidR="00C45EF1" w:rsidRPr="00974AB6" w:rsidRDefault="00C45EF1" w:rsidP="00C45EF1">
      <w:pPr>
        <w:pStyle w:val="RKnormal"/>
      </w:pPr>
    </w:p>
    <w:p w:rsidR="00C45EF1" w:rsidRPr="00974AB6" w:rsidRDefault="00C45EF1" w:rsidP="00C45EF1">
      <w:pPr>
        <w:pStyle w:val="RKnormal"/>
      </w:pPr>
      <w:r w:rsidRPr="00974AB6">
        <w:t>Förhandlingar i rådet inleddes hösten 2008. Ett stort antal medlemsstater hade under förhandlingen kritiska synpunkter, bl.a. gällande svårigheterna med att förena förslaget med befin</w:t>
      </w:r>
      <w:r w:rsidRPr="00974AB6">
        <w:t>t</w:t>
      </w:r>
      <w:r w:rsidRPr="00974AB6">
        <w:t xml:space="preserve">liga system för föräldraledighet m.m. och mot att ytterligare öka den obligatoriska ledigheten. Ett kompromissförslag </w:t>
      </w:r>
      <w:r w:rsidRPr="00974AB6">
        <w:lastRenderedPageBreak/>
        <w:t>u</w:t>
      </w:r>
      <w:r w:rsidRPr="00974AB6">
        <w:t>t</w:t>
      </w:r>
      <w:r w:rsidRPr="00974AB6">
        <w:t xml:space="preserve">arbetat av CZ ORDF diskuterades i rådet våren 2009 men någon gemensam ståndpunkt antogs inte. Direktivet lämnades därefter till Europaparlamentet. </w:t>
      </w:r>
    </w:p>
    <w:p w:rsidR="00C45EF1" w:rsidRPr="00974AB6" w:rsidRDefault="00C45EF1" w:rsidP="00C45EF1">
      <w:pPr>
        <w:pStyle w:val="RKnormal"/>
      </w:pPr>
    </w:p>
    <w:p w:rsidR="00C45EF1" w:rsidRPr="00974AB6" w:rsidRDefault="00E053B1" w:rsidP="00C45EF1">
      <w:pPr>
        <w:pStyle w:val="RKnormal"/>
      </w:pPr>
      <w:r w:rsidRPr="00974AB6">
        <w:t xml:space="preserve">Europaparlamentet </w:t>
      </w:r>
      <w:r w:rsidR="00174D0D" w:rsidRPr="00974AB6">
        <w:t xml:space="preserve">genomförde sin </w:t>
      </w:r>
      <w:r w:rsidR="00C45EF1" w:rsidRPr="00974AB6">
        <w:t>första läsning i oktober 2010</w:t>
      </w:r>
      <w:r w:rsidRPr="00974AB6">
        <w:t>. D</w:t>
      </w:r>
      <w:r w:rsidR="00222D5A" w:rsidRPr="00974AB6">
        <w:t xml:space="preserve">e föreslagna ändringarna innebär </w:t>
      </w:r>
      <w:r w:rsidR="00C45EF1" w:rsidRPr="00974AB6">
        <w:t xml:space="preserve">både många och i </w:t>
      </w:r>
      <w:r w:rsidR="00174D0D" w:rsidRPr="00974AB6">
        <w:t xml:space="preserve">flera </w:t>
      </w:r>
      <w:r w:rsidR="00C45EF1" w:rsidRPr="00974AB6">
        <w:t xml:space="preserve">fall långtgående ändringar av kommissionens förslag. Bland annat föreslår parlamentet att ersättning motsvarande full lön ska utgå under ledigheten och att ledigheten utökas från 14 till 20 veckor. </w:t>
      </w:r>
      <w:r w:rsidR="00174D0D" w:rsidRPr="00974AB6">
        <w:t xml:space="preserve">Dessutom </w:t>
      </w:r>
      <w:r w:rsidR="00C45EF1" w:rsidRPr="00974AB6">
        <w:t>föreslås en mängd regler om utökad ledighet i vissa fa</w:t>
      </w:r>
      <w:r w:rsidR="00A66D77" w:rsidRPr="00974AB6">
        <w:t>ll och andra detaljerade regler</w:t>
      </w:r>
      <w:r w:rsidR="00C45EF1" w:rsidRPr="00974AB6">
        <w:t xml:space="preserve"> om t.ex. arbetstid. </w:t>
      </w:r>
    </w:p>
    <w:p w:rsidR="00C45EF1" w:rsidRPr="00974AB6" w:rsidRDefault="00C45EF1" w:rsidP="00C45EF1">
      <w:pPr>
        <w:pStyle w:val="RKnormal"/>
      </w:pPr>
    </w:p>
    <w:p w:rsidR="00C45EF1" w:rsidRPr="00974AB6" w:rsidRDefault="00C45EF1" w:rsidP="00C45EF1">
      <w:pPr>
        <w:pStyle w:val="RKnormal"/>
      </w:pPr>
      <w:r w:rsidRPr="00974AB6">
        <w:t xml:space="preserve">Efter parlamentets omröstning har rådet arbetat med att gå igenom parlamentets </w:t>
      </w:r>
      <w:r w:rsidR="000976AE" w:rsidRPr="00974AB6">
        <w:t xml:space="preserve">omfattande </w:t>
      </w:r>
      <w:r w:rsidRPr="00974AB6">
        <w:t xml:space="preserve">ändringsförslag för att se vad </w:t>
      </w:r>
      <w:r w:rsidR="00222D5A" w:rsidRPr="00974AB6">
        <w:t xml:space="preserve">som kan </w:t>
      </w:r>
      <w:r w:rsidRPr="00974AB6">
        <w:t>acceptera</w:t>
      </w:r>
      <w:r w:rsidR="00222D5A" w:rsidRPr="00974AB6">
        <w:t>s</w:t>
      </w:r>
      <w:r w:rsidRPr="00974AB6">
        <w:t xml:space="preserve">. </w:t>
      </w:r>
      <w:r w:rsidR="00222D5A" w:rsidRPr="00974AB6">
        <w:t xml:space="preserve">Mycket få, om ens några av de ändringar som parlamentet har föreslagit, kan accepteras av en majoritet i rådet. Detta bekräftades också vid det informella ministermöte som hölls i Krakow den 21 oktober </w:t>
      </w:r>
      <w:r w:rsidR="00E609AD" w:rsidRPr="00974AB6">
        <w:t xml:space="preserve">2011 </w:t>
      </w:r>
      <w:r w:rsidR="00222D5A" w:rsidRPr="00974AB6">
        <w:t>där direktivet diskuterades. Flera medlemsstater efterlyste där att parlamentet måste visa flexibilitet och en vilja att kompromissa innan rådet kan anta en gemensam ståndpunkt. Endast ett fåtal medlemsstater vill uttryckligen gå vidare och anta en gemensam ståndpunkt innan dess.</w:t>
      </w:r>
      <w:r w:rsidR="00642E15" w:rsidRPr="00974AB6">
        <w:t xml:space="preserve"> En debatt om direktivet hölls i parlamentet i oktober i år. Den visade </w:t>
      </w:r>
      <w:r w:rsidR="00211A33" w:rsidRPr="00974AB6">
        <w:t xml:space="preserve">att majoriteten i </w:t>
      </w:r>
      <w:r w:rsidR="00642E15" w:rsidRPr="00974AB6">
        <w:t xml:space="preserve">parlamentet </w:t>
      </w:r>
      <w:r w:rsidR="00211A33" w:rsidRPr="00974AB6">
        <w:t xml:space="preserve">fortfarande vidhåller sina ändringsförslag. </w:t>
      </w:r>
      <w:r w:rsidR="007E10F6" w:rsidRPr="00974AB6">
        <w:t xml:space="preserve">Även utan beaktande av parlamentets ändringsförslag finns fortfarande </w:t>
      </w:r>
      <w:r w:rsidR="00D92084" w:rsidRPr="00974AB6">
        <w:t xml:space="preserve">flera </w:t>
      </w:r>
      <w:r w:rsidR="007E10F6" w:rsidRPr="00974AB6">
        <w:t xml:space="preserve">återstående frågor </w:t>
      </w:r>
      <w:r w:rsidR="00D92084" w:rsidRPr="00974AB6">
        <w:t xml:space="preserve">som måste lösas innan rådet kan anta </w:t>
      </w:r>
      <w:r w:rsidR="007E10F6" w:rsidRPr="00974AB6">
        <w:t xml:space="preserve">en gemensam ståndpunkt. </w:t>
      </w:r>
      <w:r w:rsidRPr="00974AB6">
        <w:t xml:space="preserve">Det </w:t>
      </w:r>
      <w:r w:rsidR="00222D5A" w:rsidRPr="00974AB6">
        <w:t xml:space="preserve">polska </w:t>
      </w:r>
      <w:r w:rsidRPr="00974AB6">
        <w:t xml:space="preserve">ordförandeskapet planerar att lägga fram en lägesrapport på EPSCO den </w:t>
      </w:r>
      <w:r w:rsidR="00E609AD" w:rsidRPr="00974AB6">
        <w:t xml:space="preserve">1 december </w:t>
      </w:r>
      <w:r w:rsidRPr="00974AB6">
        <w:t>2011.</w:t>
      </w:r>
    </w:p>
    <w:p w:rsidR="00263D78" w:rsidRPr="00974AB6" w:rsidRDefault="00263D78">
      <w:pPr>
        <w:pStyle w:val="RKrubrik"/>
      </w:pPr>
      <w:r w:rsidRPr="00974AB6">
        <w:t>Rättslig grund och beslutsförfarande</w:t>
      </w:r>
    </w:p>
    <w:p w:rsidR="00C45EF1" w:rsidRPr="00974AB6" w:rsidRDefault="00D611C5" w:rsidP="00C45EF1">
      <w:pPr>
        <w:pStyle w:val="RKnormal"/>
        <w:rPr>
          <w:rStyle w:val="RKnormalChar"/>
          <w:lang w:eastAsia="sv-SE"/>
        </w:rPr>
      </w:pPr>
      <w:r w:rsidRPr="00974AB6">
        <w:t xml:space="preserve">Enligt artikel </w:t>
      </w:r>
      <w:r w:rsidR="00C45EF1" w:rsidRPr="00974AB6">
        <w:t>153 FEUF ska gemenskapen i sy</w:t>
      </w:r>
      <w:r w:rsidR="00C45EF1" w:rsidRPr="00974AB6">
        <w:t>f</w:t>
      </w:r>
      <w:r w:rsidR="00C45EF1" w:rsidRPr="00974AB6">
        <w:t>te att uppnå de mål som fastställs i artikel 151 FEUF stödja och komplettera MS insatser för att förbättra arbetsvillk</w:t>
      </w:r>
      <w:r w:rsidR="00C45EF1" w:rsidRPr="00974AB6">
        <w:t>o</w:t>
      </w:r>
      <w:r w:rsidR="00C45EF1" w:rsidRPr="00974AB6">
        <w:t>ren  i syfte att skydda arbetstagares säkerhet och hälsa, säkerställa jämställdhet på a</w:t>
      </w:r>
      <w:r w:rsidR="00C45EF1" w:rsidRPr="00974AB6">
        <w:t>r</w:t>
      </w:r>
      <w:r w:rsidR="00C45EF1" w:rsidRPr="00974AB6">
        <w:t>betsmarknaden och lika behandling på arbetsplatsen. Rådet ska höra Ekonomiska och sociala kommittén samt Regionkommittén, varpå b</w:t>
      </w:r>
      <w:r w:rsidR="00C45EF1" w:rsidRPr="00974AB6">
        <w:t>e</w:t>
      </w:r>
      <w:r w:rsidR="007E10F6" w:rsidRPr="00974AB6">
        <w:t>slut ska</w:t>
      </w:r>
      <w:r w:rsidR="00C45EF1" w:rsidRPr="00974AB6">
        <w:t xml:space="preserve"> fattas i enlighet med det ordinarie lagstiftningsförfarandet i a</w:t>
      </w:r>
      <w:r w:rsidR="00C45EF1" w:rsidRPr="00974AB6">
        <w:t>r</w:t>
      </w:r>
      <w:r w:rsidR="00C45EF1" w:rsidRPr="00974AB6">
        <w:t xml:space="preserve">tikel 294 FEUF. Enligt artikel 157 FEUF </w:t>
      </w:r>
      <w:r w:rsidR="00C45EF1" w:rsidRPr="00974AB6">
        <w:rPr>
          <w:rStyle w:val="RKnormalChar"/>
        </w:rPr>
        <w:t>ska</w:t>
      </w:r>
      <w:r w:rsidR="00C45EF1" w:rsidRPr="00974AB6">
        <w:rPr>
          <w:rStyle w:val="RKnormalChar"/>
          <w:lang w:eastAsia="sv-SE"/>
        </w:rPr>
        <w:t xml:space="preserve"> rådet e</w:t>
      </w:r>
      <w:r w:rsidR="00C45EF1" w:rsidRPr="00974AB6">
        <w:rPr>
          <w:rStyle w:val="RKnormalChar"/>
          <w:lang w:eastAsia="sv-SE"/>
        </w:rPr>
        <w:t>n</w:t>
      </w:r>
      <w:r w:rsidR="00C45EF1" w:rsidRPr="00974AB6">
        <w:rPr>
          <w:rStyle w:val="RKnormalChar"/>
          <w:lang w:eastAsia="sv-SE"/>
        </w:rPr>
        <w:t>ligt det ordinarie lagstiftningsförfarandet i artikel 294 FEUF och efter att ha hört Ekonomiska och sociala kommittén besluta om åtgärder för att s</w:t>
      </w:r>
      <w:r w:rsidR="00C45EF1" w:rsidRPr="00974AB6">
        <w:rPr>
          <w:rStyle w:val="RKnormalChar"/>
          <w:lang w:eastAsia="sv-SE"/>
        </w:rPr>
        <w:t>ä</w:t>
      </w:r>
      <w:r w:rsidR="00C45EF1" w:rsidRPr="00974AB6">
        <w:rPr>
          <w:rStyle w:val="RKnormalChar"/>
          <w:lang w:eastAsia="sv-SE"/>
        </w:rPr>
        <w:t>kerställa tillämpningen av principen om lika möjligheter och lika behan</w:t>
      </w:r>
      <w:r w:rsidR="00C45EF1" w:rsidRPr="00974AB6">
        <w:rPr>
          <w:rStyle w:val="RKnormalChar"/>
          <w:lang w:eastAsia="sv-SE"/>
        </w:rPr>
        <w:t>d</w:t>
      </w:r>
      <w:r w:rsidR="00C45EF1" w:rsidRPr="00974AB6">
        <w:rPr>
          <w:rStyle w:val="RKnormalChar"/>
          <w:lang w:eastAsia="sv-SE"/>
        </w:rPr>
        <w:t>ling av kvinnor och män i frågor som rör anställning och yrke. Eftersom direktivet inte endast rör hälsa och säkerhet för arbetstagar</w:t>
      </w:r>
      <w:r w:rsidR="00C45EF1" w:rsidRPr="00974AB6">
        <w:rPr>
          <w:rStyle w:val="RKnormalChar"/>
          <w:lang w:eastAsia="sv-SE"/>
        </w:rPr>
        <w:t>e</w:t>
      </w:r>
      <w:r w:rsidR="00C45EF1" w:rsidRPr="00974AB6">
        <w:rPr>
          <w:rStyle w:val="RKnormalChar"/>
          <w:lang w:eastAsia="sv-SE"/>
        </w:rPr>
        <w:t xml:space="preserve"> som är gravida, nyligen har fött barn eller ammar, utan också frågor rörande likabehandling såsom rätten att återvända till samma eller mo</w:t>
      </w:r>
      <w:r w:rsidR="00C45EF1" w:rsidRPr="00974AB6">
        <w:rPr>
          <w:rStyle w:val="RKnormalChar"/>
          <w:lang w:eastAsia="sv-SE"/>
        </w:rPr>
        <w:t>t</w:t>
      </w:r>
      <w:r w:rsidR="00C45EF1" w:rsidRPr="00974AB6">
        <w:rPr>
          <w:rStyle w:val="RKnormalChar"/>
          <w:lang w:eastAsia="sv-SE"/>
        </w:rPr>
        <w:t>svarande arbete, bestämmelser om uppsägning och anställningsrättigh</w:t>
      </w:r>
      <w:r w:rsidR="00C45EF1" w:rsidRPr="00974AB6">
        <w:rPr>
          <w:rStyle w:val="RKnormalChar"/>
          <w:lang w:eastAsia="sv-SE"/>
        </w:rPr>
        <w:t>e</w:t>
      </w:r>
      <w:r w:rsidR="00C45EF1" w:rsidRPr="00974AB6">
        <w:rPr>
          <w:rStyle w:val="RKnormalChar"/>
          <w:lang w:eastAsia="sv-SE"/>
        </w:rPr>
        <w:t>ter samt om bättre ek</w:t>
      </w:r>
      <w:r w:rsidR="00C45EF1" w:rsidRPr="00974AB6">
        <w:rPr>
          <w:rStyle w:val="RKnormalChar"/>
          <w:lang w:eastAsia="sv-SE"/>
        </w:rPr>
        <w:t>o</w:t>
      </w:r>
      <w:r w:rsidR="00C45EF1" w:rsidRPr="00974AB6">
        <w:rPr>
          <w:rStyle w:val="RKnormalChar"/>
          <w:lang w:eastAsia="sv-SE"/>
        </w:rPr>
        <w:t>nomiskt stöd under ledigheten, utgör artiklarna 153 och 157 FEUF til</w:t>
      </w:r>
      <w:r w:rsidR="00C45EF1" w:rsidRPr="00974AB6">
        <w:rPr>
          <w:rStyle w:val="RKnormalChar"/>
          <w:lang w:eastAsia="sv-SE"/>
        </w:rPr>
        <w:t>l</w:t>
      </w:r>
      <w:r w:rsidR="00C45EF1" w:rsidRPr="00974AB6">
        <w:rPr>
          <w:rStyle w:val="RKnormalChar"/>
          <w:lang w:eastAsia="sv-SE"/>
        </w:rPr>
        <w:t>sammans den rättsliga grunden för detta direktiv.</w:t>
      </w:r>
    </w:p>
    <w:p w:rsidR="00C45EF1" w:rsidRPr="00974AB6" w:rsidRDefault="00C45EF1" w:rsidP="00C45EF1">
      <w:pPr>
        <w:pStyle w:val="RKnormal"/>
      </w:pPr>
    </w:p>
    <w:p w:rsidR="00C45EF1" w:rsidRPr="00974AB6" w:rsidRDefault="00C45EF1" w:rsidP="00C45EF1">
      <w:pPr>
        <w:pStyle w:val="RKnormal"/>
      </w:pPr>
      <w:r w:rsidRPr="00974AB6">
        <w:t>Det ordinarie lagstiftningsförfarandet innebär att kommissionen ska lägga fram ett fö</w:t>
      </w:r>
      <w:r w:rsidRPr="00974AB6">
        <w:t>r</w:t>
      </w:r>
      <w:r w:rsidRPr="00974AB6">
        <w:t>slag till rättsakt för Europaparlamentet och rådet, vilka sedan antar rättsakten geme</w:t>
      </w:r>
      <w:r w:rsidRPr="00974AB6">
        <w:t>n</w:t>
      </w:r>
      <w:r w:rsidRPr="00974AB6">
        <w:t xml:space="preserve">samt. </w:t>
      </w:r>
    </w:p>
    <w:p w:rsidR="00263D78" w:rsidRPr="00974AB6" w:rsidRDefault="00263D78">
      <w:pPr>
        <w:pStyle w:val="RKrubrik"/>
        <w:rPr>
          <w:iCs/>
        </w:rPr>
      </w:pPr>
      <w:r w:rsidRPr="00974AB6">
        <w:rPr>
          <w:iCs/>
        </w:rPr>
        <w:t>Svensk ståndpunkt</w:t>
      </w:r>
    </w:p>
    <w:p w:rsidR="00C45EF1" w:rsidRPr="00974AB6" w:rsidRDefault="00C45EF1" w:rsidP="00C45EF1">
      <w:pPr>
        <w:pStyle w:val="RKnormal"/>
        <w:rPr>
          <w:i/>
        </w:rPr>
      </w:pPr>
      <w:r w:rsidRPr="00974AB6">
        <w:rPr>
          <w:i/>
        </w:rPr>
        <w:t>Kommissionens ursprungliga förslag</w:t>
      </w:r>
    </w:p>
    <w:p w:rsidR="00C45EF1" w:rsidRPr="00974AB6" w:rsidRDefault="00C45EF1" w:rsidP="00C45EF1">
      <w:pPr>
        <w:pStyle w:val="RKnormal"/>
      </w:pPr>
      <w:r w:rsidRPr="00974AB6">
        <w:t>Regeringens  utgångspunkt i förhandlingarna är och har varit att Sverige</w:t>
      </w:r>
      <w:r w:rsidR="00EE3A7F" w:rsidRPr="00974AB6">
        <w:t>s</w:t>
      </w:r>
      <w:r w:rsidRPr="00974AB6">
        <w:t xml:space="preserve"> omfattande och väl fungerande system för föräl</w:t>
      </w:r>
      <w:r w:rsidRPr="00974AB6">
        <w:t>d</w:t>
      </w:r>
      <w:r w:rsidRPr="00974AB6">
        <w:t>raledighet och föräldraförsäkring ska kunna upprätthållas. Allmänt gäller att regeringen är positiv till syftet med att stärka den gravida kvinnans rättigh</w:t>
      </w:r>
      <w:r w:rsidRPr="00974AB6">
        <w:t>e</w:t>
      </w:r>
      <w:r w:rsidRPr="00974AB6">
        <w:t>ter men är tveksam till att göra det på det föreslagna sättet. Ändrin</w:t>
      </w:r>
      <w:r w:rsidRPr="00974AB6">
        <w:t>g</w:t>
      </w:r>
      <w:r w:rsidRPr="00974AB6">
        <w:t>arna i artikel 8 innebär en ensidig förlängning av mammaledigheten och en sådan förlängning innebär att en större del av ledigheten reserv</w:t>
      </w:r>
      <w:r w:rsidRPr="00974AB6">
        <w:t>e</w:t>
      </w:r>
      <w:r w:rsidRPr="00974AB6">
        <w:t xml:space="preserve">ras för kvinnan. </w:t>
      </w:r>
    </w:p>
    <w:p w:rsidR="00C45EF1" w:rsidRPr="00974AB6" w:rsidRDefault="00C45EF1" w:rsidP="00C45EF1"/>
    <w:p w:rsidR="00C45EF1" w:rsidRPr="00974AB6" w:rsidRDefault="00C45EF1" w:rsidP="00C45EF1">
      <w:pPr>
        <w:pStyle w:val="RKnormal"/>
      </w:pPr>
      <w:r w:rsidRPr="00974AB6">
        <w:t>Ledighet bör vara en rättighet och inte ett tvång och regeringen är därför emot obligatorisk ledighet. För att främja jämställdhet på arbetsmarknaden är det viktigt att föräldraledigh</w:t>
      </w:r>
      <w:r w:rsidRPr="00974AB6">
        <w:t>e</w:t>
      </w:r>
      <w:r w:rsidRPr="00974AB6">
        <w:t xml:space="preserve">ten är flexibel så att kvinnor efter förlossningen kan gå tillbaka i arbete när de så önskar och att män har möjlighet att vara föräldralediga när barnen är små. </w:t>
      </w:r>
    </w:p>
    <w:p w:rsidR="00C45EF1" w:rsidRPr="00974AB6" w:rsidRDefault="00C45EF1" w:rsidP="00C45EF1">
      <w:pPr>
        <w:pStyle w:val="RKnormal"/>
      </w:pPr>
    </w:p>
    <w:p w:rsidR="00C45EF1" w:rsidRPr="00974AB6" w:rsidRDefault="00C45EF1" w:rsidP="00C45EF1">
      <w:pPr>
        <w:pStyle w:val="RKnormal"/>
        <w:rPr>
          <w:i/>
        </w:rPr>
      </w:pPr>
      <w:r w:rsidRPr="00974AB6">
        <w:rPr>
          <w:i/>
        </w:rPr>
        <w:t>Europaparlamentets ändringsförslag</w:t>
      </w:r>
    </w:p>
    <w:p w:rsidR="00C45EF1" w:rsidRPr="00974AB6" w:rsidRDefault="00C45EF1" w:rsidP="00C45EF1">
      <w:pPr>
        <w:pStyle w:val="RKnormal"/>
      </w:pPr>
      <w:r w:rsidRPr="00974AB6">
        <w:t>Regeringen ser problem med många av de förslag som Europaparlamentet har lagt, t.ex. när det gäller förslaget om full ersättning under mamma- och pappaledighet. Regeringen välkomnar dock förslaget om att den förlängda mammaledigheten ska kunna uppfyllas genom system för föräldraledighet. Det är dock viktigt att detta omfattar hela den förlängda tiden, vilket inte är fallet med parlamentets förslag.</w:t>
      </w:r>
    </w:p>
    <w:p w:rsidR="00C45EF1" w:rsidRPr="00974AB6" w:rsidRDefault="00C45EF1" w:rsidP="00C45EF1">
      <w:pPr>
        <w:pStyle w:val="RKrubrik"/>
        <w:rPr>
          <w:iCs/>
        </w:rPr>
      </w:pPr>
      <w:r w:rsidRPr="00974AB6">
        <w:rPr>
          <w:iCs/>
        </w:rPr>
        <w:t>Kommissionens ursprungliga förslag</w:t>
      </w:r>
    </w:p>
    <w:p w:rsidR="00C45EF1" w:rsidRPr="00974AB6" w:rsidRDefault="00C45EF1" w:rsidP="00C45EF1">
      <w:pPr>
        <w:pStyle w:val="RKnormal"/>
      </w:pPr>
      <w:r w:rsidRPr="00974AB6">
        <w:t xml:space="preserve">Kommissionen föreslår en utökad barnledighet från 14 till 18 veckor, varav </w:t>
      </w:r>
      <w:r w:rsidR="00154C73" w:rsidRPr="00974AB6">
        <w:t xml:space="preserve">sex </w:t>
      </w:r>
      <w:r w:rsidRPr="00974AB6">
        <w:t>veckor ska vara obligatoriska direkt efter förlossningen. Kommissionen reko</w:t>
      </w:r>
      <w:r w:rsidRPr="00974AB6">
        <w:t>m</w:t>
      </w:r>
      <w:r w:rsidRPr="00974AB6">
        <w:t>menderar att kvinnor ska ha rätt till 100 procent av lönen vid mammal</w:t>
      </w:r>
      <w:r w:rsidRPr="00974AB6">
        <w:t>e</w:t>
      </w:r>
      <w:r w:rsidRPr="00974AB6">
        <w:t xml:space="preserve">dighet, men </w:t>
      </w:r>
      <w:r w:rsidR="00154C73" w:rsidRPr="00974AB6">
        <w:t xml:space="preserve">ger medlemsstaterna möjlighet att </w:t>
      </w:r>
      <w:r w:rsidRPr="00974AB6">
        <w:t>sätta ett tak som motsvarar ersättningen i sjukförsäkringen. Skydd mot uppsägning och rätt att få tillbaka samma arbete eller ett arbete med motsvarande villkor efter ledigheten stärks</w:t>
      </w:r>
      <w:r w:rsidR="00154C73" w:rsidRPr="00974AB6">
        <w:t>. Även e</w:t>
      </w:r>
      <w:r w:rsidRPr="00974AB6">
        <w:rPr>
          <w:szCs w:val="28"/>
        </w:rPr>
        <w:t xml:space="preserve">n rätt att </w:t>
      </w:r>
      <w:r w:rsidRPr="00974AB6">
        <w:t xml:space="preserve">begära ändringar i arbetstider och arbetsförhållanden efter ledigheten </w:t>
      </w:r>
      <w:r w:rsidR="00154C73" w:rsidRPr="00974AB6">
        <w:t>föreslås</w:t>
      </w:r>
      <w:r w:rsidRPr="00974AB6">
        <w:t>. Arbetsgivaren måste öve</w:t>
      </w:r>
      <w:r w:rsidRPr="00974AB6">
        <w:t>r</w:t>
      </w:r>
      <w:r w:rsidRPr="00974AB6">
        <w:t>väga sådana ändringar men har ingen skyldighet att genomföra dem.</w:t>
      </w:r>
    </w:p>
    <w:p w:rsidR="00263D78" w:rsidRPr="00974AB6" w:rsidRDefault="00263D78">
      <w:pPr>
        <w:pStyle w:val="RKrubrik"/>
      </w:pPr>
      <w:r w:rsidRPr="00974AB6">
        <w:t>Europaparlamentets inställning</w:t>
      </w:r>
    </w:p>
    <w:p w:rsidR="00C45EF1" w:rsidRPr="00974AB6" w:rsidRDefault="00C45EF1" w:rsidP="00C45EF1">
      <w:pPr>
        <w:pStyle w:val="RKnormal"/>
      </w:pPr>
      <w:r w:rsidRPr="00974AB6">
        <w:t>I oktober 2010 röstade Europaparlamentet i sin första behandling av</w:t>
      </w:r>
      <w:r w:rsidR="00F04774" w:rsidRPr="00974AB6">
        <w:t xml:space="preserve"> direktivet. Parlamentet enades</w:t>
      </w:r>
      <w:r w:rsidRPr="00974AB6">
        <w:t xml:space="preserve"> om </w:t>
      </w:r>
      <w:r w:rsidR="00F04774" w:rsidRPr="00974AB6">
        <w:t xml:space="preserve">77 ändringar av förslaget, </w:t>
      </w:r>
      <w:r w:rsidRPr="00974AB6">
        <w:t>bl.a. fö</w:t>
      </w:r>
      <w:r w:rsidRPr="00974AB6">
        <w:t>l</w:t>
      </w:r>
      <w:r w:rsidRPr="00974AB6">
        <w:t xml:space="preserve">jande: </w:t>
      </w:r>
    </w:p>
    <w:p w:rsidR="00C45EF1" w:rsidRPr="00974AB6" w:rsidRDefault="00C45EF1" w:rsidP="00C45EF1">
      <w:pPr>
        <w:pStyle w:val="RKnormal"/>
        <w:numPr>
          <w:ilvl w:val="0"/>
          <w:numId w:val="1"/>
        </w:numPr>
      </w:pPr>
      <w:r w:rsidRPr="00974AB6">
        <w:t>20 veckors mammaledighet med ersättning motsvarande full lön.</w:t>
      </w:r>
    </w:p>
    <w:p w:rsidR="00C45EF1" w:rsidRPr="00974AB6" w:rsidRDefault="00C45EF1" w:rsidP="00C45EF1">
      <w:pPr>
        <w:pStyle w:val="RKnormal"/>
        <w:numPr>
          <w:ilvl w:val="0"/>
          <w:numId w:val="1"/>
        </w:numPr>
      </w:pPr>
      <w:r w:rsidRPr="00974AB6">
        <w:t>Föräldraledighet kan ersätta de sista fyra veckorna av den fö</w:t>
      </w:r>
      <w:r w:rsidRPr="00974AB6">
        <w:t>r</w:t>
      </w:r>
      <w:r w:rsidRPr="00974AB6">
        <w:t xml:space="preserve">längda mammaledigheten, för dessa fyra veckor kan ersättning då begränsas till 75 % av arbetstagarens lön. </w:t>
      </w:r>
    </w:p>
    <w:p w:rsidR="00C45EF1" w:rsidRPr="00974AB6" w:rsidRDefault="00C45EF1" w:rsidP="00C45EF1">
      <w:pPr>
        <w:pStyle w:val="RKnormal"/>
        <w:numPr>
          <w:ilvl w:val="0"/>
          <w:numId w:val="1"/>
        </w:numPr>
      </w:pPr>
      <w:r w:rsidRPr="00974AB6">
        <w:t>Sex veckors obligatorisk ledighet efter förlossningen.</w:t>
      </w:r>
    </w:p>
    <w:p w:rsidR="00C45EF1" w:rsidRPr="00974AB6" w:rsidRDefault="00C45EF1" w:rsidP="00C45EF1">
      <w:pPr>
        <w:pStyle w:val="RKnormal"/>
        <w:numPr>
          <w:ilvl w:val="0"/>
          <w:numId w:val="1"/>
        </w:numPr>
      </w:pPr>
      <w:r w:rsidRPr="00974AB6">
        <w:t>Två veckors pappaledighet med ersättning motsvarande full b</w:t>
      </w:r>
      <w:r w:rsidRPr="00974AB6">
        <w:t>e</w:t>
      </w:r>
      <w:r w:rsidRPr="00974AB6">
        <w:t>talning.</w:t>
      </w:r>
    </w:p>
    <w:p w:rsidR="00C45EF1" w:rsidRPr="00974AB6" w:rsidRDefault="00C45EF1" w:rsidP="00C45EF1">
      <w:pPr>
        <w:pStyle w:val="RKnormal"/>
        <w:numPr>
          <w:ilvl w:val="0"/>
          <w:numId w:val="1"/>
        </w:numPr>
      </w:pPr>
      <w:r w:rsidRPr="00974AB6">
        <w:t>Förbud mot uppsägning på grund av graviditet och mammaledi</w:t>
      </w:r>
      <w:r w:rsidRPr="00974AB6">
        <w:t>g</w:t>
      </w:r>
      <w:r w:rsidRPr="00974AB6">
        <w:t>het under hela graviditeten till sex månader efter avslutad ma</w:t>
      </w:r>
      <w:r w:rsidRPr="00974AB6">
        <w:t>m</w:t>
      </w:r>
      <w:r w:rsidRPr="00974AB6">
        <w:t>maledighet.</w:t>
      </w:r>
    </w:p>
    <w:p w:rsidR="00C45EF1" w:rsidRPr="00974AB6" w:rsidRDefault="00C45EF1" w:rsidP="00C45EF1">
      <w:pPr>
        <w:pStyle w:val="RKnormal"/>
        <w:numPr>
          <w:ilvl w:val="0"/>
          <w:numId w:val="1"/>
        </w:numPr>
      </w:pPr>
      <w:r w:rsidRPr="00974AB6">
        <w:t>Arbetstagare som återgår i arbete efter avslutad mammaledighet måste ha rätt att åt</w:t>
      </w:r>
      <w:r w:rsidR="00533278" w:rsidRPr="00974AB6">
        <w:t>ergå till ett likvärdigt arbete</w:t>
      </w:r>
      <w:r w:rsidRPr="00974AB6">
        <w:t xml:space="preserve"> med samma lön, till samma tjänst och med samma arbetsuppgifter som innan mammaledigheten.</w:t>
      </w:r>
    </w:p>
    <w:p w:rsidR="00C45EF1" w:rsidRPr="00974AB6" w:rsidRDefault="00C45EF1" w:rsidP="00C45EF1">
      <w:pPr>
        <w:pStyle w:val="RKnormal"/>
        <w:numPr>
          <w:ilvl w:val="0"/>
          <w:numId w:val="1"/>
        </w:numPr>
      </w:pPr>
      <w:r w:rsidRPr="00974AB6">
        <w:t>Arbetstagare som är gravida ska inte behöva arbeta natt eller öve</w:t>
      </w:r>
      <w:r w:rsidRPr="00974AB6">
        <w:t>r</w:t>
      </w:r>
      <w:r w:rsidRPr="00974AB6">
        <w:t>tid under tio veckor före förlossningen, under resten av gravidit</w:t>
      </w:r>
      <w:r w:rsidRPr="00974AB6">
        <w:t>e</w:t>
      </w:r>
      <w:r w:rsidRPr="00974AB6">
        <w:t xml:space="preserve">ten om det krävs med hänsyn till barnets eller mammans hälsa samt under hela amningsperioden. </w:t>
      </w:r>
    </w:p>
    <w:p w:rsidR="005E412C" w:rsidRPr="00974AB6" w:rsidRDefault="005E412C" w:rsidP="005E412C">
      <w:pPr>
        <w:pStyle w:val="RKrubrik"/>
        <w:rPr>
          <w:iCs/>
        </w:rPr>
      </w:pPr>
      <w:r w:rsidRPr="00974AB6">
        <w:rPr>
          <w:iCs/>
        </w:rPr>
        <w:t>Gällande svenska regler och effekter på dessa utifrån kommissionens ursprungliga förslag</w:t>
      </w:r>
    </w:p>
    <w:p w:rsidR="005E412C" w:rsidRPr="00974AB6" w:rsidRDefault="005E412C" w:rsidP="005E412C">
      <w:pPr>
        <w:pStyle w:val="Rubrik4"/>
      </w:pPr>
      <w:r w:rsidRPr="00974AB6">
        <w:t>Artikel 8  (mammaledighet)</w:t>
      </w:r>
    </w:p>
    <w:p w:rsidR="005E412C" w:rsidRPr="00974AB6" w:rsidRDefault="005E412C" w:rsidP="005E412C">
      <w:r w:rsidRPr="00974AB6">
        <w:t>Enligt 4 § föräldraledighetslagen (1995:584), har en kvinnlig arbetst</w:t>
      </w:r>
      <w:r w:rsidRPr="00974AB6">
        <w:t>a</w:t>
      </w:r>
      <w:r w:rsidRPr="00974AB6">
        <w:t>gare rätt till hel ledighet i samband med sitt barns födelse (mammaledighet) under en sammanhängande tid av minst sju veckor före den beräknade tidpunkten för förlos</w:t>
      </w:r>
      <w:r w:rsidRPr="00974AB6">
        <w:t>s</w:t>
      </w:r>
      <w:r w:rsidRPr="00974AB6">
        <w:t>ningen och sju veckor efter förlossningen. Om hon inte är ledig på annan grund ska två veckor av denna mammaledighet vara obligat</w:t>
      </w:r>
      <w:r w:rsidRPr="00974AB6">
        <w:t>o</w:t>
      </w:r>
      <w:r w:rsidRPr="00974AB6">
        <w:t>riska under tiden före eller efter förlossningen.</w:t>
      </w:r>
    </w:p>
    <w:p w:rsidR="005E412C" w:rsidRPr="00974AB6" w:rsidRDefault="005E412C" w:rsidP="005E412C"/>
    <w:p w:rsidR="005E412C" w:rsidRPr="00974AB6" w:rsidRDefault="005E412C" w:rsidP="005E412C">
      <w:r w:rsidRPr="00974AB6">
        <w:t>Förslaget innebär att gällande svenska regler måste ändras.</w:t>
      </w:r>
    </w:p>
    <w:p w:rsidR="005E412C" w:rsidRPr="00974AB6" w:rsidRDefault="005E412C" w:rsidP="005E412C">
      <w:pPr>
        <w:pStyle w:val="Rubrik4"/>
        <w:rPr>
          <w:i w:val="0"/>
        </w:rPr>
      </w:pPr>
      <w:r w:rsidRPr="00974AB6">
        <w:rPr>
          <w:i w:val="0"/>
        </w:rPr>
        <w:t>Artikel 10  (förbud mot uppsägning)</w:t>
      </w:r>
    </w:p>
    <w:p w:rsidR="005E412C" w:rsidRPr="00974AB6" w:rsidRDefault="005E412C" w:rsidP="005E412C">
      <w:r w:rsidRPr="00974AB6">
        <w:t xml:space="preserve">Av </w:t>
      </w:r>
      <w:r w:rsidR="002C22CC" w:rsidRPr="00974AB6">
        <w:t xml:space="preserve">16 och </w:t>
      </w:r>
      <w:r w:rsidRPr="00974AB6">
        <w:t>17 §</w:t>
      </w:r>
      <w:r w:rsidR="002C22CC" w:rsidRPr="00974AB6">
        <w:t>§</w:t>
      </w:r>
      <w:r w:rsidRPr="00974AB6">
        <w:t xml:space="preserve"> föräldraledighetslagen framgår att uppsägning eller avskedande som har samband med föräldraledighet är förbjuden. Om det ändå sker ska up</w:t>
      </w:r>
      <w:r w:rsidRPr="00974AB6">
        <w:t>p</w:t>
      </w:r>
      <w:r w:rsidRPr="00974AB6">
        <w:t>sägningen eller avskedandet ogiltigförklaras, om arbetstagaren begär det. Därtill finns regler om skydd mot uppsägning i  lagen (1982:80) om anställningsskydd och diskrimin</w:t>
      </w:r>
      <w:r w:rsidRPr="00974AB6">
        <w:t>e</w:t>
      </w:r>
      <w:r w:rsidRPr="00974AB6">
        <w:t xml:space="preserve">ringslagen (2008:567). </w:t>
      </w:r>
    </w:p>
    <w:p w:rsidR="005E412C" w:rsidRPr="00974AB6" w:rsidRDefault="005E412C" w:rsidP="005E412C"/>
    <w:p w:rsidR="005E412C" w:rsidRPr="00974AB6" w:rsidRDefault="005E412C" w:rsidP="005E412C">
      <w:r w:rsidRPr="00974AB6">
        <w:t xml:space="preserve">Förslaget bör inte ha någon effekt på gällande svenska regler när det gäller förbud mot uppsägning. Förslaget om förbud mot förberedelse för uppsägning innebär dock att ändringar kan behöva övervägas. </w:t>
      </w:r>
    </w:p>
    <w:p w:rsidR="005E412C" w:rsidRPr="00974AB6" w:rsidRDefault="005E412C" w:rsidP="005E412C">
      <w:pPr>
        <w:pStyle w:val="Rubrik4"/>
      </w:pPr>
      <w:r w:rsidRPr="00974AB6">
        <w:t>Artikel  11 (arbetstagarnas rättigheter)</w:t>
      </w:r>
    </w:p>
    <w:p w:rsidR="005E412C" w:rsidRPr="00974AB6" w:rsidRDefault="005E412C" w:rsidP="005E412C">
      <w:r w:rsidRPr="00974AB6">
        <w:t>Enligt 16 § föräldraledighetslagen får en arbetsgivare inte missgynna en arbetstagare av skäl som har samband med föräldraledighet när denne beslutar om t.ex. befordran, tillämpar löne- eller andra anstäl</w:t>
      </w:r>
      <w:r w:rsidRPr="00974AB6">
        <w:t>l</w:t>
      </w:r>
      <w:r w:rsidRPr="00974AB6">
        <w:t>ningsvillkor eller säger upp, avskedar, permitterar eller vidtar annan ingr</w:t>
      </w:r>
      <w:r w:rsidRPr="00974AB6">
        <w:t>i</w:t>
      </w:r>
      <w:r w:rsidRPr="00974AB6">
        <w:t>pande åtgärd mot en arbetstagare. Förbudet gäller inte om olika villkor eller olika b</w:t>
      </w:r>
      <w:r w:rsidRPr="00974AB6">
        <w:t>e</w:t>
      </w:r>
      <w:r w:rsidRPr="00974AB6">
        <w:t xml:space="preserve">handling är en nödvändig följd av ledigheten. </w:t>
      </w:r>
    </w:p>
    <w:p w:rsidR="005E412C" w:rsidRPr="00974AB6" w:rsidRDefault="005E412C" w:rsidP="005E412C"/>
    <w:p w:rsidR="005E412C" w:rsidRPr="00974AB6" w:rsidRDefault="005E412C" w:rsidP="005E412C">
      <w:r w:rsidRPr="00974AB6">
        <w:t>Förslagets regler om rätt att begära ändring av arbetsmönster kan innebära att gällande regler måste ändras.</w:t>
      </w:r>
    </w:p>
    <w:p w:rsidR="005E412C" w:rsidRPr="00974AB6" w:rsidRDefault="005E412C" w:rsidP="005E412C">
      <w:pPr>
        <w:pStyle w:val="RKrubrik"/>
      </w:pPr>
      <w:r w:rsidRPr="00974AB6">
        <w:t>Ekonomiska konsekvenser utifrån kommissionens ursprungliga förslag</w:t>
      </w:r>
    </w:p>
    <w:p w:rsidR="005E412C" w:rsidRPr="00974AB6" w:rsidRDefault="005E412C" w:rsidP="005E412C">
      <w:r w:rsidRPr="00974AB6">
        <w:t>Kommissionen anser att förslaget inte påverkar gemenskapens budget. Bedömningen är att den svenska statsbudgeten inte kommer att påve</w:t>
      </w:r>
      <w:r w:rsidRPr="00974AB6">
        <w:t>r</w:t>
      </w:r>
      <w:r w:rsidRPr="00974AB6">
        <w:t>kas av kommissionens ändringsförslag. I kommissionens konsekvensanalys anförs bl.a. att kostn</w:t>
      </w:r>
      <w:r w:rsidRPr="00974AB6">
        <w:t>a</w:t>
      </w:r>
      <w:r w:rsidRPr="00974AB6">
        <w:t>den för förslaget uppkommer på grund av den förlängda ledigh</w:t>
      </w:r>
      <w:r w:rsidRPr="00974AB6">
        <w:t>e</w:t>
      </w:r>
      <w:r w:rsidRPr="00974AB6">
        <w:t>ten och höjda ersättningen i de medlemsstater där ändringar behöver införas, och kos</w:t>
      </w:r>
      <w:r w:rsidRPr="00974AB6">
        <w:t>t</w:t>
      </w:r>
      <w:r w:rsidRPr="00974AB6">
        <w:t>nader för att ersätta den frånvarande arbetstagaren. För att undvika att dessa kostnader på ett orimligt sätt tynger särskilt mindre företag, får medlemsstaterna möjlighet att fastställa ett tak för ersättningen under mammaledigheten. Medlemsstaterna kan också, precis som nu, fritt fastställa den del av ersättningen som finansi</w:t>
      </w:r>
      <w:r w:rsidRPr="00974AB6">
        <w:t>e</w:t>
      </w:r>
      <w:r w:rsidRPr="00974AB6">
        <w:t>ras av staten.</w:t>
      </w:r>
    </w:p>
    <w:p w:rsidR="006E502E" w:rsidRPr="00974AB6" w:rsidRDefault="006E502E" w:rsidP="006E502E">
      <w:pPr>
        <w:pStyle w:val="RKrubrik"/>
      </w:pPr>
      <w:r w:rsidRPr="00974AB6">
        <w:t>Konsekvenser av Europaparlamentets förslag</w:t>
      </w:r>
    </w:p>
    <w:p w:rsidR="005E412C" w:rsidRPr="00974AB6" w:rsidRDefault="005E412C" w:rsidP="005E412C">
      <w:r w:rsidRPr="00974AB6">
        <w:t xml:space="preserve">Europaparlamentets förslag om ersättning motsvarande hela lönen under 20 veckors mammaledighet och under två veckors pappaledighet skulle </w:t>
      </w:r>
      <w:r w:rsidR="006E502E" w:rsidRPr="00974AB6">
        <w:t xml:space="preserve">kräva förändringar av nuvarande regelverk och </w:t>
      </w:r>
      <w:r w:rsidRPr="00974AB6">
        <w:t xml:space="preserve">väsentligen öka kostnaderna för föräldraförsäkringen i Sverige. </w:t>
      </w:r>
    </w:p>
    <w:p w:rsidR="00263D78" w:rsidRPr="00974AB6" w:rsidRDefault="00263D78">
      <w:pPr>
        <w:pStyle w:val="RKnormal"/>
      </w:pPr>
    </w:p>
    <w:p w:rsidR="00263D78" w:rsidRPr="00974AB6" w:rsidRDefault="00263D78">
      <w:pPr>
        <w:pStyle w:val="RKnormal"/>
        <w:rPr>
          <w:i/>
          <w:iCs/>
        </w:rPr>
      </w:pPr>
    </w:p>
    <w:p w:rsidR="00263D78" w:rsidRPr="00974AB6" w:rsidRDefault="00263D78">
      <w:pPr>
        <w:pStyle w:val="RKnormal"/>
        <w:ind w:left="-1134"/>
      </w:pPr>
    </w:p>
    <w:p w:rsidR="006E4E11" w:rsidRPr="00974AB6" w:rsidRDefault="006E4E11">
      <w:pPr>
        <w:pStyle w:val="RKrubrik"/>
        <w:spacing w:before="0" w:after="0"/>
      </w:pPr>
    </w:p>
    <w:p w:rsidR="006E4E11" w:rsidRPr="00974AB6" w:rsidRDefault="006E4E11">
      <w:pPr>
        <w:pStyle w:val="RKnormal"/>
      </w:pPr>
    </w:p>
    <w:p w:rsidR="00263D78" w:rsidRPr="00974AB6" w:rsidRDefault="00263D78">
      <w:pPr>
        <w:pStyle w:val="RKnormal"/>
      </w:pPr>
    </w:p>
    <w:sectPr w:rsidR="00263D78" w:rsidRPr="00974AB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4796" w:rsidRPr="00974AB6" w:rsidRDefault="00C94796">
      <w:r w:rsidRPr="00974AB6">
        <w:separator/>
      </w:r>
    </w:p>
  </w:endnote>
  <w:endnote w:type="continuationSeparator" w:id="0">
    <w:p w:rsidR="00C94796" w:rsidRPr="00974AB6" w:rsidRDefault="00C94796">
      <w:r w:rsidRPr="00974A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4796" w:rsidRPr="00974AB6" w:rsidRDefault="00C94796">
      <w:r w:rsidRPr="00974AB6">
        <w:separator/>
      </w:r>
    </w:p>
  </w:footnote>
  <w:footnote w:type="continuationSeparator" w:id="0">
    <w:p w:rsidR="00C94796" w:rsidRPr="00974AB6" w:rsidRDefault="00C94796">
      <w:r w:rsidRPr="00974A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1C5" w:rsidRPr="00974AB6" w:rsidRDefault="00D611C5">
    <w:pPr>
      <w:pStyle w:val="Sidhuvud"/>
      <w:framePr w:wrap="around" w:vAnchor="text" w:hAnchor="margin" w:xAlign="right" w:y="1"/>
      <w:rPr>
        <w:rStyle w:val="Sidnummer"/>
      </w:rPr>
    </w:pPr>
    <w:r w:rsidRPr="00974AB6">
      <w:rPr>
        <w:rStyle w:val="Sidnummer"/>
      </w:rPr>
      <w:fldChar w:fldCharType="begin" w:fldLock="1"/>
    </w:r>
    <w:r w:rsidRPr="00974AB6">
      <w:rPr>
        <w:rStyle w:val="Sidnummer"/>
      </w:rPr>
      <w:instrText xml:space="preserve">PAGE  </w:instrText>
    </w:r>
    <w:r w:rsidRPr="00974AB6">
      <w:rPr>
        <w:rStyle w:val="Sidnummer"/>
      </w:rPr>
      <w:fldChar w:fldCharType="separate"/>
    </w:r>
    <w:r w:rsidR="00DC76E8" w:rsidRPr="00974AB6">
      <w:rPr>
        <w:rStyle w:val="Sidnummer"/>
      </w:rPr>
      <w:t>4</w:t>
    </w:r>
    <w:r w:rsidRPr="00974AB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611C5" w:rsidRPr="00974AB6">
      <w:tblPrEx>
        <w:tblCellMar>
          <w:top w:w="0" w:type="dxa"/>
          <w:bottom w:w="0" w:type="dxa"/>
        </w:tblCellMar>
      </w:tblPrEx>
      <w:trPr>
        <w:cantSplit/>
      </w:trPr>
      <w:tc>
        <w:tcPr>
          <w:tcW w:w="3119" w:type="dxa"/>
        </w:tcPr>
        <w:p w:rsidR="00D611C5" w:rsidRPr="00974AB6" w:rsidRDefault="00D611C5">
          <w:pPr>
            <w:pStyle w:val="Sidhuvud"/>
            <w:spacing w:line="200" w:lineRule="atLeast"/>
            <w:ind w:right="357"/>
            <w:rPr>
              <w:rFonts w:ascii="TradeGothic" w:hAnsi="TradeGothic"/>
              <w:b/>
              <w:bCs/>
              <w:sz w:val="16"/>
            </w:rPr>
          </w:pPr>
        </w:p>
      </w:tc>
      <w:tc>
        <w:tcPr>
          <w:tcW w:w="4111" w:type="dxa"/>
          <w:tcMar>
            <w:left w:w="567" w:type="dxa"/>
          </w:tcMar>
        </w:tcPr>
        <w:p w:rsidR="00D611C5" w:rsidRPr="00974AB6" w:rsidRDefault="00D611C5">
          <w:pPr>
            <w:pStyle w:val="Sidhuvud"/>
            <w:ind w:right="360"/>
          </w:pPr>
        </w:p>
      </w:tc>
      <w:tc>
        <w:tcPr>
          <w:tcW w:w="1525" w:type="dxa"/>
        </w:tcPr>
        <w:p w:rsidR="00D611C5" w:rsidRPr="00974AB6" w:rsidRDefault="00D611C5">
          <w:pPr>
            <w:pStyle w:val="Sidhuvud"/>
            <w:ind w:right="360"/>
          </w:pPr>
        </w:p>
      </w:tc>
    </w:tr>
  </w:tbl>
  <w:p w:rsidR="00D611C5" w:rsidRPr="00974AB6" w:rsidRDefault="00D611C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1C5" w:rsidRPr="00974AB6" w:rsidRDefault="00D611C5">
    <w:pPr>
      <w:pStyle w:val="Sidhuvud"/>
      <w:framePr w:wrap="around" w:vAnchor="text" w:hAnchor="margin" w:xAlign="right" w:y="1"/>
      <w:rPr>
        <w:rStyle w:val="Sidnummer"/>
      </w:rPr>
    </w:pPr>
    <w:r w:rsidRPr="00974AB6">
      <w:rPr>
        <w:rStyle w:val="Sidnummer"/>
      </w:rPr>
      <w:fldChar w:fldCharType="begin" w:fldLock="1"/>
    </w:r>
    <w:r w:rsidRPr="00974AB6">
      <w:rPr>
        <w:rStyle w:val="Sidnummer"/>
      </w:rPr>
      <w:instrText xml:space="preserve">PAGE  </w:instrText>
    </w:r>
    <w:r w:rsidRPr="00974AB6">
      <w:rPr>
        <w:rStyle w:val="Sidnummer"/>
      </w:rPr>
      <w:fldChar w:fldCharType="separate"/>
    </w:r>
    <w:r w:rsidR="00DC76E8" w:rsidRPr="00974AB6">
      <w:rPr>
        <w:rStyle w:val="Sidnummer"/>
      </w:rPr>
      <w:t>5</w:t>
    </w:r>
    <w:r w:rsidRPr="00974AB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611C5" w:rsidRPr="00974AB6">
      <w:tblPrEx>
        <w:tblCellMar>
          <w:top w:w="0" w:type="dxa"/>
          <w:bottom w:w="0" w:type="dxa"/>
        </w:tblCellMar>
      </w:tblPrEx>
      <w:trPr>
        <w:cantSplit/>
      </w:trPr>
      <w:tc>
        <w:tcPr>
          <w:tcW w:w="3119" w:type="dxa"/>
        </w:tcPr>
        <w:p w:rsidR="00D611C5" w:rsidRPr="00974AB6" w:rsidRDefault="00D611C5">
          <w:pPr>
            <w:pStyle w:val="Sidhuvud"/>
            <w:spacing w:line="200" w:lineRule="atLeast"/>
            <w:ind w:right="357"/>
            <w:rPr>
              <w:rFonts w:ascii="TradeGothic" w:hAnsi="TradeGothic"/>
              <w:b/>
              <w:bCs/>
              <w:sz w:val="16"/>
            </w:rPr>
          </w:pPr>
        </w:p>
      </w:tc>
      <w:tc>
        <w:tcPr>
          <w:tcW w:w="4111" w:type="dxa"/>
          <w:tcMar>
            <w:left w:w="567" w:type="dxa"/>
          </w:tcMar>
        </w:tcPr>
        <w:p w:rsidR="00D611C5" w:rsidRPr="00974AB6" w:rsidRDefault="00D611C5">
          <w:pPr>
            <w:pStyle w:val="Sidhuvud"/>
            <w:ind w:right="360"/>
          </w:pPr>
        </w:p>
      </w:tc>
      <w:tc>
        <w:tcPr>
          <w:tcW w:w="1525" w:type="dxa"/>
        </w:tcPr>
        <w:p w:rsidR="00D611C5" w:rsidRPr="00974AB6" w:rsidRDefault="00D611C5">
          <w:pPr>
            <w:pStyle w:val="Sidhuvud"/>
            <w:ind w:right="360"/>
          </w:pPr>
        </w:p>
      </w:tc>
    </w:tr>
  </w:tbl>
  <w:p w:rsidR="00D611C5" w:rsidRPr="00974AB6" w:rsidRDefault="00D611C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1C5" w:rsidRPr="00974AB6" w:rsidRDefault="00974AB6">
    <w:pPr>
      <w:framePr w:w="2948" w:h="1321" w:hRule="exact" w:wrap="notBeside" w:vAnchor="page" w:hAnchor="page" w:x="1362" w:y="653"/>
    </w:pPr>
    <w:r w:rsidRPr="00974AB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611C5" w:rsidRPr="00974AB6" w:rsidRDefault="00D611C5">
    <w:pPr>
      <w:pStyle w:val="RKrubrik"/>
      <w:keepNext w:val="0"/>
      <w:tabs>
        <w:tab w:val="clear" w:pos="1134"/>
        <w:tab w:val="clear" w:pos="2835"/>
      </w:tabs>
      <w:spacing w:before="0" w:after="0" w:line="320" w:lineRule="atLeast"/>
      <w:rPr>
        <w:bCs/>
      </w:rPr>
    </w:pPr>
  </w:p>
  <w:p w:rsidR="00D611C5" w:rsidRPr="00974AB6" w:rsidRDefault="00D611C5">
    <w:pPr>
      <w:rPr>
        <w:rFonts w:ascii="TradeGothic" w:hAnsi="TradeGothic"/>
        <w:b/>
        <w:bCs/>
        <w:spacing w:val="12"/>
        <w:sz w:val="22"/>
      </w:rPr>
    </w:pPr>
  </w:p>
  <w:p w:rsidR="00D611C5" w:rsidRPr="00974AB6" w:rsidRDefault="00D611C5">
    <w:pPr>
      <w:pStyle w:val="RKrubrik"/>
      <w:keepNext w:val="0"/>
      <w:tabs>
        <w:tab w:val="clear" w:pos="1134"/>
        <w:tab w:val="clear" w:pos="2835"/>
      </w:tabs>
      <w:spacing w:before="0" w:after="0" w:line="320" w:lineRule="atLeast"/>
      <w:rPr>
        <w:bCs/>
      </w:rPr>
    </w:pPr>
  </w:p>
  <w:p w:rsidR="00D611C5" w:rsidRPr="00974AB6" w:rsidRDefault="00D611C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E4B50"/>
    <w:multiLevelType w:val="hybridMultilevel"/>
    <w:tmpl w:val="DDC8C8A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311642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263D78"/>
    <w:rsid w:val="00024C88"/>
    <w:rsid w:val="000976AE"/>
    <w:rsid w:val="000F73FC"/>
    <w:rsid w:val="00150384"/>
    <w:rsid w:val="00154C73"/>
    <w:rsid w:val="00174D0D"/>
    <w:rsid w:val="001805B7"/>
    <w:rsid w:val="00211A33"/>
    <w:rsid w:val="00222D5A"/>
    <w:rsid w:val="00263D78"/>
    <w:rsid w:val="002C22CC"/>
    <w:rsid w:val="004A328D"/>
    <w:rsid w:val="004F04FF"/>
    <w:rsid w:val="00533278"/>
    <w:rsid w:val="00580BA4"/>
    <w:rsid w:val="005857EE"/>
    <w:rsid w:val="005E412C"/>
    <w:rsid w:val="00615953"/>
    <w:rsid w:val="00642E15"/>
    <w:rsid w:val="00696ED4"/>
    <w:rsid w:val="006D7305"/>
    <w:rsid w:val="006E4E11"/>
    <w:rsid w:val="006E502E"/>
    <w:rsid w:val="007242A3"/>
    <w:rsid w:val="007E10F6"/>
    <w:rsid w:val="00807596"/>
    <w:rsid w:val="00974AB6"/>
    <w:rsid w:val="00A17009"/>
    <w:rsid w:val="00A42385"/>
    <w:rsid w:val="00A66D77"/>
    <w:rsid w:val="00AD67AB"/>
    <w:rsid w:val="00C45EF1"/>
    <w:rsid w:val="00C94796"/>
    <w:rsid w:val="00CA3640"/>
    <w:rsid w:val="00D2385F"/>
    <w:rsid w:val="00D611C5"/>
    <w:rsid w:val="00D92084"/>
    <w:rsid w:val="00DC76E8"/>
    <w:rsid w:val="00E053B1"/>
    <w:rsid w:val="00E609AD"/>
    <w:rsid w:val="00EA4F20"/>
    <w:rsid w:val="00EC25F9"/>
    <w:rsid w:val="00EE3A7F"/>
    <w:rsid w:val="00F047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872A6F-45F4-4F8B-8B21-04887CDC5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A17009"/>
    <w:rPr>
      <w:rFonts w:ascii="OrigGarmnd BT" w:hAnsi="OrigGarmnd BT"/>
      <w:sz w:val="24"/>
      <w:lang w:val="sv-SE" w:eastAsia="en-US" w:bidi="ar-SA"/>
    </w:rPr>
  </w:style>
  <w:style w:type="paragraph" w:styleId="Ballongtext">
    <w:name w:val="Balloon Text"/>
    <w:basedOn w:val="Normal"/>
    <w:semiHidden/>
    <w:rsid w:val="00DC76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1487</Words>
  <Characters>9149</Characters>
  <Application>Microsoft Office Word</Application>
  <DocSecurity>4</DocSecurity>
  <Lines>212</Lines>
  <Paragraphs>57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2011-11-21T16:26:00Z</cp:lastPrinted>
  <dcterms:created xsi:type="dcterms:W3CDTF">2025-12-17T21:38:00Z</dcterms:created>
  <dcterms:modified xsi:type="dcterms:W3CDTF">2025-12-17T21:38:00Z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Arbetsmarknadsdepartementet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