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9"/>
        <w:gridCol w:w="1758"/>
        <w:gridCol w:w="8"/>
      </w:tblGrid>
      <w:tr w:rsidR="00000000" w:rsidRPr="00C65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66" w:type="dxa"/>
          <w:cantSplit/>
          <w:trHeight w:val="1320"/>
        </w:trPr>
        <w:tc>
          <w:tcPr>
            <w:tcW w:w="5889" w:type="dxa"/>
          </w:tcPr>
          <w:p w:rsidR="007C1A27" w:rsidRPr="00C657D6" w:rsidRDefault="007C1A27">
            <w:pPr>
              <w:pStyle w:val="HuvudRubrik"/>
            </w:pPr>
            <w:r w:rsidRPr="00C657D6">
              <w:t>Regeringskansliet</w:t>
            </w:r>
          </w:p>
          <w:p w:rsidR="007C1A27" w:rsidRPr="00C657D6" w:rsidRDefault="007C1A27">
            <w:pPr>
              <w:pStyle w:val="HuvudRubrik"/>
            </w:pPr>
            <w:r w:rsidRPr="00C657D6">
              <w:t>Faktapromemoria  2006/07: FPM25</w:t>
            </w:r>
          </w:p>
        </w:tc>
      </w:tr>
      <w:tr w:rsidR="00000000" w:rsidRPr="00C65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66" w:type="dxa"/>
          <w:cantSplit/>
          <w:trHeight w:val="240"/>
        </w:trPr>
        <w:tc>
          <w:tcPr>
            <w:tcW w:w="5889" w:type="dxa"/>
          </w:tcPr>
          <w:p w:rsidR="007C1A27" w:rsidRPr="00C657D6" w:rsidRDefault="007C1A27">
            <w:pPr>
              <w:pStyle w:val="HuvudRubrik"/>
              <w:rPr>
                <w:sz w:val="28"/>
              </w:rPr>
            </w:pPr>
            <w:r w:rsidRPr="00C657D6">
              <w:t>Med</w:t>
            </w:r>
            <w:r w:rsidRPr="00C657D6">
              <w:t>delande om Europa i världen</w:t>
            </w:r>
          </w:p>
        </w:tc>
      </w:tr>
      <w:tr w:rsidR="00353081" w:rsidRPr="00C65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285"/>
        </w:trPr>
        <w:tc>
          <w:tcPr>
            <w:tcW w:w="7647" w:type="dxa"/>
            <w:gridSpan w:val="2"/>
          </w:tcPr>
          <w:p w:rsidR="00353081" w:rsidRPr="00C657D6" w:rsidRDefault="003A020A">
            <w:pPr>
              <w:pStyle w:val="Departement"/>
              <w:rPr>
                <w:sz w:val="28"/>
              </w:rPr>
            </w:pPr>
            <w:r w:rsidRPr="00C657D6">
              <w:t>Utrikesdepartementet</w:t>
            </w:r>
          </w:p>
        </w:tc>
      </w:tr>
      <w:tr w:rsidR="00353081" w:rsidRPr="00C65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240"/>
        </w:trPr>
        <w:tc>
          <w:tcPr>
            <w:tcW w:w="7647" w:type="dxa"/>
            <w:gridSpan w:val="2"/>
          </w:tcPr>
          <w:p w:rsidR="00353081" w:rsidRPr="00C657D6" w:rsidRDefault="00F74D95">
            <w:pPr>
              <w:pStyle w:val="Dokumentdatum"/>
            </w:pPr>
            <w:r w:rsidRPr="00C657D6">
              <w:t>2007</w:t>
            </w:r>
            <w:r w:rsidR="00E649C9" w:rsidRPr="00C657D6">
              <w:t>-</w:t>
            </w:r>
            <w:r w:rsidR="002F5425" w:rsidRPr="00C657D6">
              <w:t>01-</w:t>
            </w:r>
            <w:r w:rsidRPr="00C657D6">
              <w:t>11</w:t>
            </w:r>
          </w:p>
        </w:tc>
      </w:tr>
      <w:tr w:rsidR="00353081" w:rsidRPr="00C65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726"/>
        </w:trPr>
        <w:tc>
          <w:tcPr>
            <w:tcW w:w="7647" w:type="dxa"/>
            <w:gridSpan w:val="2"/>
            <w:vAlign w:val="bottom"/>
          </w:tcPr>
          <w:p w:rsidR="00353081" w:rsidRPr="00C657D6" w:rsidRDefault="00353081">
            <w:pPr>
              <w:pStyle w:val="Dokumentbeteckning"/>
            </w:pPr>
            <w:r w:rsidRPr="00C657D6">
              <w:t>Dokumentbeteckning</w:t>
            </w:r>
          </w:p>
        </w:tc>
      </w:tr>
      <w:tr w:rsidR="00DA44B7" w:rsidRPr="00C65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7655" w:type="dxa"/>
            <w:gridSpan w:val="3"/>
          </w:tcPr>
          <w:p w:rsidR="00DA44B7" w:rsidRPr="00C657D6" w:rsidRDefault="003A020A" w:rsidP="003A020A">
            <w:bookmarkStart w:id="0" w:name="KomNr"/>
            <w:bookmarkEnd w:id="0"/>
            <w:r w:rsidRPr="00C657D6">
              <w:t>COM(2006) 278</w:t>
            </w:r>
          </w:p>
        </w:tc>
      </w:tr>
      <w:tr w:rsidR="003A020A" w:rsidRPr="00C65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7655" w:type="dxa"/>
            <w:gridSpan w:val="3"/>
          </w:tcPr>
          <w:p w:rsidR="003A020A" w:rsidRPr="00C657D6" w:rsidRDefault="003A020A" w:rsidP="003A020A">
            <w:pPr>
              <w:pStyle w:val="Dokumentbeteckning-titel"/>
            </w:pPr>
            <w:r w:rsidRPr="00C657D6">
              <w:t>Europe in the World – Some Practical Proposals for Greater Coherence, Effectiveness and Visibility</w:t>
            </w:r>
          </w:p>
        </w:tc>
      </w:tr>
    </w:tbl>
    <w:p w:rsidR="00353081" w:rsidRPr="00C657D6" w:rsidRDefault="00353081">
      <w:pPr>
        <w:pStyle w:val="Rubrik1"/>
        <w:numPr>
          <w:ilvl w:val="0"/>
          <w:numId w:val="0"/>
        </w:numPr>
      </w:pPr>
      <w:r w:rsidRPr="00C657D6">
        <w:t>Sammanfattning</w:t>
      </w:r>
    </w:p>
    <w:p w:rsidR="00535873" w:rsidRPr="00C657D6" w:rsidRDefault="00E649C9" w:rsidP="00F41A9C">
      <w:r w:rsidRPr="00C657D6">
        <w:t>Kommissionens rapport, ”Europe in the world” innehåller konkreta förslag på reformer</w:t>
      </w:r>
      <w:r w:rsidR="00473C23" w:rsidRPr="00C657D6">
        <w:t xml:space="preserve"> i syfte att förbättra effektiviteten och samstämmigheten i EU:s externa politik. T</w:t>
      </w:r>
      <w:r w:rsidRPr="00C657D6">
        <w:t>onvikt</w:t>
      </w:r>
      <w:r w:rsidR="00473C23" w:rsidRPr="00C657D6">
        <w:t>en ligger</w:t>
      </w:r>
      <w:r w:rsidRPr="00C657D6">
        <w:t xml:space="preserve"> på förän</w:t>
      </w:r>
      <w:r w:rsidR="005F0B1A" w:rsidRPr="00C657D6">
        <w:t xml:space="preserve">dringar inom kommissionens organisation och ansvarsområde, men meddelandet innefattar även förslag som berör rådssekretariatet och medlemsstaterna. </w:t>
      </w:r>
    </w:p>
    <w:p w:rsidR="00E649C9" w:rsidRPr="00C657D6" w:rsidRDefault="00C36B69" w:rsidP="00F41A9C">
      <w:r w:rsidRPr="00C657D6">
        <w:t>Sverige välkomnar kommissionens meddelande och ställer sig i huvudsak positivt till de föreslagna reformerna.</w:t>
      </w:r>
    </w:p>
    <w:p w:rsidR="00DA44B7" w:rsidRPr="00C657D6" w:rsidRDefault="00E649C9" w:rsidP="00DA44B7">
      <w:pPr>
        <w:pStyle w:val="Rubrik1"/>
      </w:pPr>
      <w:r w:rsidRPr="00C657D6">
        <w:t xml:space="preserve">1. </w:t>
      </w:r>
      <w:r w:rsidR="00DA44B7" w:rsidRPr="00C657D6">
        <w:t>Förslaget</w:t>
      </w:r>
    </w:p>
    <w:p w:rsidR="00353081" w:rsidRPr="00C657D6" w:rsidRDefault="00353081">
      <w:pPr>
        <w:pStyle w:val="Rubrik2"/>
        <w:spacing w:line="240" w:lineRule="auto"/>
        <w:jc w:val="both"/>
      </w:pPr>
      <w:r w:rsidRPr="00C657D6">
        <w:t>Innehåll</w:t>
      </w:r>
    </w:p>
    <w:p w:rsidR="00E649C9" w:rsidRPr="00C657D6" w:rsidRDefault="008A7BB1" w:rsidP="00E649C9">
      <w:r w:rsidRPr="00C657D6">
        <w:t>Kommissionen</w:t>
      </w:r>
      <w:r w:rsidR="00E649C9" w:rsidRPr="00C657D6">
        <w:t xml:space="preserve">s papper </w:t>
      </w:r>
      <w:r w:rsidR="00CC0F0C" w:rsidRPr="00C657D6">
        <w:t>framhåller</w:t>
      </w:r>
      <w:r w:rsidR="00E649C9" w:rsidRPr="00C657D6">
        <w:t xml:space="preserve"> att EU:s medborgare förväntar sig att EU utnyttjar sitt internationella inflytande för att skydda och främja deras intressen. Lik</w:t>
      </w:r>
      <w:r w:rsidR="001A1F95" w:rsidRPr="00C657D6">
        <w:t xml:space="preserve">aså </w:t>
      </w:r>
      <w:r w:rsidR="00E649C9" w:rsidRPr="00C657D6">
        <w:t>förväntar sig EU:s internationella partners att Europa tar ett globalt ansvar. För att uppnå detta krävs det att EU mer effektivt utnyttjar sina utrikespolitiska instrument och tillgångar.</w:t>
      </w:r>
    </w:p>
    <w:p w:rsidR="008A7BB1" w:rsidRPr="00C657D6" w:rsidRDefault="00E649C9" w:rsidP="008A7BB1">
      <w:r w:rsidRPr="00C657D6">
        <w:t xml:space="preserve">En sådan förbättring kräver åtgärder även inom EU:s interna politikområden, då dessa får allt större genomslag i internationella relationer och spelar en allt viktigare roll i EU:s utrikespolitik. </w:t>
      </w:r>
    </w:p>
    <w:p w:rsidR="002149D9" w:rsidRPr="00C657D6" w:rsidRDefault="002149D9" w:rsidP="008A7BB1">
      <w:r w:rsidRPr="00C657D6">
        <w:t xml:space="preserve">Bland de konkreta åtgärder som </w:t>
      </w:r>
      <w:r w:rsidR="00E03971" w:rsidRPr="00C657D6">
        <w:t xml:space="preserve">förs </w:t>
      </w:r>
      <w:r w:rsidRPr="00C657D6">
        <w:t>fram kan nämnas:</w:t>
      </w:r>
    </w:p>
    <w:p w:rsidR="00473C23" w:rsidRPr="00C657D6" w:rsidRDefault="00E649C9" w:rsidP="00E649C9">
      <w:pPr>
        <w:numPr>
          <w:ilvl w:val="0"/>
          <w:numId w:val="8"/>
        </w:numPr>
      </w:pPr>
      <w:r w:rsidRPr="00C657D6">
        <w:t xml:space="preserve">Stärkt samordning </w:t>
      </w:r>
      <w:r w:rsidR="0097708B" w:rsidRPr="00C657D6">
        <w:t xml:space="preserve">mellan </w:t>
      </w:r>
      <w:r w:rsidRPr="00C657D6">
        <w:t>de kommissionärer som ansvarar för olika delar av EU:s externa relationer</w:t>
      </w:r>
    </w:p>
    <w:p w:rsidR="00473C23" w:rsidRPr="00C657D6" w:rsidRDefault="00E649C9" w:rsidP="00E649C9">
      <w:pPr>
        <w:numPr>
          <w:ilvl w:val="0"/>
          <w:numId w:val="8"/>
        </w:numPr>
      </w:pPr>
      <w:r w:rsidRPr="00C657D6">
        <w:lastRenderedPageBreak/>
        <w:t>Stär</w:t>
      </w:r>
      <w:r w:rsidR="0097708B" w:rsidRPr="00C657D6">
        <w:t>kt samordning med</w:t>
      </w:r>
      <w:r w:rsidRPr="00C657D6">
        <w:t xml:space="preserve"> ”interna” kommissionärer inkl interaktionen mellan extern och intern politik </w:t>
      </w:r>
    </w:p>
    <w:p w:rsidR="00473C23" w:rsidRPr="00C657D6" w:rsidRDefault="00E649C9" w:rsidP="00E649C9">
      <w:pPr>
        <w:numPr>
          <w:ilvl w:val="0"/>
          <w:numId w:val="8"/>
        </w:numPr>
      </w:pPr>
      <w:r w:rsidRPr="00C657D6">
        <w:t>Förbättrad rapportering och analytisk kapacitet</w:t>
      </w:r>
      <w:r w:rsidR="002149D9" w:rsidRPr="00C657D6">
        <w:t xml:space="preserve"> inom kommissionen</w:t>
      </w:r>
      <w:r w:rsidRPr="00C657D6">
        <w:t>, både i Brys</w:t>
      </w:r>
      <w:r w:rsidR="00473C23" w:rsidRPr="00C657D6">
        <w:t xml:space="preserve">sel och vid </w:t>
      </w:r>
      <w:r w:rsidR="002149D9" w:rsidRPr="00C657D6">
        <w:t>kommissionen</w:t>
      </w:r>
      <w:r w:rsidR="00473C23" w:rsidRPr="00C657D6">
        <w:t>s delegationer.</w:t>
      </w:r>
    </w:p>
    <w:p w:rsidR="002149D9" w:rsidRPr="00C657D6" w:rsidRDefault="00473C23" w:rsidP="002149D9">
      <w:pPr>
        <w:numPr>
          <w:ilvl w:val="0"/>
          <w:numId w:val="8"/>
        </w:numPr>
      </w:pPr>
      <w:r w:rsidRPr="00C657D6">
        <w:t>Cheferna för kommissionen</w:t>
      </w:r>
      <w:r w:rsidR="0097708B" w:rsidRPr="00C657D6">
        <w:t>s</w:t>
      </w:r>
      <w:r w:rsidRPr="00C657D6">
        <w:t xml:space="preserve"> delegationer i tredje land </w:t>
      </w:r>
      <w:r w:rsidR="00E649C9" w:rsidRPr="00C657D6">
        <w:t>inbjuds att delta i rådsarbetsgruppernas arbete.</w:t>
      </w:r>
    </w:p>
    <w:p w:rsidR="00473C23" w:rsidRPr="00C657D6" w:rsidRDefault="00E649C9" w:rsidP="002149D9">
      <w:pPr>
        <w:numPr>
          <w:ilvl w:val="0"/>
          <w:numId w:val="8"/>
        </w:numPr>
      </w:pPr>
      <w:r w:rsidRPr="00C657D6">
        <w:t>Informella samtal var sjätte månad mellan det inkommande ordförandeskapets regeringschef och utrikesminister, kommissionens ordförande och den höge representanten</w:t>
      </w:r>
      <w:r w:rsidR="00CC0F0C" w:rsidRPr="00C657D6">
        <w:t>,</w:t>
      </w:r>
      <w:r w:rsidRPr="00C657D6">
        <w:t xml:space="preserve"> </w:t>
      </w:r>
      <w:r w:rsidR="00247772" w:rsidRPr="00C657D6">
        <w:t xml:space="preserve">för att se över </w:t>
      </w:r>
      <w:r w:rsidRPr="00C657D6">
        <w:t>unionens externa agerande.</w:t>
      </w:r>
    </w:p>
    <w:p w:rsidR="002149D9" w:rsidRPr="00C657D6" w:rsidRDefault="00473C23" w:rsidP="002149D9">
      <w:pPr>
        <w:numPr>
          <w:ilvl w:val="0"/>
          <w:numId w:val="7"/>
        </w:numPr>
      </w:pPr>
      <w:r w:rsidRPr="00C657D6">
        <w:t>Gemensamma underlag från kommissionen och  rådssekretariatet</w:t>
      </w:r>
      <w:r w:rsidR="008F7127" w:rsidRPr="00C657D6">
        <w:t>.</w:t>
      </w:r>
    </w:p>
    <w:p w:rsidR="002149D9" w:rsidRPr="00C657D6" w:rsidRDefault="002149D9" w:rsidP="002149D9">
      <w:pPr>
        <w:numPr>
          <w:ilvl w:val="0"/>
          <w:numId w:val="7"/>
        </w:numPr>
      </w:pPr>
      <w:r w:rsidRPr="00C657D6">
        <w:t xml:space="preserve">Förbättrad koordinering </w:t>
      </w:r>
      <w:r w:rsidR="00247772" w:rsidRPr="00C657D6">
        <w:t xml:space="preserve">i </w:t>
      </w:r>
      <w:r w:rsidRPr="00C657D6">
        <w:t>frågor, av relevans för EU, som diskuteras i multilaterala organisationer.</w:t>
      </w:r>
    </w:p>
    <w:p w:rsidR="002149D9" w:rsidRPr="00C657D6" w:rsidRDefault="00E649C9" w:rsidP="00E649C9">
      <w:pPr>
        <w:numPr>
          <w:ilvl w:val="0"/>
          <w:numId w:val="10"/>
        </w:numPr>
      </w:pPr>
      <w:r w:rsidRPr="00C657D6">
        <w:t xml:space="preserve">Gemensamma beslut integreras i samtliga aktörers diplomatiska och </w:t>
      </w:r>
      <w:r w:rsidR="00247772" w:rsidRPr="00C657D6">
        <w:t xml:space="preserve">offentliga </w:t>
      </w:r>
      <w:r w:rsidRPr="00C657D6">
        <w:t>budskap</w:t>
      </w:r>
      <w:r w:rsidR="0097708B" w:rsidRPr="00C657D6">
        <w:t>.</w:t>
      </w:r>
    </w:p>
    <w:p w:rsidR="002149D9" w:rsidRPr="00C657D6" w:rsidRDefault="00E649C9" w:rsidP="00E649C9">
      <w:pPr>
        <w:numPr>
          <w:ilvl w:val="0"/>
          <w:numId w:val="10"/>
        </w:numPr>
      </w:pPr>
      <w:r w:rsidRPr="00C657D6">
        <w:t xml:space="preserve">Snabbare och mer flexibla finansiella procedurer och </w:t>
      </w:r>
      <w:r w:rsidR="00866496" w:rsidRPr="00C657D6">
        <w:t>upphandlingssystem</w:t>
      </w:r>
      <w:r w:rsidRPr="00C657D6">
        <w:t>.</w:t>
      </w:r>
    </w:p>
    <w:p w:rsidR="002149D9" w:rsidRPr="00C657D6" w:rsidRDefault="00E649C9" w:rsidP="00E649C9">
      <w:pPr>
        <w:numPr>
          <w:ilvl w:val="0"/>
          <w:numId w:val="10"/>
        </w:numPr>
      </w:pPr>
      <w:r w:rsidRPr="00C657D6">
        <w:t xml:space="preserve">Ett förbättrat program för personalutbyte mellan </w:t>
      </w:r>
      <w:r w:rsidR="002149D9" w:rsidRPr="00C657D6">
        <w:t xml:space="preserve">medlemsstaternas </w:t>
      </w:r>
      <w:r w:rsidRPr="00C657D6">
        <w:t>utrikesministerier och rådssekretariatet.</w:t>
      </w:r>
    </w:p>
    <w:p w:rsidR="002149D9" w:rsidRPr="00C657D6" w:rsidRDefault="002149D9" w:rsidP="00E649C9">
      <w:pPr>
        <w:numPr>
          <w:ilvl w:val="0"/>
          <w:numId w:val="10"/>
        </w:numPr>
      </w:pPr>
      <w:r w:rsidRPr="00C657D6">
        <w:t>Dubbelhattning av funktionen som chef för kommissionens delegationer och EU</w:t>
      </w:r>
      <w:r w:rsidR="00866496" w:rsidRPr="00C657D6">
        <w:t>:</w:t>
      </w:r>
      <w:r w:rsidRPr="00C657D6">
        <w:t>s särskilda representanter</w:t>
      </w:r>
      <w:r w:rsidR="0097708B" w:rsidRPr="00C657D6">
        <w:t>,</w:t>
      </w:r>
      <w:r w:rsidRPr="00C657D6">
        <w:t xml:space="preserve"> </w:t>
      </w:r>
      <w:r w:rsidR="00E649C9" w:rsidRPr="00C657D6">
        <w:t>där det</w:t>
      </w:r>
      <w:r w:rsidR="0097708B" w:rsidRPr="00C657D6">
        <w:t>ta</w:t>
      </w:r>
      <w:r w:rsidR="00E649C9" w:rsidRPr="00C657D6">
        <w:t xml:space="preserve"> är lämpligt.</w:t>
      </w:r>
    </w:p>
    <w:p w:rsidR="002149D9" w:rsidRPr="00C657D6" w:rsidRDefault="00E649C9" w:rsidP="00E649C9">
      <w:pPr>
        <w:numPr>
          <w:ilvl w:val="0"/>
          <w:numId w:val="10"/>
        </w:numPr>
      </w:pPr>
      <w:r w:rsidRPr="00C657D6">
        <w:t xml:space="preserve">Regelbundna kontakter mellan </w:t>
      </w:r>
      <w:r w:rsidR="002149D9" w:rsidRPr="00C657D6">
        <w:t xml:space="preserve">medlemsstaternas </w:t>
      </w:r>
      <w:r w:rsidRPr="00C657D6">
        <w:t>representanter i styrande organ för multilaterala institutioner och EU:s institutioner för att diskutera gemensamma frågor.</w:t>
      </w:r>
    </w:p>
    <w:p w:rsidR="00866496" w:rsidRPr="00C657D6" w:rsidRDefault="00866496" w:rsidP="00DA44B7">
      <w:pPr>
        <w:numPr>
          <w:ilvl w:val="0"/>
          <w:numId w:val="10"/>
        </w:numPr>
      </w:pPr>
      <w:r w:rsidRPr="00C657D6">
        <w:t xml:space="preserve">Utveckling av det konsulära samarbetet mellan medlemsstaterna, särskilt i krissituationer. </w:t>
      </w:r>
      <w:r w:rsidRPr="00C657D6">
        <w:tab/>
      </w:r>
      <w:r w:rsidR="008F7127" w:rsidRPr="00C657D6">
        <w:t>Utredning av möjlighete</w:t>
      </w:r>
      <w:r w:rsidRPr="00C657D6">
        <w:t>n för kommissionens delegationer i tredje land att spela en stödjande/kompletterande roll i detta.</w:t>
      </w:r>
    </w:p>
    <w:p w:rsidR="00E649C9" w:rsidRPr="00C657D6" w:rsidRDefault="00E649C9">
      <w:pPr>
        <w:numPr>
          <w:ilvl w:val="0"/>
          <w:numId w:val="10"/>
        </w:numPr>
      </w:pPr>
      <w:r w:rsidRPr="00C657D6">
        <w:t xml:space="preserve">Gemensamma offentliga uttalanden och </w:t>
      </w:r>
      <w:r w:rsidR="00866496" w:rsidRPr="00C657D6">
        <w:t xml:space="preserve">pressmeddelanden </w:t>
      </w:r>
      <w:r w:rsidRPr="00C657D6">
        <w:t xml:space="preserve">på områden där ansvaret är delat mellan </w:t>
      </w:r>
      <w:r w:rsidR="002149D9" w:rsidRPr="00C657D6">
        <w:t>kommissionen och rådet</w:t>
      </w:r>
      <w:r w:rsidR="008A7BB1" w:rsidRPr="00C657D6">
        <w:t>.</w:t>
      </w:r>
    </w:p>
    <w:p w:rsidR="00353081" w:rsidRPr="00C657D6" w:rsidRDefault="00353081">
      <w:pPr>
        <w:pStyle w:val="Rubrik2"/>
        <w:jc w:val="both"/>
      </w:pPr>
      <w:r w:rsidRPr="00C657D6">
        <w:t>Gällande svenska regler och förslagets effekt på dessa</w:t>
      </w:r>
    </w:p>
    <w:p w:rsidR="00353081" w:rsidRPr="00C657D6" w:rsidRDefault="00353081">
      <w:r w:rsidRPr="00C657D6">
        <w:t xml:space="preserve">Meddelandet i sig har inga effekter på svenska regler. </w:t>
      </w:r>
    </w:p>
    <w:p w:rsidR="00353081" w:rsidRPr="00C657D6" w:rsidRDefault="00353081">
      <w:pPr>
        <w:pStyle w:val="Rubrik2"/>
        <w:jc w:val="both"/>
      </w:pPr>
      <w:r w:rsidRPr="00C657D6">
        <w:t>Budgetära konsekvenser</w:t>
      </w:r>
    </w:p>
    <w:p w:rsidR="00353081" w:rsidRPr="00C657D6" w:rsidRDefault="00353081">
      <w:r w:rsidRPr="00C657D6">
        <w:t>Meddelandet har inga budgetära konsekvenser.</w:t>
      </w:r>
    </w:p>
    <w:p w:rsidR="00353081" w:rsidRPr="00C657D6" w:rsidRDefault="00353081">
      <w:pPr>
        <w:pStyle w:val="Rubrik1"/>
        <w:jc w:val="both"/>
      </w:pPr>
      <w:r w:rsidRPr="00C657D6">
        <w:t>Ståndpunkter</w:t>
      </w:r>
    </w:p>
    <w:p w:rsidR="00353081" w:rsidRPr="00C657D6" w:rsidRDefault="00353081">
      <w:pPr>
        <w:pStyle w:val="Rubrik2"/>
        <w:jc w:val="both"/>
      </w:pPr>
      <w:r w:rsidRPr="00C657D6">
        <w:t>Svensk ståndpunkt</w:t>
      </w:r>
    </w:p>
    <w:p w:rsidR="00787E32" w:rsidRPr="00C657D6" w:rsidRDefault="00787E32" w:rsidP="00787E32">
      <w:r w:rsidRPr="00C657D6">
        <w:t xml:space="preserve">Europas roll är avgörande för att hantera internationella utmaningar. Sverige vill se ett starkare Europa som träder fram som en fredens, frihetens och försoningens röst också i de delar av världen som präglas av krig och konflikter. </w:t>
      </w:r>
    </w:p>
    <w:p w:rsidR="0042537A" w:rsidRPr="00C657D6" w:rsidRDefault="00787E32" w:rsidP="00787E32">
      <w:r w:rsidRPr="00C657D6">
        <w:t xml:space="preserve">Sverige välkomnar </w:t>
      </w:r>
      <w:r w:rsidR="00791844" w:rsidRPr="00C657D6">
        <w:t xml:space="preserve">därmed </w:t>
      </w:r>
      <w:r w:rsidRPr="00C657D6">
        <w:t>praktiska reformer</w:t>
      </w:r>
      <w:r w:rsidR="002149D9" w:rsidRPr="00C657D6">
        <w:t xml:space="preserve"> mot ökad effektivitet och samstämmighet i EU</w:t>
      </w:r>
      <w:r w:rsidR="00F10281" w:rsidRPr="00C657D6">
        <w:t>:</w:t>
      </w:r>
      <w:r w:rsidR="008F7127" w:rsidRPr="00C657D6">
        <w:t>s externa agerande.</w:t>
      </w:r>
      <w:r w:rsidR="00C36B69" w:rsidRPr="00C657D6">
        <w:t xml:space="preserve"> </w:t>
      </w:r>
      <w:r w:rsidRPr="00C657D6">
        <w:t xml:space="preserve">Vi </w:t>
      </w:r>
      <w:r w:rsidR="00C36B69" w:rsidRPr="00C657D6">
        <w:t xml:space="preserve">instämmer </w:t>
      </w:r>
      <w:r w:rsidR="001E750B" w:rsidRPr="00C657D6">
        <w:t xml:space="preserve">i stora drag med </w:t>
      </w:r>
      <w:r w:rsidR="00C36B69" w:rsidRPr="00C657D6">
        <w:t xml:space="preserve">problembeskrivning i meddelandet. </w:t>
      </w:r>
      <w:r w:rsidR="001E750B" w:rsidRPr="00C657D6">
        <w:t>I huvudsak bör d</w:t>
      </w:r>
      <w:r w:rsidRPr="00C657D6">
        <w:t xml:space="preserve">e föreslagna </w:t>
      </w:r>
      <w:r w:rsidR="00C36B69" w:rsidRPr="00C657D6">
        <w:t>reformerna</w:t>
      </w:r>
      <w:r w:rsidRPr="00C657D6">
        <w:t xml:space="preserve"> </w:t>
      </w:r>
      <w:r w:rsidR="001E750B" w:rsidRPr="00C657D6">
        <w:t xml:space="preserve"> stödjas. </w:t>
      </w:r>
    </w:p>
    <w:p w:rsidR="00353081" w:rsidRPr="00C657D6" w:rsidRDefault="00353081">
      <w:pPr>
        <w:pStyle w:val="Rubrik2"/>
        <w:jc w:val="both"/>
      </w:pPr>
      <w:r w:rsidRPr="00C657D6">
        <w:t>Medlemsstaternas ståndpunkter</w:t>
      </w:r>
    </w:p>
    <w:p w:rsidR="00353081" w:rsidRPr="00C657D6" w:rsidRDefault="00791844" w:rsidP="00DA44B7">
      <w:r w:rsidRPr="00C657D6">
        <w:t>M</w:t>
      </w:r>
      <w:r w:rsidR="00F74D95" w:rsidRPr="00C657D6">
        <w:t>edlemsstaterna</w:t>
      </w:r>
      <w:r w:rsidRPr="00C657D6">
        <w:t xml:space="preserve"> välkomnar flertalet av de förslag som förs fram i kommissionens meddelande. </w:t>
      </w:r>
    </w:p>
    <w:p w:rsidR="00353081" w:rsidRPr="00C657D6" w:rsidRDefault="00353081">
      <w:pPr>
        <w:pStyle w:val="Rubrik2"/>
        <w:jc w:val="both"/>
      </w:pPr>
      <w:r w:rsidRPr="00C657D6">
        <w:t>Institutionernas ståndpunkter</w:t>
      </w:r>
    </w:p>
    <w:p w:rsidR="00791844" w:rsidRPr="00C657D6" w:rsidRDefault="00791844" w:rsidP="00520300">
      <w:r w:rsidRPr="00C657D6">
        <w:t>Europeiska rådet välkomnade rapporten vid sitt möte i juni 2006. Europaparlamentet välkomnar reformer syftande till att stärka EU som utrikespolitisk aktör.</w:t>
      </w:r>
    </w:p>
    <w:p w:rsidR="00353081" w:rsidRPr="00C657D6" w:rsidRDefault="00791844">
      <w:pPr>
        <w:pStyle w:val="Rubrik2"/>
        <w:jc w:val="both"/>
      </w:pPr>
      <w:r w:rsidRPr="00C657D6">
        <w:t>Remi</w:t>
      </w:r>
      <w:r w:rsidR="00520300" w:rsidRPr="00C657D6">
        <w:t>s</w:t>
      </w:r>
      <w:r w:rsidR="00F74D95" w:rsidRPr="00C657D6">
        <w:t>s</w:t>
      </w:r>
      <w:r w:rsidR="00520300" w:rsidRPr="00C657D6">
        <w:t>instansernas ståndpunkte</w:t>
      </w:r>
      <w:r w:rsidR="00D5044C" w:rsidRPr="00C657D6">
        <w:t>r</w:t>
      </w:r>
    </w:p>
    <w:p w:rsidR="00353081" w:rsidRPr="00C657D6" w:rsidRDefault="00353081">
      <w:r w:rsidRPr="00C657D6">
        <w:t>Meddelandet har inte gått ut på remiss.</w:t>
      </w:r>
    </w:p>
    <w:p w:rsidR="00353081" w:rsidRPr="00C657D6" w:rsidRDefault="00353081">
      <w:pPr>
        <w:pStyle w:val="Rubrik1"/>
        <w:jc w:val="both"/>
      </w:pPr>
      <w:r w:rsidRPr="00C657D6">
        <w:t>Övrigt</w:t>
      </w:r>
    </w:p>
    <w:p w:rsidR="00353081" w:rsidRPr="00C657D6" w:rsidRDefault="00353081">
      <w:pPr>
        <w:pStyle w:val="Rubrik2"/>
        <w:jc w:val="both"/>
      </w:pPr>
      <w:r w:rsidRPr="00C657D6">
        <w:t>Fortsatt behandling av ärendet</w:t>
      </w:r>
    </w:p>
    <w:p w:rsidR="00924786" w:rsidRPr="00C657D6" w:rsidRDefault="008F7127" w:rsidP="00924786">
      <w:r w:rsidRPr="00C657D6">
        <w:t xml:space="preserve">Kommissionen har inom ramen för sin egen organisation och verksamhet börjat genomföra flera av åtgärderna. </w:t>
      </w:r>
      <w:r w:rsidR="0042537A" w:rsidRPr="00C657D6">
        <w:t xml:space="preserve">I juli 2006 presenterade det finska ordförandeskapet en lista över åtgärder som man avsåg </w:t>
      </w:r>
      <w:r w:rsidR="00E03971" w:rsidRPr="00C657D6">
        <w:t xml:space="preserve">genomföra </w:t>
      </w:r>
      <w:r w:rsidR="0042537A" w:rsidRPr="00C657D6">
        <w:t>under sitt ordförandeskapet</w:t>
      </w:r>
      <w:r w:rsidR="00E03971" w:rsidRPr="00C657D6">
        <w:t>, bl a på grundval av kommissionens meddelande</w:t>
      </w:r>
      <w:r w:rsidR="0042537A" w:rsidRPr="00C657D6">
        <w:t xml:space="preserve">. Ordförandeskapet </w:t>
      </w:r>
      <w:r w:rsidR="00F10281" w:rsidRPr="00C657D6">
        <w:t xml:space="preserve">presenterade sina framsteg i </w:t>
      </w:r>
      <w:r w:rsidR="0042537A" w:rsidRPr="00C657D6">
        <w:t xml:space="preserve">en lägesrapport </w:t>
      </w:r>
      <w:r w:rsidR="00924786" w:rsidRPr="00C657D6">
        <w:t xml:space="preserve">inför Europeiska rådets möte i december 2006. </w:t>
      </w:r>
      <w:r w:rsidR="00E03971" w:rsidRPr="00C657D6">
        <w:t>Processen att genomföra praktiska reformer kommer att fortsätta under det tyska ordförandeskapet våren 2007.</w:t>
      </w:r>
    </w:p>
    <w:p w:rsidR="00353081" w:rsidRPr="00C657D6" w:rsidRDefault="00924786">
      <w:pPr>
        <w:pStyle w:val="Rubrik2"/>
        <w:jc w:val="both"/>
        <w:rPr>
          <w:rFonts w:eastAsia="Arial Unicode MS"/>
          <w:color w:val="000000"/>
          <w:sz w:val="19"/>
          <w:szCs w:val="19"/>
        </w:rPr>
      </w:pPr>
      <w:r w:rsidRPr="00C657D6">
        <w:t>Rättslig grund och besl</w:t>
      </w:r>
      <w:r w:rsidR="00353081" w:rsidRPr="00C657D6">
        <w:t>utsförfarande</w:t>
      </w:r>
    </w:p>
    <w:p w:rsidR="00924786" w:rsidRPr="00C657D6" w:rsidRDefault="00E03971">
      <w:r w:rsidRPr="00C657D6">
        <w:t xml:space="preserve">Reformerna genomförs inom ramen för EG- och EU-fördragen. </w:t>
      </w:r>
      <w:r w:rsidR="00924786" w:rsidRPr="00C657D6">
        <w:t xml:space="preserve">Meddelandet </w:t>
      </w:r>
      <w:r w:rsidRPr="00C657D6">
        <w:t xml:space="preserve">i sig </w:t>
      </w:r>
      <w:r w:rsidR="00924786" w:rsidRPr="00C657D6">
        <w:t xml:space="preserve">förutsätter inga formella beslut. </w:t>
      </w:r>
    </w:p>
    <w:p w:rsidR="00DA44B7" w:rsidRPr="00C657D6" w:rsidRDefault="00DA44B7" w:rsidP="00DA44B7">
      <w:pPr>
        <w:pStyle w:val="Rubrik2"/>
      </w:pPr>
      <w:r w:rsidRPr="00C657D6">
        <w:t>Fackuttryck/termer</w:t>
      </w:r>
    </w:p>
    <w:sectPr w:rsidR="00DA44B7" w:rsidRPr="00C657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1A27" w:rsidRPr="00C657D6" w:rsidRDefault="007C1A27">
      <w:r w:rsidRPr="00C657D6">
        <w:separator/>
      </w:r>
    </w:p>
  </w:endnote>
  <w:endnote w:type="continuationSeparator" w:id="0">
    <w:p w:rsidR="007C1A27" w:rsidRPr="00C657D6" w:rsidRDefault="007C1A27">
      <w:r w:rsidRPr="00C657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5873" w:rsidRPr="00C657D6" w:rsidRDefault="0053587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081" w:rsidRPr="00C657D6" w:rsidRDefault="007C1A27">
    <w:pPr>
      <w:pStyle w:val="SidfotH"/>
      <w:framePr w:wrap="around"/>
    </w:pPr>
    <w:r w:rsidRPr="00C657D6">
      <w:t>2</w:t>
    </w:r>
  </w:p>
  <w:p w:rsidR="00353081" w:rsidRPr="00C657D6" w:rsidRDefault="0035308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081" w:rsidRPr="00C657D6" w:rsidRDefault="007C1A27">
    <w:pPr>
      <w:pStyle w:val="SidfotH"/>
      <w:framePr w:wrap="around"/>
    </w:pPr>
    <w:r w:rsidRPr="00C657D6">
      <w:t>1</w:t>
    </w:r>
  </w:p>
  <w:p w:rsidR="00353081" w:rsidRPr="00C657D6" w:rsidRDefault="003530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1A27" w:rsidRPr="00C657D6" w:rsidRDefault="007C1A27">
      <w:r w:rsidRPr="00C657D6">
        <w:separator/>
      </w:r>
    </w:p>
  </w:footnote>
  <w:footnote w:type="continuationSeparator" w:id="0">
    <w:p w:rsidR="007C1A27" w:rsidRPr="00C657D6" w:rsidRDefault="007C1A27">
      <w:r w:rsidRPr="00C657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5873" w:rsidRPr="00C657D6" w:rsidRDefault="0053587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081" w:rsidRPr="00C657D6" w:rsidRDefault="003A020A">
    <w:pPr>
      <w:pStyle w:val="Kantrubrik"/>
      <w:framePr w:h="1157" w:hRule="exact" w:wrap="around" w:y="738"/>
    </w:pPr>
    <w:r w:rsidRPr="00C657D6">
      <w:t>2006/07</w:t>
    </w:r>
    <w:r w:rsidR="00353081" w:rsidRPr="00C657D6">
      <w:t>:</w:t>
    </w:r>
    <w:r w:rsidRPr="00C657D6">
      <w:t>FPM25</w:t>
    </w:r>
  </w:p>
  <w:p w:rsidR="00353081" w:rsidRPr="00C657D6" w:rsidRDefault="0035308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081" w:rsidRPr="00C657D6" w:rsidRDefault="00C657D6">
    <w:pPr>
      <w:pStyle w:val="Sidhuvud"/>
    </w:pPr>
    <w:r w:rsidRPr="00C657D6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64515" cy="981075"/>
              <wp:effectExtent l="0" t="0" r="0" b="0"/>
              <wp:wrapNone/>
              <wp:docPr id="7086863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1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081" w:rsidRDefault="00353081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color="window">
                                <v:imagedata r:id="rId1" o:title=""/>
                              </v:shape>
                              <o:OLEObject Type="Embed" ProgID="Word.Picture.8" ShapeID="_x0000_i1025" DrawAspect="Content" ObjectID="_1827459541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.55pt;margin-top:21.6pt;width:44.4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" o:allowincell="f" stroked="f">
              <v:textbox inset="0,0,0,0">
                <w:txbxContent>
                  <w:p w:rsidR="00353081" w:rsidRDefault="00353081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color="window">
                          <v:imagedata r:id="rId1" o:title=""/>
                        </v:shape>
                        <o:OLEObject Type="Embed" ProgID="Word.Picture.8" ShapeID="_x0000_i1025" DrawAspect="Content" ObjectID="_1827459541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9DB7749"/>
    <w:multiLevelType w:val="hybridMultilevel"/>
    <w:tmpl w:val="FA368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C513D43"/>
    <w:multiLevelType w:val="hybridMultilevel"/>
    <w:tmpl w:val="91E45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9605490"/>
    <w:multiLevelType w:val="hybridMultilevel"/>
    <w:tmpl w:val="DA9E81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81E74"/>
    <w:multiLevelType w:val="hybridMultilevel"/>
    <w:tmpl w:val="085E5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20065987">
    <w:abstractNumId w:val="8"/>
  </w:num>
  <w:num w:numId="2" w16cid:durableId="222836992">
    <w:abstractNumId w:val="2"/>
  </w:num>
  <w:num w:numId="3" w16cid:durableId="1962689724">
    <w:abstractNumId w:val="4"/>
  </w:num>
  <w:num w:numId="4" w16cid:durableId="469977881">
    <w:abstractNumId w:val="5"/>
  </w:num>
  <w:num w:numId="5" w16cid:durableId="1114786415">
    <w:abstractNumId w:val="9"/>
  </w:num>
  <w:num w:numId="6" w16cid:durableId="1039937650">
    <w:abstractNumId w:val="0"/>
  </w:num>
  <w:num w:numId="7" w16cid:durableId="1429934602">
    <w:abstractNumId w:val="1"/>
  </w:num>
  <w:num w:numId="8" w16cid:durableId="810903931">
    <w:abstractNumId w:val="7"/>
  </w:num>
  <w:num w:numId="9" w16cid:durableId="1546797901">
    <w:abstractNumId w:val="6"/>
  </w:num>
  <w:num w:numId="10" w16cid:durableId="857424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ctiveWritingStyle w:appName="MSWord" w:lang="sv-SE" w:vendorID="0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07-01-11"/>
    <w:docVar w:name="Ar" w:val="2006/07"/>
    <w:docVar w:name="Dep" w:val="Utrikesdepartementet"/>
    <w:docVar w:name="DepWeb" w:val="Utrikesdepartementet"/>
    <w:docVar w:name="GDB1" w:val="COM(2006) 278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Europe in the World – Some Practical Proposals for Greater Coherence, Effectiveness and Visibility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COM(2006) 278"/>
    <w:docVar w:name="Nr" w:val="25"/>
    <w:docVar w:name="RD_APPVERSION" w:val="3.00"/>
    <w:docVar w:name="Rub" w:val="Meddelande om Europa i världen"/>
    <w:docVar w:name="UppDat" w:val="2007-01-11"/>
    <w:docVar w:name="Utsk" w:val="Utrikesutskottet"/>
  </w:docVars>
  <w:rsids>
    <w:rsidRoot w:val="00C657D6"/>
    <w:rsid w:val="00032D82"/>
    <w:rsid w:val="001341DD"/>
    <w:rsid w:val="00136EA9"/>
    <w:rsid w:val="001473DC"/>
    <w:rsid w:val="00191922"/>
    <w:rsid w:val="001A1F95"/>
    <w:rsid w:val="001E750B"/>
    <w:rsid w:val="00211419"/>
    <w:rsid w:val="002149D9"/>
    <w:rsid w:val="00247772"/>
    <w:rsid w:val="002F5425"/>
    <w:rsid w:val="00322393"/>
    <w:rsid w:val="00353081"/>
    <w:rsid w:val="003A020A"/>
    <w:rsid w:val="0042537A"/>
    <w:rsid w:val="00473C23"/>
    <w:rsid w:val="004E63C0"/>
    <w:rsid w:val="00520300"/>
    <w:rsid w:val="00535873"/>
    <w:rsid w:val="005940D1"/>
    <w:rsid w:val="005F0B1A"/>
    <w:rsid w:val="006F4B9A"/>
    <w:rsid w:val="0072105D"/>
    <w:rsid w:val="00787E32"/>
    <w:rsid w:val="00791844"/>
    <w:rsid w:val="007C1A27"/>
    <w:rsid w:val="00866496"/>
    <w:rsid w:val="008A7BB1"/>
    <w:rsid w:val="008F7127"/>
    <w:rsid w:val="00924786"/>
    <w:rsid w:val="0097708B"/>
    <w:rsid w:val="00AC3F11"/>
    <w:rsid w:val="00AE47C2"/>
    <w:rsid w:val="00AE630A"/>
    <w:rsid w:val="00B43317"/>
    <w:rsid w:val="00B77006"/>
    <w:rsid w:val="00C00478"/>
    <w:rsid w:val="00C36B69"/>
    <w:rsid w:val="00C657D6"/>
    <w:rsid w:val="00CB72CA"/>
    <w:rsid w:val="00CC0F0C"/>
    <w:rsid w:val="00D03914"/>
    <w:rsid w:val="00D5044C"/>
    <w:rsid w:val="00DA44B7"/>
    <w:rsid w:val="00E03971"/>
    <w:rsid w:val="00E649C9"/>
    <w:rsid w:val="00EE0DC9"/>
    <w:rsid w:val="00F10281"/>
    <w:rsid w:val="00F41A9C"/>
    <w:rsid w:val="00F74D95"/>
    <w:rsid w:val="00F92996"/>
    <w:rsid w:val="00FB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BA5F40C-21D9-4995-B669-DE17A31B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pPr>
      <w:spacing w:before="0" w:line="320" w:lineRule="exact"/>
      <w:jc w:val="left"/>
    </w:pPr>
    <w:rPr>
      <w:rFonts w:ascii="OrigGarmnd BT" w:hAnsi="OrigGarmnd BT"/>
      <w:sz w:val="24"/>
      <w:lang w:eastAsia="en-US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  <w:jc w:val="left"/>
    </w:pPr>
    <w:rPr>
      <w:rFonts w:ascii="Verdana" w:eastAsia="Arial Unicode MS" w:hAnsi="Verdana" w:cs="Arial Unicode MS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0108aa\Application%20Data\Microsoft\Mallar\Centralkansliet\FaktaPM-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FaktaPM-Ny.dot</Template>
  <TotalTime>0</TotalTime>
  <Pages>2</Pages>
  <Words>614</Words>
  <Characters>4171</Characters>
  <Application>Microsoft Office Word</Application>
  <DocSecurity>4</DocSecurity>
  <Lines>94</Lines>
  <Paragraphs>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FAKTAPM_APP</vt:lpstr>
    </vt:vector>
  </TitlesOfParts>
  <Company>RD-DTSL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FAKTAPM_APP</dc:title>
  <dc:subject>FAKTAPM_APP</dc:subject>
  <dc:creator>Riksdagen</dc:creator>
  <cp:keywords>Riksdagen</cp:keywords>
  <dc:description>KP2004-version.  Ändringarna påverkar enbart användningen inom Riksdagen. 050429 nya departement DTSL.</dc:description>
  <cp:lastModifiedBy>Lars Brink</cp:lastModifiedBy>
  <cp:revision>2</cp:revision>
  <cp:lastPrinted>2007-01-11T07:42:00Z</cp:lastPrinted>
  <dcterms:created xsi:type="dcterms:W3CDTF">2025-12-17T03:10:00Z</dcterms:created>
  <dcterms:modified xsi:type="dcterms:W3CDTF">2025-12-17T03:10:00Z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25</vt:lpwstr>
  </property>
  <property fmtid="{D5CDD505-2E9C-101B-9397-08002B2CF9AE}" pid="4" name="GDB1">
    <vt:lpwstr>COM(2006) 278</vt:lpwstr>
  </property>
  <property fmtid="{D5CDD505-2E9C-101B-9397-08002B2CF9AE}" pid="5" name="GDT1">
    <vt:lpwstr> </vt:lpwstr>
  </property>
  <property fmtid="{D5CDD505-2E9C-101B-9397-08002B2CF9AE}" pid="6" name="Dep">
    <vt:lpwstr>Utrikesdepartementet</vt:lpwstr>
  </property>
  <property fmtid="{D5CDD505-2E9C-101B-9397-08002B2CF9AE}" pid="7" name="Rub">
    <vt:lpwstr>Meddelande om Europa i världen</vt:lpwstr>
  </property>
  <property fmtid="{D5CDD505-2E9C-101B-9397-08002B2CF9AE}" pid="8" name="UppDat">
    <vt:lpwstr>2007-01-11</vt:lpwstr>
  </property>
  <property fmtid="{D5CDD505-2E9C-101B-9397-08002B2CF9AE}" pid="9" name="AnkDat">
    <vt:lpwstr>2007-01-11</vt:lpwstr>
  </property>
  <property fmtid="{D5CDD505-2E9C-101B-9397-08002B2CF9AE}" pid="10" name="Utsk">
    <vt:lpwstr>Utrikesutskottet</vt:lpwstr>
  </property>
  <property fmtid="{D5CDD505-2E9C-101B-9397-08002B2CF9AE}" pid="11" name="Ar">
    <vt:lpwstr>2006/07</vt:lpwstr>
  </property>
  <property fmtid="{D5CDD505-2E9C-101B-9397-08002B2CF9AE}" pid="12" name="Dokumenttyp">
    <vt:lpwstr> FaktaPM</vt:lpwstr>
  </property>
  <property fmtid="{D5CDD505-2E9C-101B-9397-08002B2CF9AE}" pid="13" name="Epostadress">
    <vt:lpwstr>ta0108aa</vt:lpwstr>
  </property>
  <property fmtid="{D5CDD505-2E9C-101B-9397-08002B2CF9AE}" pid="14" name="GDB2">
    <vt:lpwstr> </vt:lpwstr>
  </property>
  <property fmtid="{D5CDD505-2E9C-101B-9397-08002B2CF9AE}" pid="15" name="GDB3">
    <vt:lpwstr> </vt:lpwstr>
  </property>
  <property fmtid="{D5CDD505-2E9C-101B-9397-08002B2CF9AE}" pid="16" name="GDB4">
    <vt:lpwstr> </vt:lpwstr>
  </property>
  <property fmtid="{D5CDD505-2E9C-101B-9397-08002B2CF9AE}" pid="17" name="GDB5">
    <vt:lpwstr> </vt:lpwstr>
  </property>
  <property fmtid="{D5CDD505-2E9C-101B-9397-08002B2CF9AE}" pid="18" name="GDB6">
    <vt:lpwstr> </vt:lpwstr>
  </property>
  <property fmtid="{D5CDD505-2E9C-101B-9397-08002B2CF9AE}" pid="19" name="GDB7">
    <vt:lpwstr> </vt:lpwstr>
  </property>
  <property fmtid="{D5CDD505-2E9C-101B-9397-08002B2CF9AE}" pid="20" name="GDB8">
    <vt:lpwstr> </vt:lpwstr>
  </property>
  <property fmtid="{D5CDD505-2E9C-101B-9397-08002B2CF9AE}" pid="21" name="GDB9">
    <vt:lpwstr> </vt:lpwstr>
  </property>
  <property fmtid="{D5CDD505-2E9C-101B-9397-08002B2CF9AE}" pid="22" name="GDB10">
    <vt:lpwstr> </vt:lpwstr>
  </property>
  <property fmtid="{D5CDD505-2E9C-101B-9397-08002B2CF9AE}" pid="23" name="GDB11">
    <vt:lpwstr> </vt:lpwstr>
  </property>
  <property fmtid="{D5CDD505-2E9C-101B-9397-08002B2CF9AE}" pid="24" name="GDB12">
    <vt:lpwstr> </vt:lpwstr>
  </property>
  <property fmtid="{D5CDD505-2E9C-101B-9397-08002B2CF9AE}" pid="25" name="GDB13">
    <vt:lpwstr> </vt:lpwstr>
  </property>
  <property fmtid="{D5CDD505-2E9C-101B-9397-08002B2CF9AE}" pid="26" name="Statsrådsberedningen">
    <vt:lpwstr>NEJ</vt:lpwstr>
  </property>
  <property fmtid="{D5CDD505-2E9C-101B-9397-08002B2CF9AE}" pid="27" name="Justitiedepartementet">
    <vt:lpwstr>NEJ</vt:lpwstr>
  </property>
  <property fmtid="{D5CDD505-2E9C-101B-9397-08002B2CF9AE}" pid="28" name="Utrikesdepartementet">
    <vt:lpwstr>JA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NEJ</vt:lpwstr>
  </property>
  <property fmtid="{D5CDD505-2E9C-101B-9397-08002B2CF9AE}" pid="31" name="Finansdepartementet">
    <vt:lpwstr>NEJ</vt:lpwstr>
  </property>
  <property fmtid="{D5CDD505-2E9C-101B-9397-08002B2CF9AE}" pid="32" name="Utbildnings- och kulturdepartementet">
    <vt:lpwstr>NEJ</vt:lpwstr>
  </property>
  <property fmtid="{D5CDD505-2E9C-101B-9397-08002B2CF9AE}" pid="33" name="Jordbruksdepartementet">
    <vt:lpwstr>NEJ</vt:lpwstr>
  </property>
  <property fmtid="{D5CDD505-2E9C-101B-9397-08002B2CF9AE}" pid="34" name="Kulturdepartementet">
    <vt:lpwstr>NEJ</vt:lpwstr>
  </property>
  <property fmtid="{D5CDD505-2E9C-101B-9397-08002B2CF9AE}" pid="35" name="Näringsdepartementet">
    <vt:lpwstr>NEJ</vt:lpwstr>
  </property>
  <property fmtid="{D5CDD505-2E9C-101B-9397-08002B2CF9AE}" pid="36" name="Miljö- och samhällsbyggnadsdepartementet">
    <vt:lpwstr>NEJ</vt:lpwstr>
  </property>
  <property fmtid="{D5CDD505-2E9C-101B-9397-08002B2CF9AE}" pid="37" name="Förvaltningsavdelningen">
    <vt:lpwstr>NEJ</vt:lpwstr>
  </property>
  <property fmtid="{D5CDD505-2E9C-101B-9397-08002B2CF9AE}" pid="38" name="DepID">
    <vt:lpwstr>3;0;0;218</vt:lpwstr>
  </property>
  <property fmtid="{D5CDD505-2E9C-101B-9397-08002B2CF9AE}" pid="39" name="Sprak">
    <vt:lpwstr>Svenska</vt:lpwstr>
  </property>
  <property fmtid="{D5CDD505-2E9C-101B-9397-08002B2CF9AE}" pid="40" name="DokID">
    <vt:i4>80</vt:i4>
  </property>
  <property fmtid="{D5CDD505-2E9C-101B-9397-08002B2CF9AE}" pid="41" name="Integrations- och jämställdhetsdepartementet">
    <vt:lpwstr>NEJ</vt:lpwstr>
  </property>
  <property fmtid="{D5CDD505-2E9C-101B-9397-08002B2CF9AE}" pid="42" name="Arbetsmarknadsdepartementet">
    <vt:lpwstr>NEJ</vt:lpwstr>
  </property>
  <property fmtid="{D5CDD505-2E9C-101B-9397-08002B2CF9AE}" pid="43" name="Utbildningsdepartementet">
    <vt:lpwstr>NEJ</vt:lpwstr>
  </property>
  <property fmtid="{D5CDD505-2E9C-101B-9397-08002B2CF9AE}" pid="44" name="Miljödepartementet">
    <vt:lpwstr>NEJ</vt:lpwstr>
  </property>
</Properties>
</file>