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ED3" w:rsidRPr="00294ED3" w:rsidRDefault="00294ED3">
      <w:pPr>
        <w:pStyle w:val="Frslagsrubrik"/>
      </w:pPr>
      <w:r w:rsidRPr="00294ED3">
        <w:t>Förslag till riksdagsbeslut</w:t>
      </w:r>
    </w:p>
    <w:p w:rsidR="00294ED3" w:rsidRPr="00294ED3" w:rsidRDefault="00294ED3">
      <w:pPr>
        <w:pStyle w:val="Hemstlatt"/>
      </w:pPr>
      <w:r w:rsidRPr="00294ED3">
        <w:t>Riksdagen tillkännager för regeringen som sin mening vad som anförs i motionen om att oljeborrning i Östersjön ska förbjudas och att all olja som transporteras till havs ska dna-märkas.</w:t>
      </w:r>
    </w:p>
    <w:p w:rsidR="00294ED3" w:rsidRPr="00294ED3" w:rsidRDefault="00294ED3">
      <w:pPr>
        <w:pStyle w:val="Rubrik1"/>
      </w:pPr>
      <w:r w:rsidRPr="00294ED3">
        <w:t>Motivering</w:t>
      </w:r>
    </w:p>
    <w:p w:rsidR="00294ED3" w:rsidRPr="00294ED3" w:rsidRDefault="00294ED3">
      <w:pPr>
        <w:rPr>
          <w:color w:val="000000"/>
        </w:rPr>
      </w:pPr>
      <w:r w:rsidRPr="00294ED3">
        <w:rPr>
          <w:color w:val="000000"/>
        </w:rPr>
        <w:t>En fjärdedel av Östersjöns botten betraktas idag som död. Den främsta ors</w:t>
      </w:r>
      <w:r w:rsidRPr="00294ED3">
        <w:rPr>
          <w:color w:val="000000"/>
        </w:rPr>
        <w:t>a</w:t>
      </w:r>
      <w:r w:rsidRPr="00294ED3">
        <w:rPr>
          <w:color w:val="000000"/>
        </w:rPr>
        <w:t xml:space="preserve">ken är övergödning från avlopp och jordbruk. </w:t>
      </w:r>
      <w:r w:rsidRPr="00294ED3">
        <w:t>Den långsamma vattenomsät</w:t>
      </w:r>
      <w:r w:rsidRPr="00294ED3">
        <w:t>t</w:t>
      </w:r>
      <w:r w:rsidRPr="00294ED3">
        <w:t xml:space="preserve">ningen gör att gifter och andra kemikalier inte rinner ut ur innanhavet i någon större omfattning, utan stannar kvar och anrikas. </w:t>
      </w:r>
      <w:r w:rsidRPr="00294ED3">
        <w:rPr>
          <w:color w:val="000000"/>
        </w:rPr>
        <w:t xml:space="preserve">Trots det visar de senaste undersökningarna att torskbeståndet börjat återhämta sig i östra Östersjön. För att stödja denna positiva utveckling måste särskild hänsyn tas till </w:t>
      </w:r>
      <w:r w:rsidRPr="00294ED3">
        <w:t>Östersjöns miljö och djurliv.</w:t>
      </w:r>
    </w:p>
    <w:p w:rsidR="00294ED3" w:rsidRPr="00294ED3" w:rsidRDefault="00294ED3">
      <w:pPr>
        <w:pStyle w:val="Normaltindrag"/>
        <w:rPr>
          <w:color w:val="000000"/>
        </w:rPr>
      </w:pPr>
      <w:r w:rsidRPr="00294ED3">
        <w:t xml:space="preserve">Flera Östersjöstater utvinner eller prospekterar idag olja i Östersjön. En </w:t>
      </w:r>
      <w:r w:rsidRPr="00294ED3">
        <w:br/>
        <w:t>o</w:t>
      </w:r>
      <w:r w:rsidRPr="00294ED3">
        <w:t>l</w:t>
      </w:r>
      <w:r w:rsidRPr="00294ED3">
        <w:t>jeolycka i Östersjön skulle få allvarliga miljökonsekvenser.</w:t>
      </w:r>
      <w:r w:rsidRPr="00294ED3">
        <w:rPr>
          <w:color w:val="000000"/>
        </w:rPr>
        <w:t xml:space="preserve"> Oljekatastrofen i Mexikanska golfen i våras är ett skrämmande exempel på hur m</w:t>
      </w:r>
      <w:r w:rsidRPr="00294ED3">
        <w:rPr>
          <w:bCs/>
          <w:color w:val="000000"/>
        </w:rPr>
        <w:t xml:space="preserve">änniskor och miljö påverkas av ett oljeutsläpp. </w:t>
      </w:r>
      <w:r w:rsidRPr="00294ED3">
        <w:t>Det som kan hända amerikanska oljeplat</w:t>
      </w:r>
      <w:r w:rsidRPr="00294ED3">
        <w:t>t</w:t>
      </w:r>
      <w:r w:rsidRPr="00294ED3">
        <w:t>formar i Mexikanska golfen kan också hända polska eller ryska oljeplattfo</w:t>
      </w:r>
      <w:r w:rsidRPr="00294ED3">
        <w:t>r</w:t>
      </w:r>
      <w:r w:rsidRPr="00294ED3">
        <w:t>mar i Östersjön.</w:t>
      </w:r>
    </w:p>
    <w:p w:rsidR="00294ED3" w:rsidRPr="00294ED3" w:rsidRDefault="00294ED3">
      <w:pPr>
        <w:pStyle w:val="Normaltindrag"/>
      </w:pPr>
      <w:r w:rsidRPr="00294ED3">
        <w:t>Regeringen avslog den 5 mars 2009 OPAB:s, Oljeprospektering AB, ans</w:t>
      </w:r>
      <w:r w:rsidRPr="00294ED3">
        <w:t>ö</w:t>
      </w:r>
      <w:r w:rsidRPr="00294ED3">
        <w:t>kan om att få provborra efter olja i Östersjön. Motiveringen var att svensk oljeutvinning inte kan bli aktuell mot bakgrund av hur extremt känslig och utsatt Östersjöns miljö redan är.</w:t>
      </w:r>
    </w:p>
    <w:p w:rsidR="00294ED3" w:rsidRPr="00294ED3" w:rsidRDefault="00294ED3">
      <w:pPr>
        <w:pStyle w:val="Normaltindrag"/>
      </w:pPr>
      <w:r w:rsidRPr="00294ED3">
        <w:t>Sverige borde därför inom EU och Östersjöorganisationen Helcom verka för att det uppnås ett förbud mot oljeutvinning i hela Östersjön.</w:t>
      </w:r>
    </w:p>
    <w:p w:rsidR="00294ED3" w:rsidRPr="00294ED3" w:rsidRDefault="00294ED3">
      <w:pPr>
        <w:pStyle w:val="Normaltindrag"/>
      </w:pPr>
      <w:r w:rsidRPr="00294ED3">
        <w:t xml:space="preserve">Det är inte bara oljeplattformar som hotar den känsliga miljön i Östersjön. Varje år transporteras 250 miljoner ton olja på Östersjön och uppskattningsvis sker det 60 illegala oljeutsläpp. I år har ett förbud införts mot transport av olja </w:t>
      </w:r>
      <w:r w:rsidRPr="00294ED3">
        <w:lastRenderedPageBreak/>
        <w:t>i enkelskroviga fartyg. En överenskommelse om förbud mot att transportera bunkerolja, fartygets bränsle, direkt innanför ytterskrovet finns från och med 2015. Det minskar risken för oljeolyckor, men det räcker inte. För att minska de illegala oljeutsläppen så borde all olja som transporteras på Östersjön dna-märkas så att det går att spåra från vilket fartyg ett oljeutsläpp sker.</w:t>
      </w:r>
    </w:p>
    <w:p w:rsidR="00294ED3" w:rsidRPr="00294ED3" w:rsidRDefault="00294ED3">
      <w:pPr>
        <w:pStyle w:val="Normaltindrag"/>
      </w:pPr>
      <w:r w:rsidRPr="00294ED3">
        <w:t xml:space="preserve">En oljekatastrof i Östersjön skulle få långtgående konsekvenser, både för miljön och för de 90 miljoner människor som lever inom </w:t>
      </w:r>
      <w:r w:rsidRPr="00294ED3">
        <w:t>Östersjöns avri</w:t>
      </w:r>
      <w:r w:rsidRPr="00294ED3">
        <w:t>n</w:t>
      </w:r>
      <w:r w:rsidRPr="00294ED3">
        <w:t>ningsområde. Turistindustrin utmed Östersjöns kuster skulle drabbas hårt, inte minst Kalmar län som har långa kuster mot Östersjön skulle påverkas. Stat</w:t>
      </w:r>
      <w:r w:rsidRPr="00294ED3">
        <w:t>i</w:t>
      </w:r>
      <w:r w:rsidRPr="00294ED3">
        <w:t>stik från SCB visar att Kalmar län är den näst största campingregionen i Sv</w:t>
      </w:r>
      <w:r w:rsidRPr="00294ED3">
        <w:t>e</w:t>
      </w:r>
      <w:r w:rsidRPr="00294ED3">
        <w:t>rige, efter Västra Götaland. Det beror på alla campingplatser utefter Öste</w:t>
      </w:r>
      <w:r w:rsidRPr="00294ED3">
        <w:t>r</w:t>
      </w:r>
      <w:r w:rsidRPr="00294ED3">
        <w:t>sjöns kuster. Allt detta skulle riskeras av ett oljeutsläpp. För att förhindra oljeutsläpp måste oljeborrning i Östersjön förbjudas och all olja som transo</w:t>
      </w:r>
      <w:r w:rsidRPr="00294ED3">
        <w:t>r</w:t>
      </w:r>
      <w:r w:rsidRPr="00294ED3">
        <w:t>teras till havs dna-märkas. Detta bö</w:t>
      </w:r>
      <w:r w:rsidRPr="00294ED3">
        <w:t>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ED3">
        <w:trPr>
          <w:cantSplit/>
        </w:trPr>
        <w:tc>
          <w:tcPr>
            <w:tcW w:w="3046" w:type="dxa"/>
          </w:tcPr>
          <w:p w:rsidR="00294ED3" w:rsidRPr="00294ED3" w:rsidRDefault="00294ED3">
            <w:pPr>
              <w:pStyle w:val="UnderskriftDatum"/>
              <w:spacing w:before="240"/>
            </w:pPr>
            <w:r w:rsidRPr="00294ED3">
              <w:t>Stockholm den 25 oktober 2010</w:t>
            </w:r>
          </w:p>
        </w:tc>
        <w:tc>
          <w:tcPr>
            <w:tcW w:w="3047" w:type="dxa"/>
          </w:tcPr>
          <w:p w:rsidR="00294ED3" w:rsidRPr="00294ED3" w:rsidRDefault="00294ED3">
            <w:pPr>
              <w:pStyle w:val="Underskrifter"/>
              <w:spacing w:before="240"/>
            </w:pPr>
          </w:p>
        </w:tc>
      </w:tr>
      <w:tr w:rsidR="00000000" w:rsidRPr="00294ED3">
        <w:trPr>
          <w:cantSplit/>
        </w:trPr>
        <w:tc>
          <w:tcPr>
            <w:tcW w:w="3046" w:type="dxa"/>
          </w:tcPr>
          <w:p w:rsidR="00294ED3" w:rsidRPr="00294ED3" w:rsidRDefault="00294ED3">
            <w:pPr>
              <w:pStyle w:val="Underskrifter"/>
            </w:pPr>
            <w:r w:rsidRPr="00294ED3">
              <w:t>Anders Andersson (KD)</w:t>
            </w:r>
          </w:p>
        </w:tc>
        <w:tc>
          <w:tcPr>
            <w:tcW w:w="3046" w:type="dxa"/>
          </w:tcPr>
          <w:p w:rsidR="00294ED3" w:rsidRPr="00294ED3" w:rsidRDefault="00294ED3">
            <w:pPr>
              <w:pStyle w:val="Underskrifter"/>
            </w:pPr>
          </w:p>
        </w:tc>
      </w:tr>
    </w:tbl>
    <w:p w:rsidR="00294ED3" w:rsidRPr="00294ED3" w:rsidRDefault="00294ED3">
      <w:pPr>
        <w:pStyle w:val="Normaltindrag"/>
      </w:pPr>
    </w:p>
    <w:sectPr w:rsidR="00000000" w:rsidRPr="00294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ED3" w:rsidRPr="00294ED3" w:rsidRDefault="00294ED3">
      <w:r w:rsidRPr="00294ED3">
        <w:separator/>
      </w:r>
    </w:p>
  </w:endnote>
  <w:endnote w:type="continuationSeparator" w:id="0">
    <w:p w:rsidR="00294ED3" w:rsidRPr="00294ED3" w:rsidRDefault="00294ED3">
      <w:r w:rsidRPr="00294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ED3" w:rsidRPr="00294ED3" w:rsidRDefault="00294ED3">
    <w:pPr>
      <w:pStyle w:val="Sidfot"/>
    </w:pPr>
    <w:r w:rsidRPr="00294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649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D3" w:rsidRDefault="00294E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ED3" w:rsidRDefault="00294E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ED3" w:rsidRPr="00294ED3" w:rsidRDefault="00294ED3">
    <w:pPr>
      <w:pStyle w:val="Sidfot"/>
    </w:pPr>
    <w:r w:rsidRPr="00294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292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D3" w:rsidRDefault="00294E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ED3" w:rsidRDefault="00294E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ED3" w:rsidRPr="00294ED3" w:rsidRDefault="00294ED3">
    <w:pPr>
      <w:pStyle w:val="Sidfot"/>
    </w:pPr>
    <w:r w:rsidRPr="00294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670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D3" w:rsidRDefault="00294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ED3" w:rsidRDefault="00294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ED3" w:rsidRPr="00294ED3" w:rsidRDefault="00294ED3">
      <w:r w:rsidRPr="00294ED3">
        <w:separator/>
      </w:r>
    </w:p>
  </w:footnote>
  <w:footnote w:type="continuationSeparator" w:id="0">
    <w:p w:rsidR="00294ED3" w:rsidRPr="00294ED3" w:rsidRDefault="00294ED3">
      <w:r w:rsidRPr="00294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ED3" w:rsidRPr="00294ED3" w:rsidRDefault="00294ED3">
    <w:pPr>
      <w:pStyle w:val="Sidhuvud"/>
    </w:pPr>
    <w:r w:rsidRPr="00294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6507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D3" w:rsidRDefault="00294E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ED3" w:rsidRDefault="00294E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ED3" w:rsidRPr="00294ED3" w:rsidRDefault="00294ED3">
    <w:pPr>
      <w:pStyle w:val="Sidhuvud"/>
    </w:pPr>
    <w:r w:rsidRPr="00294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628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D3" w:rsidRDefault="00294E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ED3" w:rsidRDefault="00294E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ED3" w:rsidRPr="00294ED3" w:rsidRDefault="00294ED3">
    <w:pPr>
      <w:pStyle w:val="FSHNormal"/>
      <w:tabs>
        <w:tab w:val="right" w:pos="5840"/>
      </w:tabs>
    </w:pPr>
    <w:r w:rsidRPr="00294ED3">
      <w:br/>
    </w:r>
    <w:r w:rsidRPr="00294ED3">
      <w:fldChar w:fldCharType="begin" w:fldLock="1"/>
    </w:r>
    <w:r w:rsidRPr="00294ED3">
      <w:instrText xml:space="preserve"> DOCPROPERTY</w:instrText>
    </w:r>
    <w:r w:rsidRPr="00294ED3">
      <w:rPr>
        <w:sz w:val="18"/>
      </w:rPr>
      <w:instrText xml:space="preserve"> "YearUser" *\charformat </w:instrText>
    </w:r>
    <w:r w:rsidRPr="00294ED3">
      <w:fldChar w:fldCharType="separate"/>
    </w:r>
    <w:r w:rsidRPr="00294ED3">
      <w:t>2010/11</w:t>
    </w:r>
    <w:r w:rsidRPr="00294ED3">
      <w:fldChar w:fldCharType="end"/>
    </w:r>
    <w:r w:rsidRPr="00294ED3">
      <w:t xml:space="preserve"> </w:t>
    </w:r>
    <w:r w:rsidRPr="00294ED3">
      <w:tab/>
      <w:t xml:space="preserve">mnr: </w:t>
    </w:r>
    <w:r w:rsidRPr="00294ED3">
      <w:fldChar w:fldCharType="begin" w:fldLock="1"/>
    </w:r>
    <w:r w:rsidRPr="00294ED3">
      <w:instrText xml:space="preserve"> DOCPROPERTY</w:instrText>
    </w:r>
    <w:r w:rsidRPr="00294ED3">
      <w:rPr>
        <w:sz w:val="18"/>
      </w:rPr>
      <w:instrText xml:space="preserve"> "Motionsnummer" *\charformat </w:instrText>
    </w:r>
    <w:r w:rsidRPr="00294ED3">
      <w:fldChar w:fldCharType="separate"/>
    </w:r>
    <w:r w:rsidRPr="00294ED3">
      <w:t>MJ337</w:t>
    </w:r>
    <w:r w:rsidRPr="00294ED3">
      <w:fldChar w:fldCharType="end"/>
    </w:r>
    <w:r w:rsidRPr="00294ED3">
      <w:br/>
    </w:r>
    <w:r w:rsidRPr="00294ED3">
      <w:fldChar w:fldCharType="begin" w:fldLock="1"/>
    </w:r>
    <w:r w:rsidRPr="00294ED3">
      <w:instrText xml:space="preserve"> DOCPROPERTY</w:instrText>
    </w:r>
    <w:r w:rsidRPr="00294ED3">
      <w:rPr>
        <w:sz w:val="18"/>
      </w:rPr>
      <w:instrText xml:space="preserve"> "Samling" *\charformat </w:instrText>
    </w:r>
    <w:r w:rsidRPr="00294ED3">
      <w:fldChar w:fldCharType="end"/>
    </w:r>
    <w:r w:rsidRPr="00294ED3">
      <w:tab/>
      <w:t xml:space="preserve">pnr: </w:t>
    </w:r>
    <w:r w:rsidRPr="00294ED3">
      <w:fldChar w:fldCharType="begin" w:fldLock="1"/>
    </w:r>
    <w:r w:rsidRPr="00294ED3">
      <w:instrText xml:space="preserve"> DOCPROPERTY</w:instrText>
    </w:r>
    <w:r w:rsidRPr="00294ED3">
      <w:rPr>
        <w:sz w:val="18"/>
      </w:rPr>
      <w:instrText xml:space="preserve"> "Partinummer" *\charformat </w:instrText>
    </w:r>
    <w:r w:rsidRPr="00294ED3">
      <w:fldChar w:fldCharType="separate"/>
    </w:r>
    <w:r w:rsidRPr="00294ED3">
      <w:t>KD606</w:t>
    </w:r>
    <w:r w:rsidRPr="00294ED3">
      <w:fldChar w:fldCharType="end"/>
    </w:r>
  </w:p>
  <w:p w:rsidR="00294ED3" w:rsidRPr="00294ED3" w:rsidRDefault="00294ED3">
    <w:pPr>
      <w:pStyle w:val="FSHRub1"/>
    </w:pPr>
    <w:r w:rsidRPr="00294ED3">
      <w:t>Motion till riksdagen</w:t>
    </w:r>
    <w:r w:rsidRPr="00294ED3">
      <w:br/>
    </w:r>
    <w:r w:rsidRPr="00294ED3">
      <w:fldChar w:fldCharType="begin" w:fldLock="1"/>
    </w:r>
    <w:r w:rsidRPr="00294ED3">
      <w:instrText xml:space="preserve"> DOCPROPERTY "YearUser" *\charformat </w:instrText>
    </w:r>
    <w:r w:rsidRPr="00294ED3">
      <w:fldChar w:fldCharType="separate"/>
    </w:r>
    <w:r w:rsidRPr="00294ED3">
      <w:t>2010/11</w:t>
    </w:r>
    <w:r w:rsidRPr="00294ED3">
      <w:fldChar w:fldCharType="end"/>
    </w:r>
    <w:r w:rsidRPr="00294ED3">
      <w:t>:</w:t>
    </w:r>
    <w:r w:rsidRPr="00294ED3">
      <w:fldChar w:fldCharType="begin" w:fldLock="1"/>
    </w:r>
    <w:r w:rsidRPr="00294ED3">
      <w:instrText xml:space="preserve"> DOCPROPERTY "Motionsnummer" *\charformat </w:instrText>
    </w:r>
    <w:r w:rsidRPr="00294ED3">
      <w:fldChar w:fldCharType="separate"/>
    </w:r>
    <w:r w:rsidRPr="00294ED3">
      <w:t>MJ337</w:t>
    </w:r>
    <w:r w:rsidRPr="00294ED3">
      <w:fldChar w:fldCharType="end"/>
    </w:r>
  </w:p>
  <w:p w:rsidR="00294ED3" w:rsidRPr="00294ED3" w:rsidRDefault="00294ED3">
    <w:pPr>
      <w:pStyle w:val="FSHNormalS5"/>
    </w:pPr>
    <w:r w:rsidRPr="00294ED3">
      <w:fldChar w:fldCharType="begin" w:fldLock="1"/>
    </w:r>
    <w:r w:rsidRPr="00294ED3">
      <w:instrText xml:space="preserve"> DOCPROPERTY "MotionarText" *\charformat </w:instrText>
    </w:r>
    <w:r w:rsidRPr="00294ED3">
      <w:fldChar w:fldCharType="separate"/>
    </w:r>
    <w:r w:rsidRPr="00294ED3">
      <w:t>av Anders Andersson (KD)</w:t>
    </w:r>
    <w:r w:rsidRPr="00294ED3">
      <w:fldChar w:fldCharType="end"/>
    </w:r>
    <w:r w:rsidRPr="00294ED3">
      <w:br/>
    </w:r>
    <w:r w:rsidRPr="00294ED3">
      <w:fldChar w:fldCharType="begin" w:fldLock="1"/>
    </w:r>
    <w:r w:rsidRPr="00294ED3">
      <w:instrText xml:space="preserve"> DOCPROPERTY "SvarFrasKort" *\charformat </w:instrText>
    </w:r>
    <w:r w:rsidRPr="00294ED3">
      <w:fldChar w:fldCharType="end"/>
    </w:r>
  </w:p>
  <w:p w:rsidR="00294ED3" w:rsidRPr="00294ED3" w:rsidRDefault="00294ED3">
    <w:pPr>
      <w:pStyle w:val="FSHTitel"/>
    </w:pPr>
    <w:r w:rsidRPr="00294ED3">
      <w:fldChar w:fldCharType="begin" w:fldLock="1"/>
    </w:r>
    <w:r w:rsidRPr="00294ED3">
      <w:instrText xml:space="preserve"> DOCPROPERTY</w:instrText>
    </w:r>
    <w:r w:rsidRPr="00294ED3">
      <w:rPr>
        <w:sz w:val="18"/>
      </w:rPr>
      <w:instrText xml:space="preserve"> "RubrikSvar" *\charformat </w:instrText>
    </w:r>
    <w:r w:rsidRPr="00294ED3">
      <w:fldChar w:fldCharType="separate"/>
    </w:r>
    <w:r w:rsidRPr="00294ED3">
      <w:t>Förbud mot oljeborrning</w:t>
    </w:r>
    <w:r w:rsidRPr="00294ED3">
      <w:fldChar w:fldCharType="end"/>
    </w:r>
  </w:p>
  <w:p w:rsidR="00294ED3" w:rsidRPr="00294ED3" w:rsidRDefault="00294ED3">
    <w:pPr>
      <w:pStyle w:val="Normal00"/>
    </w:pPr>
  </w:p>
  <w:p w:rsidR="00294ED3" w:rsidRPr="00294ED3" w:rsidRDefault="00294E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2319453">
    <w:abstractNumId w:val="3"/>
  </w:num>
  <w:num w:numId="2" w16cid:durableId="2108308240">
    <w:abstractNumId w:val="2"/>
  </w:num>
  <w:num w:numId="3" w16cid:durableId="514730321">
    <w:abstractNumId w:val="1"/>
  </w:num>
  <w:num w:numId="4" w16cid:durableId="1310591738">
    <w:abstractNumId w:val="0"/>
  </w:num>
  <w:num w:numId="5" w16cid:durableId="1309092271">
    <w:abstractNumId w:val="7"/>
  </w:num>
  <w:num w:numId="6" w16cid:durableId="1201361462">
    <w:abstractNumId w:val="6"/>
  </w:num>
  <w:num w:numId="7" w16cid:durableId="447817202">
    <w:abstractNumId w:val="5"/>
  </w:num>
  <w:num w:numId="8" w16cid:durableId="15429892">
    <w:abstractNumId w:val="4"/>
  </w:num>
  <w:num w:numId="9" w16cid:durableId="1943950783">
    <w:abstractNumId w:val="8"/>
  </w:num>
  <w:num w:numId="10" w16cid:durableId="1286540742">
    <w:abstractNumId w:val="9"/>
  </w:num>
  <w:num w:numId="11" w16cid:durableId="275410683">
    <w:abstractNumId w:val="10"/>
  </w:num>
  <w:num w:numId="12" w16cid:durableId="1642416086">
    <w:abstractNumId w:val="13"/>
  </w:num>
  <w:num w:numId="13" w16cid:durableId="633675030">
    <w:abstractNumId w:val="15"/>
  </w:num>
  <w:num w:numId="14" w16cid:durableId="58525930">
    <w:abstractNumId w:val="16"/>
  </w:num>
  <w:num w:numId="15" w16cid:durableId="656999966">
    <w:abstractNumId w:val="11"/>
  </w:num>
  <w:num w:numId="16" w16cid:durableId="1302466063">
    <w:abstractNumId w:val="18"/>
  </w:num>
  <w:num w:numId="17" w16cid:durableId="134493749">
    <w:abstractNumId w:val="17"/>
  </w:num>
  <w:num w:numId="18" w16cid:durableId="1571840211">
    <w:abstractNumId w:val="14"/>
  </w:num>
  <w:num w:numId="19" w16cid:durableId="1523939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53D611A0-C805-4B3D-A620-E788E8531D53}"/>
  </w:docVars>
  <w:rsids>
    <w:rsidRoot w:val="00D11C69"/>
    <w:rsid w:val="00294ED3"/>
    <w:rsid w:val="00D11C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71B0D7D-CE54-4845-B3A1-B913EAC1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2422</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kd606</vt:lpstr>
    </vt:vector>
  </TitlesOfParts>
  <Company>Riksdagen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kd606</dc:title>
  <dc:subject>kd606</dc:subject>
  <dc:creator>Riksdagen</dc:creator>
  <cp:keywords>Riksdagen</cp:keywords>
  <dc:description>Versal/gemen i partibeteckning. Gemen i tryck för 0910, versal för 1011 och nyare</dc:description>
  <cp:lastModifiedBy>Lars Brink</cp:lastModifiedBy>
  <cp:revision>2</cp:revision>
  <cp:lastPrinted>2010-12-10T09:34:00Z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oljeborrning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oljeborrning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20102011000001070100000006060069</vt:lpwstr>
  </property>
  <property fmtid="{D5CDD505-2E9C-101B-9397-08002B2CF9AE}" pid="47" name="datum">
    <vt:lpwstr>101025</vt:lpwstr>
  </property>
  <property fmtid="{D5CDD505-2E9C-101B-9397-08002B2CF9AE}" pid="48" name="avsändar-e-post">
    <vt:lpwstr>martin.stahlgren@riksdagen.se</vt:lpwstr>
  </property>
  <property fmtid="{D5CDD505-2E9C-101B-9397-08002B2CF9AE}" pid="49" name="id">
    <vt:lpwstr>20102011000001070100000006060069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{BFB90133-0D8B-4B00-BC94-98DEC5E94C9D}</vt:lpwstr>
  </property>
  <property fmtid="{D5CDD505-2E9C-101B-9397-08002B2CF9AE}" pid="53" name="Överföringar">
    <vt:i4>0</vt:i4>
  </property>
  <property fmtid="{D5CDD505-2E9C-101B-9397-08002B2CF9AE}" pid="54" name="Checksum">
    <vt:lpwstr>*1002649651475*</vt:lpwstr>
  </property>
  <property fmtid="{D5CDD505-2E9C-101B-9397-08002B2CF9AE}" pid="55" name="skuggnummer">
    <vt:lpwstr>1860</vt:lpwstr>
  </property>
  <property fmtid="{D5CDD505-2E9C-101B-9397-08002B2CF9AE}" pid="56" name="urixVersion">
    <vt:lpwstr>4.3.2.0</vt:lpwstr>
  </property>
  <property fmtid="{D5CDD505-2E9C-101B-9397-08002B2CF9AE}" pid="57" name="urixOrigin">
    <vt:lpwstr>110222 08:47:19.769</vt:lpwstr>
  </property>
  <property fmtid="{D5CDD505-2E9C-101B-9397-08002B2CF9AE}" pid="58" name="urixGuid">
    <vt:lpwstr>{87D52916-0653-4DD9-B224-83231FF8542A}</vt:lpwstr>
  </property>
</Properties>
</file>