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E22BE" w:rsidTr="00ED1566">
        <w:tblPrEx>
          <w:tblCellMar>
            <w:top w:w="0" w:type="dxa"/>
            <w:bottom w:w="0" w:type="dxa"/>
          </w:tblCellMar>
        </w:tblPrEx>
        <w:tc>
          <w:tcPr>
            <w:tcW w:w="2268" w:type="dxa"/>
          </w:tcPr>
          <w:p w:rsidR="006E4E11" w:rsidRPr="009E22B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E22BE" w:rsidRDefault="006E4E11" w:rsidP="007242A3">
            <w:pPr>
              <w:framePr w:w="5035" w:h="1644" w:wrap="notBeside" w:vAnchor="page" w:hAnchor="page" w:x="6573" w:y="721"/>
              <w:rPr>
                <w:rFonts w:ascii="TradeGothic" w:hAnsi="TradeGothic"/>
                <w:i/>
                <w:sz w:val="18"/>
              </w:rPr>
            </w:pPr>
          </w:p>
        </w:tc>
      </w:tr>
      <w:tr w:rsidR="00ED1566" w:rsidRPr="009E22BE" w:rsidTr="00ED1566">
        <w:tblPrEx>
          <w:tblCellMar>
            <w:top w:w="0" w:type="dxa"/>
            <w:bottom w:w="0" w:type="dxa"/>
          </w:tblCellMar>
        </w:tblPrEx>
        <w:tc>
          <w:tcPr>
            <w:tcW w:w="5267" w:type="dxa"/>
            <w:gridSpan w:val="3"/>
          </w:tcPr>
          <w:p w:rsidR="00ED1566" w:rsidRPr="009E22BE" w:rsidRDefault="00ED1566" w:rsidP="007242A3">
            <w:pPr>
              <w:framePr w:w="5035" w:h="1644" w:wrap="notBeside" w:vAnchor="page" w:hAnchor="page" w:x="6573" w:y="721"/>
              <w:rPr>
                <w:rFonts w:ascii="TradeGothic" w:hAnsi="TradeGothic"/>
                <w:b/>
                <w:sz w:val="22"/>
              </w:rPr>
            </w:pPr>
            <w:r w:rsidRPr="009E22BE">
              <w:rPr>
                <w:rFonts w:ascii="TradeGothic" w:hAnsi="TradeGothic"/>
                <w:b/>
                <w:sz w:val="22"/>
              </w:rPr>
              <w:t>Rådspromemoria</w:t>
            </w:r>
            <w:r w:rsidR="009019A2" w:rsidRPr="009E22BE">
              <w:rPr>
                <w:rFonts w:ascii="TradeGothic" w:hAnsi="TradeGothic"/>
                <w:b/>
                <w:sz w:val="22"/>
              </w:rPr>
              <w:t xml:space="preserve"> </w:t>
            </w:r>
          </w:p>
        </w:tc>
      </w:tr>
      <w:tr w:rsidR="006E4E11" w:rsidRPr="009E22BE" w:rsidTr="00ED1566">
        <w:tblPrEx>
          <w:tblCellMar>
            <w:top w:w="0" w:type="dxa"/>
            <w:bottom w:w="0" w:type="dxa"/>
          </w:tblCellMar>
        </w:tblPrEx>
        <w:tc>
          <w:tcPr>
            <w:tcW w:w="3402" w:type="dxa"/>
            <w:gridSpan w:val="2"/>
          </w:tcPr>
          <w:p w:rsidR="006E4E11" w:rsidRPr="009E22BE" w:rsidRDefault="00300002" w:rsidP="007242A3">
            <w:pPr>
              <w:framePr w:w="5035" w:h="1644" w:wrap="notBeside" w:vAnchor="page" w:hAnchor="page" w:x="6573" w:y="721"/>
            </w:pPr>
            <w:r w:rsidRPr="009E22BE">
              <w:t>Bilaga 1</w:t>
            </w:r>
          </w:p>
        </w:tc>
        <w:tc>
          <w:tcPr>
            <w:tcW w:w="1865" w:type="dxa"/>
          </w:tcPr>
          <w:p w:rsidR="006E4E11" w:rsidRPr="009E22BE" w:rsidRDefault="006E4E11" w:rsidP="007242A3">
            <w:pPr>
              <w:framePr w:w="5035" w:h="1644" w:wrap="notBeside" w:vAnchor="page" w:hAnchor="page" w:x="6573" w:y="721"/>
            </w:pPr>
          </w:p>
        </w:tc>
      </w:tr>
      <w:tr w:rsidR="006E4E11" w:rsidRPr="009E22BE" w:rsidTr="00ED1566">
        <w:tblPrEx>
          <w:tblCellMar>
            <w:top w:w="0" w:type="dxa"/>
            <w:bottom w:w="0" w:type="dxa"/>
          </w:tblCellMar>
        </w:tblPrEx>
        <w:tc>
          <w:tcPr>
            <w:tcW w:w="2268" w:type="dxa"/>
          </w:tcPr>
          <w:p w:rsidR="006E4E11" w:rsidRPr="009E22BE" w:rsidRDefault="00ED1566" w:rsidP="007242A3">
            <w:pPr>
              <w:framePr w:w="5035" w:h="1644" w:wrap="notBeside" w:vAnchor="page" w:hAnchor="page" w:x="6573" w:y="721"/>
            </w:pPr>
            <w:r w:rsidRPr="009E22BE">
              <w:t>2011-09-2</w:t>
            </w:r>
            <w:r w:rsidR="0040403F" w:rsidRPr="009E22BE">
              <w:t>9</w:t>
            </w:r>
          </w:p>
        </w:tc>
        <w:tc>
          <w:tcPr>
            <w:tcW w:w="2999" w:type="dxa"/>
            <w:gridSpan w:val="2"/>
          </w:tcPr>
          <w:p w:rsidR="006E4E11" w:rsidRPr="009E22BE" w:rsidRDefault="006E4E11" w:rsidP="007242A3">
            <w:pPr>
              <w:framePr w:w="5035" w:h="1644" w:wrap="notBeside" w:vAnchor="page" w:hAnchor="page" w:x="6573" w:y="721"/>
              <w:rPr>
                <w:sz w:val="20"/>
              </w:rPr>
            </w:pPr>
          </w:p>
        </w:tc>
      </w:tr>
      <w:tr w:rsidR="006E4E11" w:rsidRPr="009E22BE" w:rsidTr="00ED1566">
        <w:tblPrEx>
          <w:tblCellMar>
            <w:top w:w="0" w:type="dxa"/>
            <w:bottom w:w="0" w:type="dxa"/>
          </w:tblCellMar>
        </w:tblPrEx>
        <w:tc>
          <w:tcPr>
            <w:tcW w:w="2268" w:type="dxa"/>
          </w:tcPr>
          <w:p w:rsidR="006E4E11" w:rsidRPr="009E22BE" w:rsidRDefault="006E4E11" w:rsidP="007242A3">
            <w:pPr>
              <w:framePr w:w="5035" w:h="1644" w:wrap="notBeside" w:vAnchor="page" w:hAnchor="page" w:x="6573" w:y="721"/>
            </w:pPr>
          </w:p>
        </w:tc>
        <w:tc>
          <w:tcPr>
            <w:tcW w:w="2999" w:type="dxa"/>
            <w:gridSpan w:val="2"/>
          </w:tcPr>
          <w:p w:rsidR="006E4E11" w:rsidRPr="009E22B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E22BE">
        <w:tblPrEx>
          <w:tblCellMar>
            <w:top w:w="0" w:type="dxa"/>
            <w:bottom w:w="0" w:type="dxa"/>
          </w:tblCellMar>
        </w:tblPrEx>
        <w:trPr>
          <w:trHeight w:val="284"/>
        </w:trPr>
        <w:tc>
          <w:tcPr>
            <w:tcW w:w="4911" w:type="dxa"/>
          </w:tcPr>
          <w:p w:rsidR="006E4E11" w:rsidRPr="009E22BE" w:rsidRDefault="00ED1566">
            <w:pPr>
              <w:pStyle w:val="Avsndare"/>
              <w:framePr w:h="2483" w:wrap="notBeside" w:x="1504"/>
              <w:rPr>
                <w:b/>
                <w:i w:val="0"/>
                <w:sz w:val="22"/>
              </w:rPr>
            </w:pPr>
            <w:r w:rsidRPr="009E22BE">
              <w:rPr>
                <w:b/>
                <w:i w:val="0"/>
                <w:sz w:val="22"/>
              </w:rPr>
              <w:t>Miljödepartementet</w:t>
            </w: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r w:rsidR="006E4E11" w:rsidRPr="009E22BE">
        <w:tblPrEx>
          <w:tblCellMar>
            <w:top w:w="0" w:type="dxa"/>
            <w:bottom w:w="0" w:type="dxa"/>
          </w:tblCellMar>
        </w:tblPrEx>
        <w:trPr>
          <w:trHeight w:val="284"/>
        </w:trPr>
        <w:tc>
          <w:tcPr>
            <w:tcW w:w="4911" w:type="dxa"/>
          </w:tcPr>
          <w:p w:rsidR="006E4E11" w:rsidRPr="009E22BE" w:rsidRDefault="00ED1566">
            <w:pPr>
              <w:pStyle w:val="Avsndare"/>
              <w:framePr w:h="2483" w:wrap="notBeside" w:x="1504"/>
              <w:rPr>
                <w:bCs/>
                <w:iCs/>
              </w:rPr>
            </w:pPr>
            <w:r w:rsidRPr="009E22BE">
              <w:rPr>
                <w:bCs/>
                <w:iCs/>
              </w:rPr>
              <w:t>Enheten för klimat</w:t>
            </w: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r w:rsidR="006E4E11" w:rsidRPr="009E22BE">
        <w:tblPrEx>
          <w:tblCellMar>
            <w:top w:w="0" w:type="dxa"/>
            <w:bottom w:w="0" w:type="dxa"/>
          </w:tblCellMar>
        </w:tblPrEx>
        <w:trPr>
          <w:trHeight w:val="284"/>
        </w:trPr>
        <w:tc>
          <w:tcPr>
            <w:tcW w:w="4911" w:type="dxa"/>
          </w:tcPr>
          <w:p w:rsidR="006E4E11" w:rsidRPr="009E22BE" w:rsidRDefault="006E4E11">
            <w:pPr>
              <w:pStyle w:val="Avsndare"/>
              <w:framePr w:h="2483" w:wrap="notBeside" w:x="1504"/>
              <w:rPr>
                <w:bCs/>
                <w:iCs/>
              </w:rPr>
            </w:pPr>
          </w:p>
        </w:tc>
      </w:tr>
    </w:tbl>
    <w:p w:rsidR="009019A2" w:rsidRPr="009E22BE" w:rsidRDefault="009019A2">
      <w:pPr>
        <w:framePr w:w="4400" w:h="2523" w:wrap="notBeside" w:vAnchor="page" w:hAnchor="page" w:x="6453" w:y="2445"/>
        <w:ind w:left="142"/>
        <w:rPr>
          <w:b/>
        </w:rPr>
      </w:pPr>
    </w:p>
    <w:p w:rsidR="00ED1566" w:rsidRPr="009E22BE" w:rsidRDefault="009019A2" w:rsidP="00BF177A">
      <w:pPr>
        <w:pStyle w:val="RKrubrik"/>
        <w:pBdr>
          <w:bottom w:val="single" w:sz="6" w:space="1" w:color="auto"/>
        </w:pBdr>
        <w:outlineLvl w:val="0"/>
      </w:pPr>
      <w:bookmarkStart w:id="0" w:name="bRubrik"/>
      <w:bookmarkEnd w:id="0"/>
      <w:r w:rsidRPr="009E22BE">
        <w:t>Rådets möte (miljö</w:t>
      </w:r>
      <w:r w:rsidR="00ED1566" w:rsidRPr="009E22BE">
        <w:t xml:space="preserve">) den </w:t>
      </w:r>
      <w:r w:rsidR="004805D1" w:rsidRPr="009E22BE">
        <w:t>10 oktober 2011 – rådslutsatser inför Durban</w:t>
      </w:r>
    </w:p>
    <w:p w:rsidR="00ED1566" w:rsidRPr="009E22BE" w:rsidRDefault="00ED1566">
      <w:pPr>
        <w:pStyle w:val="RKnormal"/>
      </w:pPr>
    </w:p>
    <w:p w:rsidR="00ED1566" w:rsidRPr="009E22BE" w:rsidRDefault="00BC60B3" w:rsidP="00BF177A">
      <w:pPr>
        <w:pStyle w:val="RKnormal"/>
        <w:outlineLvl w:val="0"/>
      </w:pPr>
      <w:r w:rsidRPr="009E22BE">
        <w:t xml:space="preserve">Dagordningspunkt </w:t>
      </w:r>
      <w:r w:rsidR="00BF177A" w:rsidRPr="009E22BE">
        <w:t>4</w:t>
      </w:r>
    </w:p>
    <w:p w:rsidR="00ED1566" w:rsidRPr="009E22BE" w:rsidRDefault="00ED1566">
      <w:pPr>
        <w:pStyle w:val="RKnormal"/>
      </w:pPr>
    </w:p>
    <w:p w:rsidR="00BC60B3" w:rsidRPr="009E22BE" w:rsidRDefault="00ED1566" w:rsidP="00BC60B3">
      <w:pPr>
        <w:pStyle w:val="RKnormal"/>
        <w:rPr>
          <w:lang w:eastAsia="sv-SE"/>
        </w:rPr>
      </w:pPr>
      <w:r w:rsidRPr="009E22BE">
        <w:t>Rubrik:</w:t>
      </w:r>
      <w:r w:rsidR="00BC60B3" w:rsidRPr="009E22BE">
        <w:rPr>
          <w:lang w:eastAsia="sv-SE"/>
        </w:rPr>
        <w:t xml:space="preserve"> </w:t>
      </w:r>
    </w:p>
    <w:p w:rsidR="007773B7" w:rsidRPr="009E22BE" w:rsidRDefault="007773B7" w:rsidP="007773B7">
      <w:pPr>
        <w:pStyle w:val="RKnormal"/>
      </w:pPr>
      <w:r w:rsidRPr="009E22BE">
        <w:t>Förberedelser inför den 17:e sessionen i partskonferensen (COP 17) för FN:s ramkonvention om klimatförändringar (UNFCCC) och den 7:e sessionen i partsmötet för Kyotoprotokollet (CMP 7) (Durban, Sydafrika, den 28 november–9 december 2010)</w:t>
      </w:r>
    </w:p>
    <w:p w:rsidR="007773B7" w:rsidRPr="009E22BE" w:rsidRDefault="007773B7" w:rsidP="007773B7">
      <w:pPr>
        <w:pStyle w:val="RKnormal"/>
        <w:rPr>
          <w:i/>
        </w:rPr>
      </w:pPr>
      <w:r w:rsidRPr="009E22BE">
        <w:rPr>
          <w:i/>
        </w:rPr>
        <w:t>– antagande av rådets slutsatser</w:t>
      </w:r>
    </w:p>
    <w:p w:rsidR="00ED1566" w:rsidRPr="009E22BE" w:rsidRDefault="00ED1566">
      <w:pPr>
        <w:pStyle w:val="RKnormal"/>
      </w:pPr>
    </w:p>
    <w:p w:rsidR="00ED1566" w:rsidRPr="009E22BE" w:rsidRDefault="00ED1566">
      <w:pPr>
        <w:pStyle w:val="RKnormal"/>
      </w:pPr>
      <w:r w:rsidRPr="009E22BE">
        <w:t>Dokument:</w:t>
      </w:r>
      <w:r w:rsidR="00BC60B3" w:rsidRPr="009E22BE">
        <w:t xml:space="preserve"> </w:t>
      </w:r>
      <w:r w:rsidR="0065765E" w:rsidRPr="009E22BE">
        <w:t xml:space="preserve"> 14480/11</w:t>
      </w:r>
    </w:p>
    <w:p w:rsidR="0003433B" w:rsidRPr="009E22BE" w:rsidRDefault="0003433B">
      <w:pPr>
        <w:pStyle w:val="RKnormal"/>
      </w:pPr>
    </w:p>
    <w:p w:rsidR="00ED1566" w:rsidRPr="009E22BE" w:rsidRDefault="00ED1566">
      <w:pPr>
        <w:pStyle w:val="RKnormal"/>
      </w:pPr>
      <w:r w:rsidRPr="009E22BE">
        <w:t xml:space="preserve">Tidigare dokument: </w:t>
      </w:r>
      <w:r w:rsidR="00B3604D" w:rsidRPr="009E22BE">
        <w:t>-</w:t>
      </w:r>
      <w:r w:rsidRPr="009E22BE">
        <w:t xml:space="preserve">          </w:t>
      </w:r>
    </w:p>
    <w:p w:rsidR="00ED1566" w:rsidRPr="009E22BE" w:rsidRDefault="00ED1566">
      <w:pPr>
        <w:pStyle w:val="RKnormal"/>
      </w:pPr>
    </w:p>
    <w:p w:rsidR="00ED1566" w:rsidRPr="009E22BE" w:rsidRDefault="00ED1566">
      <w:pPr>
        <w:pStyle w:val="RKnormal"/>
      </w:pPr>
      <w:r w:rsidRPr="009E22BE">
        <w:t xml:space="preserve">Tidigare behandlad vid samråd med EU-nämnden: </w:t>
      </w:r>
      <w:r w:rsidR="0065765E" w:rsidRPr="009E22BE">
        <w:t>Nej</w:t>
      </w:r>
    </w:p>
    <w:p w:rsidR="00ED1566" w:rsidRPr="009E22BE" w:rsidRDefault="00ED1566" w:rsidP="00BF177A">
      <w:pPr>
        <w:pStyle w:val="RKrubrik"/>
        <w:outlineLvl w:val="0"/>
      </w:pPr>
      <w:r w:rsidRPr="009E22BE">
        <w:t>Bakgrund</w:t>
      </w:r>
    </w:p>
    <w:p w:rsidR="00ED1566" w:rsidRPr="009E22BE" w:rsidRDefault="00B3604D">
      <w:pPr>
        <w:pStyle w:val="RKnormal"/>
      </w:pPr>
      <w:r w:rsidRPr="009E22BE">
        <w:t>Den sjuttonde partskonferensen inom klimatkonventionen (UNFCCC) respektive det sjunde partsmötet inom Kyo</w:t>
      </w:r>
      <w:r w:rsidR="00F07B3D" w:rsidRPr="009E22BE">
        <w:t xml:space="preserve">toprotokollet äger rum i Durban, Sydafrika den 28 november – 9 december 2011. Inför detta möte kommer EU:s miljöministerråd att anta rådsslutsatser den 10 oktober 2011. </w:t>
      </w:r>
    </w:p>
    <w:p w:rsidR="00ED1566" w:rsidRPr="009E22BE" w:rsidRDefault="00ED1566" w:rsidP="00BF177A">
      <w:pPr>
        <w:pStyle w:val="RKrubrik"/>
        <w:outlineLvl w:val="0"/>
      </w:pPr>
      <w:r w:rsidRPr="009E22BE">
        <w:t>Rättslig grund och beslutsförfarande</w:t>
      </w:r>
    </w:p>
    <w:p w:rsidR="00ED1566" w:rsidRPr="009E22BE" w:rsidRDefault="00F460B2" w:rsidP="00BF177A">
      <w:pPr>
        <w:pStyle w:val="RKnormal"/>
        <w:outlineLvl w:val="0"/>
      </w:pPr>
      <w:r w:rsidRPr="009E22BE">
        <w:t>Rådsslutsatser antas med enhällighet</w:t>
      </w:r>
      <w:r w:rsidR="00BF177A" w:rsidRPr="009E22BE">
        <w:t>.</w:t>
      </w:r>
    </w:p>
    <w:p w:rsidR="00002F77" w:rsidRPr="009E22BE" w:rsidRDefault="00ED1566" w:rsidP="00BF177A">
      <w:pPr>
        <w:pStyle w:val="RKrubrik"/>
        <w:outlineLvl w:val="0"/>
        <w:rPr>
          <w:i/>
          <w:iCs/>
        </w:rPr>
      </w:pPr>
      <w:r w:rsidRPr="009E22BE">
        <w:t>Svensk ståndpunkt</w:t>
      </w:r>
    </w:p>
    <w:p w:rsidR="00F460B2" w:rsidRPr="009E22BE" w:rsidRDefault="00F460B2" w:rsidP="00F460B2">
      <w:pPr>
        <w:pStyle w:val="RKnormal"/>
      </w:pPr>
      <w:r w:rsidRPr="009E22BE">
        <w:t xml:space="preserve">Regeringens mål är fortsatt ett övergripande rättsligt bindande ramverk som håller tvågradersmålet inom räckhåll. Avgörande för att nå tvågradersmålet är att ambitionen i hittills gjorda utsläppsåtagandena skärps och att världen långsiktigt styr in på en koldioxidsnål utveckling. EU och Sverige ska fortsatt vara ledande i detta arbete. </w:t>
      </w:r>
    </w:p>
    <w:p w:rsidR="00F460B2" w:rsidRPr="009E22BE" w:rsidRDefault="00F460B2" w:rsidP="00F460B2">
      <w:pPr>
        <w:pStyle w:val="RKnormal"/>
      </w:pPr>
    </w:p>
    <w:p w:rsidR="00F460B2" w:rsidRPr="009E22BE" w:rsidRDefault="00BF177A" w:rsidP="00F460B2">
      <w:pPr>
        <w:pStyle w:val="RKnormal"/>
      </w:pPr>
      <w:r w:rsidRPr="009E22BE">
        <w:lastRenderedPageBreak/>
        <w:t>Sverige vill se ett starkt EU-</w:t>
      </w:r>
      <w:r w:rsidR="00F460B2" w:rsidRPr="009E22BE">
        <w:t xml:space="preserve">mandat inför Durban som tydligt signalerar vikten av att gå framåt i förhandlingarna i frågan om globala utsläppsminskningar, vikten av att utsläppen ska kunna följas upp och vikten av en breddning av insatserna till alla stora utsläppare utanför EU. </w:t>
      </w:r>
    </w:p>
    <w:p w:rsidR="00F460B2" w:rsidRPr="009E22BE" w:rsidRDefault="00F460B2">
      <w:pPr>
        <w:pStyle w:val="RKnormal"/>
      </w:pPr>
    </w:p>
    <w:p w:rsidR="005E49C3" w:rsidRPr="009E22BE" w:rsidRDefault="002C35A0">
      <w:pPr>
        <w:pStyle w:val="RKnormal"/>
      </w:pPr>
      <w:r w:rsidRPr="009E22BE">
        <w:t>S</w:t>
      </w:r>
      <w:r w:rsidR="00F460B2" w:rsidRPr="009E22BE">
        <w:t>verige</w:t>
      </w:r>
      <w:r w:rsidRPr="009E22BE">
        <w:t xml:space="preserve"> anser att det är viktigt att EU i rådsslutsatserna pekar på vikten av de framsteg som gjorts under året för att implementera Cancúnöverenskommelsen.</w:t>
      </w:r>
      <w:r w:rsidR="00104B8F" w:rsidRPr="009E22BE">
        <w:t xml:space="preserve"> Samtidigt är det centralt att beton</w:t>
      </w:r>
      <w:r w:rsidRPr="009E22BE">
        <w:t>a</w:t>
      </w:r>
      <w:r w:rsidR="00104B8F" w:rsidRPr="009E22BE">
        <w:t xml:space="preserve"> att</w:t>
      </w:r>
      <w:r w:rsidRPr="009E22BE">
        <w:t xml:space="preserve"> </w:t>
      </w:r>
      <w:r w:rsidR="00002F77" w:rsidRPr="009E22BE">
        <w:t xml:space="preserve">många svåra frågor återstår att lösa i Durban och under kommande år. Inte minst är </w:t>
      </w:r>
      <w:r w:rsidRPr="009E22BE">
        <w:t xml:space="preserve">de åtaganden och åtgärder </w:t>
      </w:r>
      <w:r w:rsidR="007459AD" w:rsidRPr="009E22BE">
        <w:t xml:space="preserve">för utsläppsminskningar </w:t>
      </w:r>
      <w:r w:rsidRPr="009E22BE">
        <w:t xml:space="preserve">som parterna hittills </w:t>
      </w:r>
      <w:r w:rsidR="007459AD" w:rsidRPr="009E22BE">
        <w:t>åtagit sig</w:t>
      </w:r>
      <w:r w:rsidRPr="009E22BE">
        <w:t xml:space="preserve"> långt ifrån tillräckliga för att nå </w:t>
      </w:r>
      <w:r w:rsidR="003C3980" w:rsidRPr="009E22BE">
        <w:t xml:space="preserve">det mål om att den globala temperaturökningen inte ska överstiga 2 grader som antogs vid COP16 i Cancún i december 2010. </w:t>
      </w:r>
      <w:r w:rsidR="00002F77" w:rsidRPr="009E22BE">
        <w:t xml:space="preserve">EU behöver därför fortsatt verka för </w:t>
      </w:r>
      <w:r w:rsidR="005E49C3" w:rsidRPr="009E22BE">
        <w:t xml:space="preserve">fördjupade och formaliserade </w:t>
      </w:r>
      <w:r w:rsidR="003C3980" w:rsidRPr="009E22BE">
        <w:t>åtaganden från alla större ekonomier</w:t>
      </w:r>
      <w:r w:rsidR="004805D1" w:rsidRPr="009E22BE">
        <w:t>. EU behöver därtill verka</w:t>
      </w:r>
      <w:r w:rsidR="005E49C3" w:rsidRPr="009E22BE">
        <w:t xml:space="preserve"> för att framsteg görs rörande mål för de globala utsläppen till 2050 och peakår</w:t>
      </w:r>
      <w:r w:rsidR="00133E83" w:rsidRPr="009E22BE">
        <w:t xml:space="preserve">, </w:t>
      </w:r>
      <w:r w:rsidR="00563500" w:rsidRPr="009E22BE">
        <w:t xml:space="preserve">för </w:t>
      </w:r>
      <w:r w:rsidR="00133E83" w:rsidRPr="009E22BE">
        <w:t>att nya marknadsbaserade mekanismer kan etableras</w:t>
      </w:r>
      <w:r w:rsidR="005E49C3" w:rsidRPr="009E22BE">
        <w:t xml:space="preserve"> samt </w:t>
      </w:r>
      <w:r w:rsidR="00133E83" w:rsidRPr="009E22BE">
        <w:t xml:space="preserve">för att </w:t>
      </w:r>
      <w:r w:rsidR="005E49C3" w:rsidRPr="009E22BE">
        <w:t>beslut som beskriver hur åtaganden kan följas upp (mätas, rapporteras och verifieras)</w:t>
      </w:r>
      <w:r w:rsidR="00563500" w:rsidRPr="009E22BE">
        <w:t xml:space="preserve"> tas</w:t>
      </w:r>
      <w:r w:rsidR="005E49C3" w:rsidRPr="009E22BE">
        <w:t xml:space="preserve">. </w:t>
      </w:r>
    </w:p>
    <w:p w:rsidR="002C35A0" w:rsidRPr="009E22BE" w:rsidRDefault="002C35A0">
      <w:pPr>
        <w:pStyle w:val="RKnormal"/>
      </w:pPr>
    </w:p>
    <w:p w:rsidR="002C35A0" w:rsidRPr="009E22BE" w:rsidRDefault="00E45789">
      <w:pPr>
        <w:pStyle w:val="RKnormal"/>
        <w:rPr>
          <w:rFonts w:cs="OrigGarmnd BT"/>
          <w:color w:val="000000"/>
          <w:szCs w:val="24"/>
          <w:lang w:eastAsia="sv-SE"/>
        </w:rPr>
      </w:pPr>
      <w:r w:rsidRPr="009E22BE">
        <w:t>När det gäller EU:s inställning till en andra åtagandeperiod under Kyotoprotokollet (KPCP2) så anser S</w:t>
      </w:r>
      <w:r w:rsidR="00F460B2" w:rsidRPr="009E22BE">
        <w:t>verige</w:t>
      </w:r>
      <w:r w:rsidRPr="009E22BE">
        <w:t xml:space="preserve"> att EU även fortsatt ska betona fördelarna med en bred överenskommelse som omfattar alla utsläppare. </w:t>
      </w:r>
      <w:r w:rsidR="005E49C3" w:rsidRPr="009E22BE">
        <w:t xml:space="preserve">Samtidigt bör EU </w:t>
      </w:r>
      <w:r w:rsidR="00644FEB" w:rsidRPr="009E22BE">
        <w:t>ytterligare klargöra sin</w:t>
      </w:r>
      <w:r w:rsidR="005E49C3" w:rsidRPr="009E22BE">
        <w:t xml:space="preserve"> öppenhet för att gå in i en andra åtagandeperiod under Kyotoprotokollet under förutsättning att vi kan se att parallella framsteg kan nås under </w:t>
      </w:r>
      <w:r w:rsidRPr="009E22BE">
        <w:t xml:space="preserve">konventionsspåret (LCA). </w:t>
      </w:r>
      <w:r w:rsidR="00C04D91" w:rsidRPr="009E22BE">
        <w:t>Regeringen</w:t>
      </w:r>
      <w:r w:rsidR="002C35A0" w:rsidRPr="009E22BE">
        <w:t xml:space="preserve"> ser behov av att </w:t>
      </w:r>
      <w:r w:rsidR="00F460B2" w:rsidRPr="009E22BE">
        <w:t xml:space="preserve">EU </w:t>
      </w:r>
      <w:r w:rsidR="002C35A0" w:rsidRPr="009E22BE">
        <w:t>i rådsslutsatserna tydlig</w:t>
      </w:r>
      <w:r w:rsidR="00F460B2" w:rsidRPr="009E22BE">
        <w:t>gör att andra parter också måste bidra för att en andra åtagandeperiod under Kyotoprotokollet ska vara</w:t>
      </w:r>
      <w:r w:rsidR="00314EB2" w:rsidRPr="009E22BE">
        <w:t xml:space="preserve"> verkningsfull</w:t>
      </w:r>
      <w:r w:rsidR="00644FEB" w:rsidRPr="009E22BE">
        <w:t xml:space="preserve">.  </w:t>
      </w:r>
      <w:r w:rsidR="00300002" w:rsidRPr="009E22BE">
        <w:rPr>
          <w:rFonts w:cs="OrigGarmnd BT"/>
          <w:color w:val="000000"/>
          <w:szCs w:val="24"/>
          <w:lang w:eastAsia="sv-SE"/>
        </w:rPr>
        <w:t xml:space="preserve">Regeringen </w:t>
      </w:r>
      <w:r w:rsidR="00300002" w:rsidRPr="009E22BE">
        <w:rPr>
          <w:rFonts w:cs="OrigGarmnd BT"/>
          <w:bCs/>
          <w:color w:val="000000"/>
          <w:szCs w:val="24"/>
          <w:lang w:eastAsia="sv-SE"/>
        </w:rPr>
        <w:t xml:space="preserve">verkar </w:t>
      </w:r>
      <w:r w:rsidR="00300002" w:rsidRPr="009E22BE">
        <w:rPr>
          <w:rFonts w:cs="OrigGarmnd BT"/>
          <w:color w:val="000000"/>
          <w:szCs w:val="24"/>
          <w:lang w:eastAsia="sv-SE"/>
        </w:rPr>
        <w:t xml:space="preserve">därför </w:t>
      </w:r>
      <w:r w:rsidR="00300002" w:rsidRPr="009E22BE">
        <w:rPr>
          <w:rFonts w:cs="OrigGarmnd BT"/>
          <w:bCs/>
          <w:color w:val="000000"/>
          <w:szCs w:val="24"/>
          <w:lang w:eastAsia="sv-SE"/>
        </w:rPr>
        <w:t xml:space="preserve">för </w:t>
      </w:r>
      <w:r w:rsidR="00300002" w:rsidRPr="009E22BE">
        <w:rPr>
          <w:rFonts w:cs="OrigGarmnd BT"/>
          <w:color w:val="000000"/>
          <w:szCs w:val="24"/>
          <w:lang w:eastAsia="sv-SE"/>
        </w:rPr>
        <w:t>att EU tydligt signalerar att vi ställer krav på ett klart förhandlingsmandat för en process som ska leda till ett övergripande rättsligt bindande ramverk inklusive ett slutdatum för när ett sådant ska träda ikraft och en tydlig definition av vilka element som bör ingå.</w:t>
      </w:r>
    </w:p>
    <w:p w:rsidR="00300002" w:rsidRPr="009E22BE" w:rsidRDefault="00300002">
      <w:pPr>
        <w:pStyle w:val="RKnormal"/>
      </w:pPr>
    </w:p>
    <w:p w:rsidR="00E313E0" w:rsidRPr="009E22BE" w:rsidRDefault="003C3980" w:rsidP="007773B7">
      <w:pPr>
        <w:tabs>
          <w:tab w:val="left" w:pos="2835"/>
        </w:tabs>
        <w:overflowPunct/>
        <w:spacing w:line="240" w:lineRule="auto"/>
        <w:textAlignment w:val="auto"/>
        <w:rPr>
          <w:rFonts w:cs="OrigGarmnd BT"/>
          <w:bCs/>
          <w:color w:val="000000"/>
          <w:szCs w:val="24"/>
          <w:lang w:eastAsia="sv-SE"/>
        </w:rPr>
      </w:pPr>
      <w:r w:rsidRPr="009E22BE">
        <w:t>S</w:t>
      </w:r>
      <w:r w:rsidR="00F460B2" w:rsidRPr="009E22BE">
        <w:t>verige</w:t>
      </w:r>
      <w:r w:rsidRPr="009E22BE">
        <w:t xml:space="preserve"> anser att överskottet av utsläppsrättsenheter, s.k. AAU:s från K</w:t>
      </w:r>
      <w:r w:rsidR="00F460B2" w:rsidRPr="009E22BE">
        <w:t>yotoprotokollets</w:t>
      </w:r>
      <w:r w:rsidRPr="009E22BE">
        <w:t xml:space="preserve"> första åtagandeperiod kan vara ett problem för miljöeffektiviteten och att det bör hanteras så att sannolikheten att nå de långsiktiga målen inte minskar. Samtidigt anser S</w:t>
      </w:r>
      <w:r w:rsidR="00F460B2" w:rsidRPr="009E22BE">
        <w:t>verige</w:t>
      </w:r>
      <w:r w:rsidRPr="009E22BE">
        <w:t xml:space="preserve"> att det är </w:t>
      </w:r>
      <w:r w:rsidR="00E313E0" w:rsidRPr="009E22BE">
        <w:t xml:space="preserve">viktigt att incitament finns kvar för att länder ska vilja gå längre än sina mål. Att </w:t>
      </w:r>
      <w:r w:rsidRPr="009E22BE">
        <w:t xml:space="preserve">ändra i gällande regelverk kring AAU:s </w:t>
      </w:r>
      <w:r w:rsidR="00E313E0" w:rsidRPr="009E22BE">
        <w:t xml:space="preserve">kan också </w:t>
      </w:r>
      <w:r w:rsidRPr="009E22BE">
        <w:t>skapa osäkerhet om framtida värde på liknande enheter</w:t>
      </w:r>
      <w:r w:rsidR="00644FEB" w:rsidRPr="009E22BE">
        <w:t>.</w:t>
      </w:r>
      <w:r w:rsidR="007773B7" w:rsidRPr="009E22BE">
        <w:t xml:space="preserve"> </w:t>
      </w:r>
      <w:r w:rsidR="007773B7" w:rsidRPr="009E22BE">
        <w:rPr>
          <w:rFonts w:cs="OrigGarmnd BT"/>
          <w:color w:val="000000"/>
          <w:szCs w:val="24"/>
          <w:lang w:eastAsia="sv-SE"/>
        </w:rPr>
        <w:t xml:space="preserve">Sverige verkar utifrån detta aktivt för att EU, tillsammans med andra parter, ska hantera AAU-överskottet från den första åtagandeperioden, på sätt som säkerställer miljöintegriteten och klimatmålen, </w:t>
      </w:r>
      <w:r w:rsidR="007773B7" w:rsidRPr="009E22BE">
        <w:rPr>
          <w:rFonts w:cs="OrigGarmnd BT"/>
          <w:bCs/>
          <w:color w:val="000000"/>
          <w:szCs w:val="24"/>
          <w:lang w:eastAsia="sv-SE"/>
        </w:rPr>
        <w:t>samtidigt som incitament för länder att gå längre än sina åtaganden finns kvar.</w:t>
      </w:r>
    </w:p>
    <w:p w:rsidR="003C3980" w:rsidRPr="009E22BE" w:rsidRDefault="003C3980" w:rsidP="003C3980">
      <w:pPr>
        <w:pStyle w:val="RKnormal"/>
      </w:pPr>
    </w:p>
    <w:p w:rsidR="003C3980" w:rsidRPr="009E22BE" w:rsidRDefault="00E313E0" w:rsidP="003C3980">
      <w:pPr>
        <w:pStyle w:val="RKnormal"/>
      </w:pPr>
      <w:r w:rsidRPr="009E22BE">
        <w:t xml:space="preserve">Regeringen vill se att EU befäster sin ledande roll i klimatarbetet och anser att </w:t>
      </w:r>
      <w:r w:rsidR="003C3980" w:rsidRPr="009E22BE">
        <w:t xml:space="preserve">EU i rådsslutsatserna </w:t>
      </w:r>
      <w:r w:rsidRPr="009E22BE">
        <w:t xml:space="preserve">därför också </w:t>
      </w:r>
      <w:r w:rsidR="003C3980" w:rsidRPr="009E22BE">
        <w:t xml:space="preserve">tydligt bör välkomna kommissionens meddelande </w:t>
      </w:r>
      <w:r w:rsidRPr="009E22BE">
        <w:t xml:space="preserve">från mars 2011 </w:t>
      </w:r>
      <w:r w:rsidR="003C3980" w:rsidRPr="009E22BE">
        <w:t>om en långsiktig strategi för ett konkurrenskraftigt koldio</w:t>
      </w:r>
      <w:r w:rsidR="00002F77" w:rsidRPr="009E22BE">
        <w:t>xidsnålt EU år 2050 samt att meddelandet</w:t>
      </w:r>
      <w:r w:rsidR="003C3980" w:rsidRPr="009E22BE">
        <w:t xml:space="preserve"> bör ses som en god utgångspunkt för vidare arbete. </w:t>
      </w:r>
    </w:p>
    <w:p w:rsidR="00002F77" w:rsidRPr="009E22BE" w:rsidRDefault="00002F77" w:rsidP="003C3980">
      <w:pPr>
        <w:pStyle w:val="RKnormal"/>
      </w:pPr>
    </w:p>
    <w:p w:rsidR="00002F77" w:rsidRPr="009E22BE" w:rsidRDefault="00002F77" w:rsidP="003C3980">
      <w:pPr>
        <w:pStyle w:val="RKnormal"/>
      </w:pPr>
      <w:r w:rsidRPr="009E22BE">
        <w:t xml:space="preserve">Klimatförhandlingsprocessen befinner sig i ett fortsatt svårt läge. Den ekonomiska kris som drabbat framförallt EU och USA bidrar ytterligare till </w:t>
      </w:r>
      <w:r w:rsidR="005E49C3" w:rsidRPr="009E22BE">
        <w:t xml:space="preserve">minskat handlingsutrymme såväl inom EU som i de internationella förhandlingarna. </w:t>
      </w:r>
      <w:r w:rsidRPr="009E22BE">
        <w:t>SE</w:t>
      </w:r>
      <w:r w:rsidR="00E313E0" w:rsidRPr="009E22BE">
        <w:t xml:space="preserve"> inser därför att möjligheterna att nå stora framgångar i Durban är begränsade. </w:t>
      </w:r>
      <w:r w:rsidR="00C04D91" w:rsidRPr="009E22BE">
        <w:t xml:space="preserve">Sverige har som </w:t>
      </w:r>
      <w:r w:rsidRPr="009E22BE">
        <w:t>ambition</w:t>
      </w:r>
      <w:r w:rsidR="00C04D91" w:rsidRPr="009E22BE">
        <w:t xml:space="preserve"> att EU ska verka för att ta</w:t>
      </w:r>
      <w:r w:rsidRPr="009E22BE">
        <w:t xml:space="preserve"> </w:t>
      </w:r>
      <w:r w:rsidR="00E313E0" w:rsidRPr="009E22BE">
        <w:t xml:space="preserve">tydliga </w:t>
      </w:r>
      <w:r w:rsidRPr="009E22BE">
        <w:t xml:space="preserve">steg för att implementera Cancúnöverenskommelsen samtidigt som ytterligare framsteg kan nås rörande </w:t>
      </w:r>
      <w:r w:rsidR="005E49C3" w:rsidRPr="009E22BE">
        <w:t xml:space="preserve">bl.a. </w:t>
      </w:r>
      <w:r w:rsidRPr="009E22BE">
        <w:t xml:space="preserve">rättslig form/KPCP2 och fördjupade utsläppsminskande åtaganden. </w:t>
      </w:r>
    </w:p>
    <w:p w:rsidR="00ED1566" w:rsidRPr="009E22BE" w:rsidRDefault="00ED1566" w:rsidP="00BF177A">
      <w:pPr>
        <w:pStyle w:val="RKrubrik"/>
        <w:outlineLvl w:val="0"/>
      </w:pPr>
      <w:r w:rsidRPr="009E22BE">
        <w:t>Europaparlamentets inställning</w:t>
      </w:r>
    </w:p>
    <w:p w:rsidR="00ED1566" w:rsidRPr="009E22BE" w:rsidRDefault="00F07B3D">
      <w:pPr>
        <w:pStyle w:val="RKnormal"/>
      </w:pPr>
      <w:r w:rsidRPr="009E22BE">
        <w:t xml:space="preserve">Europaparlamentet har ingen formell roll vid antagandet av rådsslutsatser. </w:t>
      </w:r>
    </w:p>
    <w:p w:rsidR="00ED1566" w:rsidRPr="009E22BE" w:rsidRDefault="00ED1566" w:rsidP="00BF177A">
      <w:pPr>
        <w:pStyle w:val="RKrubrik"/>
        <w:outlineLvl w:val="0"/>
        <w:rPr>
          <w:iCs/>
        </w:rPr>
      </w:pPr>
      <w:r w:rsidRPr="009E22BE">
        <w:rPr>
          <w:iCs/>
        </w:rPr>
        <w:t>Förslaget</w:t>
      </w:r>
    </w:p>
    <w:p w:rsidR="00ED1566" w:rsidRPr="009E22BE" w:rsidRDefault="00C95613">
      <w:pPr>
        <w:pStyle w:val="RKnormal"/>
      </w:pPr>
      <w:r w:rsidRPr="009E22BE">
        <w:t xml:space="preserve">Inför de kommande klimatförhandlingarna i Durban </w:t>
      </w:r>
      <w:r w:rsidR="00C04D91" w:rsidRPr="009E22BE">
        <w:t xml:space="preserve">framhäver </w:t>
      </w:r>
      <w:r w:rsidR="00E313E0" w:rsidRPr="009E22BE">
        <w:t xml:space="preserve">EU </w:t>
      </w:r>
      <w:r w:rsidRPr="009E22BE">
        <w:t xml:space="preserve"> i rådsslutsatserna behovet av att snarast komma överens om att etablera </w:t>
      </w:r>
      <w:r w:rsidR="002C0211" w:rsidRPr="009E22BE">
        <w:t xml:space="preserve">ett globalt </w:t>
      </w:r>
      <w:r w:rsidR="00E313E0" w:rsidRPr="009E22BE">
        <w:t>rättsligt bindande</w:t>
      </w:r>
      <w:r w:rsidR="002C0211" w:rsidRPr="009E22BE">
        <w:t xml:space="preserve"> ramverk som omfattar alla stora ekonomier för att tvågradersmålet ska kunna nås. Samtidigt som </w:t>
      </w:r>
      <w:r w:rsidR="00C04D91" w:rsidRPr="009E22BE">
        <w:t xml:space="preserve">EU </w:t>
      </w:r>
      <w:r w:rsidR="002C0211" w:rsidRPr="009E22BE">
        <w:t>pekar på vikten av att komma vidare i förhandlingarna inom klimatkonventionen så erkänn</w:t>
      </w:r>
      <w:r w:rsidR="00C04D91" w:rsidRPr="009E22BE">
        <w:t>s</w:t>
      </w:r>
      <w:r w:rsidR="002C0211" w:rsidRPr="009E22BE">
        <w:t xml:space="preserve"> också de informella dialogernas vikt för att underlätta diskussioner och accelerera arbetet. </w:t>
      </w:r>
    </w:p>
    <w:p w:rsidR="002C0211" w:rsidRPr="009E22BE" w:rsidRDefault="002C0211">
      <w:pPr>
        <w:pStyle w:val="RKnormal"/>
      </w:pPr>
    </w:p>
    <w:p w:rsidR="002C0211" w:rsidRPr="009E22BE" w:rsidRDefault="002C0211">
      <w:pPr>
        <w:pStyle w:val="RKnormal"/>
      </w:pPr>
      <w:r w:rsidRPr="009E22BE">
        <w:t>Rådsslutsatserna välkomnar de framsteg som gjorts under året rörande genomförandet av Cancúnövere</w:t>
      </w:r>
      <w:r w:rsidR="007459AD" w:rsidRPr="009E22BE">
        <w:t>nskommelsen samtidigt som alla p</w:t>
      </w:r>
      <w:r w:rsidRPr="009E22BE">
        <w:t xml:space="preserve">arter uppmanas att till fullo genomföra Cancúnöverenskommelsen. EU är redo att stödja utvecklingsländerna i denna process. </w:t>
      </w:r>
    </w:p>
    <w:p w:rsidR="002C0211" w:rsidRPr="009E22BE" w:rsidRDefault="002C0211">
      <w:pPr>
        <w:pStyle w:val="RKnormal"/>
      </w:pPr>
    </w:p>
    <w:p w:rsidR="002C0211" w:rsidRPr="009E22BE" w:rsidRDefault="002C0211">
      <w:pPr>
        <w:pStyle w:val="RKnormal"/>
      </w:pPr>
      <w:r w:rsidRPr="009E22BE">
        <w:t xml:space="preserve">I frågan </w:t>
      </w:r>
      <w:r w:rsidR="00654CC5" w:rsidRPr="009E22BE">
        <w:t xml:space="preserve">om </w:t>
      </w:r>
      <w:r w:rsidRPr="009E22BE">
        <w:t xml:space="preserve">EU:s inställning till en andra åtagandeperiod under Kyotoprotokollet så föreslår det polska ordförandeskapet att EU förtydligar sin position om </w:t>
      </w:r>
      <w:r w:rsidR="00654CC5" w:rsidRPr="009E22BE">
        <w:t>vilka</w:t>
      </w:r>
      <w:r w:rsidRPr="009E22BE">
        <w:t xml:space="preserve"> villkor </w:t>
      </w:r>
      <w:r w:rsidR="00654CC5" w:rsidRPr="009E22BE">
        <w:t xml:space="preserve">EU ställer på framsteg under konventionsspåret </w:t>
      </w:r>
      <w:r w:rsidRPr="009E22BE">
        <w:t xml:space="preserve">för att </w:t>
      </w:r>
      <w:r w:rsidR="00654CC5" w:rsidRPr="009E22BE">
        <w:t xml:space="preserve">vara redo att acceptera att </w:t>
      </w:r>
      <w:r w:rsidRPr="009E22BE">
        <w:t xml:space="preserve">gå in i en andra åtagandeperiod under protokollet. </w:t>
      </w:r>
      <w:r w:rsidR="00654CC5" w:rsidRPr="009E22BE">
        <w:t>En andra åtagandeperiod under Kyotoprotokollet kommer sannolikt inte att täcka mer än 16% av de globala utsläppen</w:t>
      </w:r>
      <w:r w:rsidR="00E313E0" w:rsidRPr="009E22BE">
        <w:t xml:space="preserve"> eftersom </w:t>
      </w:r>
      <w:r w:rsidR="00482EEA" w:rsidRPr="009E22BE">
        <w:t>Ryssland, Kanada och J</w:t>
      </w:r>
      <w:r w:rsidR="00E313E0" w:rsidRPr="009E22BE">
        <w:t>apan har deklarerat att man inte kommer gå in i en andra åtagandeperiod</w:t>
      </w:r>
      <w:r w:rsidR="00FD6211" w:rsidRPr="009E22BE">
        <w:t>.</w:t>
      </w:r>
      <w:r w:rsidR="00482EEA" w:rsidRPr="009E22BE">
        <w:t xml:space="preserve"> USA står utanför Kyotoprotokollet och alla utvecklingsländer skulle </w:t>
      </w:r>
      <w:r w:rsidR="00FD6211" w:rsidRPr="009E22BE">
        <w:t xml:space="preserve">fortsatt </w:t>
      </w:r>
      <w:r w:rsidR="00482EEA" w:rsidRPr="009E22BE">
        <w:t>stå utan åtaganden</w:t>
      </w:r>
      <w:r w:rsidR="00FD6211" w:rsidRPr="009E22BE">
        <w:t xml:space="preserve"> i en andra åtagandeperiod</w:t>
      </w:r>
      <w:r w:rsidR="00654CC5" w:rsidRPr="009E22BE">
        <w:t xml:space="preserve">. Eftersom detta är </w:t>
      </w:r>
      <w:r w:rsidR="00E313E0" w:rsidRPr="009E22BE">
        <w:t xml:space="preserve">helt </w:t>
      </w:r>
      <w:r w:rsidR="00654CC5" w:rsidRPr="009E22BE">
        <w:t xml:space="preserve">otillräckligt för att nå tvågradersmålet </w:t>
      </w:r>
      <w:r w:rsidR="007459AD" w:rsidRPr="009E22BE">
        <w:t>pekar EU på vikten av att alla p</w:t>
      </w:r>
      <w:r w:rsidR="00654CC5" w:rsidRPr="009E22BE">
        <w:t>arter tar på sig mer ambitiösa utsläppsminskningsåtaganden och åtgärder</w:t>
      </w:r>
      <w:r w:rsidR="007459AD" w:rsidRPr="009E22BE">
        <w:t xml:space="preserve"> än hittills</w:t>
      </w:r>
      <w:r w:rsidR="00654CC5" w:rsidRPr="009E22BE">
        <w:t xml:space="preserve">. </w:t>
      </w:r>
    </w:p>
    <w:p w:rsidR="00654CC5" w:rsidRPr="009E22BE" w:rsidRDefault="00C945D1">
      <w:pPr>
        <w:pStyle w:val="RKnormal"/>
        <w:rPr>
          <w:rFonts w:cs="Helv"/>
          <w:iCs/>
          <w:color w:val="000000"/>
          <w:szCs w:val="24"/>
          <w:lang w:eastAsia="sv-SE"/>
        </w:rPr>
      </w:pPr>
      <w:r w:rsidRPr="009E22BE">
        <w:rPr>
          <w:rFonts w:cs="Helv"/>
          <w:iCs/>
          <w:color w:val="000000"/>
          <w:szCs w:val="24"/>
          <w:lang w:eastAsia="sv-SE"/>
        </w:rPr>
        <w:t>I rådsslutsatserna pekar EU återigen på att överskottet av AAU-er kan påverka den miljömässiga integriteten och att det därför måste hanteras på ett sätt som både bevarar den miljömässiga integriteten och bevarar incitamenten till för att gå längre än sina åtaganden.</w:t>
      </w:r>
    </w:p>
    <w:p w:rsidR="00C945D1" w:rsidRPr="009E22BE" w:rsidRDefault="00C945D1">
      <w:pPr>
        <w:pStyle w:val="RKnormal"/>
      </w:pPr>
    </w:p>
    <w:p w:rsidR="00654CC5" w:rsidRPr="009E22BE" w:rsidRDefault="00654CC5">
      <w:pPr>
        <w:pStyle w:val="RKnormal"/>
      </w:pPr>
      <w:r w:rsidRPr="009E22BE">
        <w:t>Vidare understryker EU vikten av att komplettera den gemensamma visionen (shared vision) som överenskoms i Cancún med ett globalt mål för utsläppsminskningar år 2050 och en tidsram för när de globala utsläppen ska vända neråt</w:t>
      </w:r>
      <w:r w:rsidR="007459AD" w:rsidRPr="009E22BE">
        <w:t xml:space="preserve"> (s.k. peakår)</w:t>
      </w:r>
      <w:r w:rsidR="00E313E0" w:rsidRPr="009E22BE">
        <w:t xml:space="preserve"> och slår fast att detta bör ske senast 2020</w:t>
      </w:r>
      <w:r w:rsidRPr="009E22BE">
        <w:t xml:space="preserve">. </w:t>
      </w:r>
    </w:p>
    <w:p w:rsidR="00654CC5" w:rsidRPr="009E22BE" w:rsidRDefault="00654CC5">
      <w:pPr>
        <w:pStyle w:val="RKnormal"/>
      </w:pPr>
    </w:p>
    <w:p w:rsidR="00654CC5" w:rsidRPr="009E22BE" w:rsidRDefault="00654CC5">
      <w:pPr>
        <w:pStyle w:val="RKnormal"/>
      </w:pPr>
      <w:r w:rsidRPr="009E22BE">
        <w:t>EU ser vikten av en övergång till koldioxidsnålt samhälle och omnämner i detta samman</w:t>
      </w:r>
      <w:r w:rsidR="00E313E0" w:rsidRPr="009E22BE">
        <w:t>hang</w:t>
      </w:r>
      <w:r w:rsidRPr="009E22BE">
        <w:t xml:space="preserve"> </w:t>
      </w:r>
      <w:r w:rsidR="00FD6211" w:rsidRPr="009E22BE">
        <w:t>k</w:t>
      </w:r>
      <w:r w:rsidRPr="009E22BE">
        <w:t xml:space="preserve">ommissionens meddelande om en långsiktig strategi för ett konkurrenskraftigt koldioxidsnålt EU år 2050. </w:t>
      </w:r>
    </w:p>
    <w:p w:rsidR="000D46B9" w:rsidRPr="009E22BE" w:rsidRDefault="000D46B9">
      <w:pPr>
        <w:pStyle w:val="RKnormal"/>
      </w:pPr>
    </w:p>
    <w:p w:rsidR="000D46B9" w:rsidRPr="009E22BE" w:rsidRDefault="000D46B9">
      <w:pPr>
        <w:pStyle w:val="RKnormal"/>
      </w:pPr>
      <w:r w:rsidRPr="009E22BE">
        <w:t xml:space="preserve">EU pekar också på </w:t>
      </w:r>
      <w:r w:rsidR="007459AD" w:rsidRPr="009E22BE">
        <w:t xml:space="preserve">betydelsen </w:t>
      </w:r>
      <w:r w:rsidRPr="009E22BE">
        <w:t>av att det internationellt överenskomna bokföringssystem som satts upp inom ramen för Kyotoprotokollet fortsätter vara standard för internationellt arbete samt betonar vikten av att ha gemensamma bokföringsregler, i synnerhet fö</w:t>
      </w:r>
      <w:r w:rsidR="00482EEA" w:rsidRPr="009E22BE">
        <w:t>r att möta</w:t>
      </w:r>
      <w:r w:rsidRPr="009E22BE">
        <w:t xml:space="preserve"> de industrialiserade ländernas måluppfyllelse. Det ramverk för </w:t>
      </w:r>
      <w:r w:rsidR="00E313E0" w:rsidRPr="009E22BE">
        <w:t xml:space="preserve">uppföljning av åtaganden </w:t>
      </w:r>
      <w:r w:rsidRPr="009E22BE">
        <w:t>(MRV - mäta, rapportera, verifiera) som initierades i Cancún och som omfattar såväl uppföljning av utsläppsminskande åtaganden och åtgärder som uppföljning av finansiellt stöd välkomnas av EU</w:t>
      </w:r>
      <w:r w:rsidR="00FD6211" w:rsidRPr="009E22BE">
        <w:t>.</w:t>
      </w:r>
      <w:r w:rsidRPr="009E22BE">
        <w:t xml:space="preserve"> </w:t>
      </w:r>
      <w:r w:rsidR="00FD6211" w:rsidRPr="009E22BE">
        <w:t>S</w:t>
      </w:r>
      <w:r w:rsidRPr="009E22BE">
        <w:t xml:space="preserve">amtidigt pekar </w:t>
      </w:r>
      <w:r w:rsidR="00FD6211" w:rsidRPr="009E22BE">
        <w:t xml:space="preserve">EU </w:t>
      </w:r>
      <w:r w:rsidRPr="009E22BE">
        <w:t>på vikten av att  vidare</w:t>
      </w:r>
      <w:r w:rsidR="0013288F" w:rsidRPr="009E22BE">
        <w:t>utveckla detta ramverk</w:t>
      </w:r>
      <w:r w:rsidRPr="009E22BE">
        <w:t xml:space="preserve"> i Durban. </w:t>
      </w:r>
    </w:p>
    <w:p w:rsidR="000D46B9" w:rsidRPr="009E22BE" w:rsidRDefault="000D46B9">
      <w:pPr>
        <w:pStyle w:val="RKnormal"/>
      </w:pPr>
    </w:p>
    <w:p w:rsidR="00104B8F" w:rsidRPr="009E22BE" w:rsidRDefault="000D46B9">
      <w:pPr>
        <w:pStyle w:val="RKnormal"/>
      </w:pPr>
      <w:r w:rsidRPr="009E22BE">
        <w:t xml:space="preserve">EU välkomnar </w:t>
      </w:r>
      <w:r w:rsidR="00104B8F" w:rsidRPr="009E22BE">
        <w:t xml:space="preserve">det anpassningsramverk som överenskoms i Cancún och understryker vikten av att operationalisera anpassningskommittén i Durban samt framhåller behovet av att stärka anpassningsarbetet och kapacitetsuppbyggnad med fokus på de minst utvecklade länderna. Även framstegen rörande mekanismen för att minska utsläpp från avverkning av skog (REDD) och teknikmekanismen välkomnas. EU återupprepar också betydelsen av att etablera nya sektorsmekanismer i Durban för att åstadkomma kostnadseffektiva utsläppsminskningar som också bidrar till att främja hållbar utveckling. </w:t>
      </w:r>
    </w:p>
    <w:p w:rsidR="00104B8F" w:rsidRPr="009E22BE" w:rsidRDefault="00104B8F">
      <w:pPr>
        <w:pStyle w:val="RKnormal"/>
      </w:pPr>
    </w:p>
    <w:p w:rsidR="000D46B9" w:rsidRPr="009E22BE" w:rsidRDefault="00104B8F">
      <w:pPr>
        <w:pStyle w:val="RKnormal"/>
      </w:pPr>
      <w:r w:rsidRPr="009E22BE">
        <w:t>I slutsatserna påminner EU ock</w:t>
      </w:r>
      <w:r w:rsidR="007459AD" w:rsidRPr="009E22BE">
        <w:t>så om att det är angeläget att nå</w:t>
      </w:r>
      <w:r w:rsidRPr="009E22BE">
        <w:t xml:space="preserve"> framsteg på de områden som inte Cancúnöverenskommelsen täcker</w:t>
      </w:r>
      <w:r w:rsidR="00482EEA" w:rsidRPr="009E22BE">
        <w:t xml:space="preserve"> bl.a. </w:t>
      </w:r>
      <w:r w:rsidR="0013288F" w:rsidRPr="009E22BE">
        <w:t xml:space="preserve">utsläpp från </w:t>
      </w:r>
      <w:r w:rsidRPr="009E22BE">
        <w:t>internationella transporter</w:t>
      </w:r>
      <w:r w:rsidR="0013288F" w:rsidRPr="009E22BE">
        <w:t xml:space="preserve"> och</w:t>
      </w:r>
      <w:r w:rsidR="00482EEA" w:rsidRPr="009E22BE">
        <w:t xml:space="preserve"> </w:t>
      </w:r>
      <w:r w:rsidRPr="009E22BE">
        <w:t>jordbruk</w:t>
      </w:r>
      <w:r w:rsidR="0013288F" w:rsidRPr="009E22BE">
        <w:t xml:space="preserve"> och </w:t>
      </w:r>
      <w:r w:rsidRPr="009E22BE">
        <w:t xml:space="preserve">förordar att ett särskilt arbetsprogram för jordbruk etableras i Durban. </w:t>
      </w:r>
    </w:p>
    <w:p w:rsidR="00ED1566" w:rsidRPr="009E22BE" w:rsidRDefault="00ED1566" w:rsidP="00BF177A">
      <w:pPr>
        <w:pStyle w:val="RKrubrik"/>
        <w:outlineLvl w:val="0"/>
      </w:pPr>
      <w:r w:rsidRPr="009E22BE">
        <w:t>Ekonomiska konsekvenser</w:t>
      </w:r>
    </w:p>
    <w:p w:rsidR="00ED1566" w:rsidRPr="009E22BE" w:rsidRDefault="00F07B3D">
      <w:pPr>
        <w:pStyle w:val="RKnormal"/>
      </w:pPr>
      <w:r w:rsidRPr="009E22BE">
        <w:t xml:space="preserve">Dessa rådsslutsatser bedöms inte påverka statens finanser. De förslag och bedömningar som presenteras syftar till att tydliggöra EU:s klimatpolitiska inriktning inför förhandlingarna vid COP17/CMP7 i Durban, Sydafrika. </w:t>
      </w:r>
    </w:p>
    <w:p w:rsidR="00ED1566" w:rsidRPr="009E22BE" w:rsidRDefault="00ED1566" w:rsidP="00BF177A">
      <w:pPr>
        <w:pStyle w:val="RKrubrik"/>
        <w:outlineLvl w:val="0"/>
      </w:pPr>
      <w:r w:rsidRPr="009E22BE">
        <w:t>Övrigt</w:t>
      </w:r>
    </w:p>
    <w:p w:rsidR="00F07B3D" w:rsidRPr="009E22BE" w:rsidRDefault="00F07B3D">
      <w:pPr>
        <w:pStyle w:val="RKnormal"/>
      </w:pPr>
      <w:r w:rsidRPr="009E22BE">
        <w:t>Rådsslutsatser om klimatfinansiering</w:t>
      </w:r>
      <w:r w:rsidR="00BF007B" w:rsidRPr="009E22BE">
        <w:t xml:space="preserve"> (bl.a. rörande G20-rapport om finansiering på lång sikt</w:t>
      </w:r>
      <w:r w:rsidR="002C0211" w:rsidRPr="009E22BE">
        <w:t xml:space="preserve"> samt</w:t>
      </w:r>
      <w:r w:rsidR="00BF007B" w:rsidRPr="009E22BE">
        <w:t xml:space="preserve"> om övergångskommittén och den gröna fonden)</w:t>
      </w:r>
      <w:r w:rsidRPr="009E22BE">
        <w:t xml:space="preserve"> </w:t>
      </w:r>
      <w:r w:rsidR="00BF007B" w:rsidRPr="009E22BE">
        <w:t xml:space="preserve">antas av Ekofin den 4 oktober. Vid Ekofin den 5 november förväntas rådsslutsatser antas som innehåller beslut om rapportering av EU:s bidrag till snabbstartsfinansieringen. </w:t>
      </w:r>
    </w:p>
    <w:p w:rsidR="00F07B3D" w:rsidRPr="009E22BE" w:rsidRDefault="00F07B3D">
      <w:pPr>
        <w:pStyle w:val="RKnormal"/>
      </w:pPr>
    </w:p>
    <w:p w:rsidR="00F07B3D" w:rsidRPr="009E22BE" w:rsidRDefault="0013288F">
      <w:pPr>
        <w:pStyle w:val="RKnormal"/>
      </w:pPr>
      <w:r w:rsidRPr="009E22BE">
        <w:t>EU:s ståndpunkter fastställs slutligen genom att Europeiska rådet den 17-18 oktober väntas anta övergripande slutsatser</w:t>
      </w:r>
      <w:r w:rsidR="00FD6211" w:rsidRPr="009E22BE">
        <w:t xml:space="preserve"> baserat på miljörådets och Ekofins slutsatser</w:t>
      </w:r>
      <w:r w:rsidRPr="009E22BE">
        <w:t>.</w:t>
      </w:r>
    </w:p>
    <w:p w:rsidR="00ED1566" w:rsidRPr="009E22BE" w:rsidRDefault="00ED1566">
      <w:pPr>
        <w:pStyle w:val="RKnormal"/>
        <w:rPr>
          <w:i/>
          <w:iCs/>
        </w:rPr>
      </w:pPr>
    </w:p>
    <w:p w:rsidR="00ED1566" w:rsidRPr="009E22BE" w:rsidRDefault="00ED1566">
      <w:pPr>
        <w:pStyle w:val="RKnormal"/>
        <w:ind w:left="-1134"/>
      </w:pPr>
    </w:p>
    <w:p w:rsidR="006E4E11" w:rsidRPr="009E22BE" w:rsidRDefault="006E4E11">
      <w:pPr>
        <w:pStyle w:val="RKrubrik"/>
        <w:spacing w:before="0" w:after="0"/>
      </w:pPr>
    </w:p>
    <w:p w:rsidR="006E4E11" w:rsidRPr="009E22BE" w:rsidRDefault="006E4E11">
      <w:pPr>
        <w:pStyle w:val="RKnormal"/>
      </w:pPr>
    </w:p>
    <w:p w:rsidR="00ED1566" w:rsidRPr="009E22BE" w:rsidRDefault="00ED1566">
      <w:pPr>
        <w:pStyle w:val="RKnormal"/>
      </w:pPr>
    </w:p>
    <w:sectPr w:rsidR="00ED1566" w:rsidRPr="009E22B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F8C" w:rsidRPr="009E22BE" w:rsidRDefault="00621F8C">
      <w:r w:rsidRPr="009E22BE">
        <w:separator/>
      </w:r>
    </w:p>
  </w:endnote>
  <w:endnote w:type="continuationSeparator" w:id="0">
    <w:p w:rsidR="00621F8C" w:rsidRPr="009E22BE" w:rsidRDefault="00621F8C">
      <w:r w:rsidRPr="009E2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F8C" w:rsidRPr="009E22BE" w:rsidRDefault="00621F8C">
      <w:r w:rsidRPr="009E22BE">
        <w:separator/>
      </w:r>
    </w:p>
  </w:footnote>
  <w:footnote w:type="continuationSeparator" w:id="0">
    <w:p w:rsidR="00621F8C" w:rsidRPr="009E22BE" w:rsidRDefault="00621F8C">
      <w:r w:rsidRPr="009E2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EB2" w:rsidRPr="009E22BE" w:rsidRDefault="00314EB2">
    <w:pPr>
      <w:pStyle w:val="Sidhuvud"/>
      <w:framePr w:wrap="around" w:vAnchor="text" w:hAnchor="margin" w:xAlign="right" w:y="1"/>
      <w:rPr>
        <w:rStyle w:val="Sidnummer"/>
      </w:rPr>
    </w:pPr>
    <w:r w:rsidRPr="009E22BE">
      <w:rPr>
        <w:rStyle w:val="Sidnummer"/>
      </w:rPr>
      <w:fldChar w:fldCharType="begin" w:fldLock="1"/>
    </w:r>
    <w:r w:rsidRPr="009E22BE">
      <w:rPr>
        <w:rStyle w:val="Sidnummer"/>
      </w:rPr>
      <w:instrText xml:space="preserve">PAGE  </w:instrText>
    </w:r>
    <w:r w:rsidRPr="009E22BE">
      <w:rPr>
        <w:rStyle w:val="Sidnummer"/>
      </w:rPr>
      <w:fldChar w:fldCharType="separate"/>
    </w:r>
    <w:r w:rsidR="006A614A" w:rsidRPr="009E22BE">
      <w:rPr>
        <w:rStyle w:val="Sidnummer"/>
      </w:rPr>
      <w:t>4</w:t>
    </w:r>
    <w:r w:rsidRPr="009E22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14EB2" w:rsidRPr="009E22BE">
      <w:tblPrEx>
        <w:tblCellMar>
          <w:top w:w="0" w:type="dxa"/>
          <w:bottom w:w="0" w:type="dxa"/>
        </w:tblCellMar>
      </w:tblPrEx>
      <w:trPr>
        <w:cantSplit/>
      </w:trPr>
      <w:tc>
        <w:tcPr>
          <w:tcW w:w="3119" w:type="dxa"/>
        </w:tcPr>
        <w:p w:rsidR="00314EB2" w:rsidRPr="009E22BE" w:rsidRDefault="00314EB2">
          <w:pPr>
            <w:pStyle w:val="Sidhuvud"/>
            <w:spacing w:line="200" w:lineRule="atLeast"/>
            <w:ind w:right="357"/>
            <w:rPr>
              <w:rFonts w:ascii="TradeGothic" w:hAnsi="TradeGothic"/>
              <w:b/>
              <w:bCs/>
              <w:sz w:val="16"/>
            </w:rPr>
          </w:pPr>
        </w:p>
      </w:tc>
      <w:tc>
        <w:tcPr>
          <w:tcW w:w="4111" w:type="dxa"/>
          <w:tcMar>
            <w:left w:w="567" w:type="dxa"/>
          </w:tcMar>
        </w:tcPr>
        <w:p w:rsidR="00314EB2" w:rsidRPr="009E22BE" w:rsidRDefault="00314EB2">
          <w:pPr>
            <w:pStyle w:val="Sidhuvud"/>
            <w:ind w:right="360"/>
          </w:pPr>
        </w:p>
      </w:tc>
      <w:tc>
        <w:tcPr>
          <w:tcW w:w="1525" w:type="dxa"/>
        </w:tcPr>
        <w:p w:rsidR="00314EB2" w:rsidRPr="009E22BE" w:rsidRDefault="00314EB2">
          <w:pPr>
            <w:pStyle w:val="Sidhuvud"/>
            <w:ind w:right="360"/>
          </w:pPr>
        </w:p>
      </w:tc>
    </w:tr>
  </w:tbl>
  <w:p w:rsidR="00314EB2" w:rsidRPr="009E22BE" w:rsidRDefault="00314E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EB2" w:rsidRPr="009E22BE" w:rsidRDefault="00314EB2">
    <w:pPr>
      <w:pStyle w:val="Sidhuvud"/>
      <w:framePr w:wrap="around" w:vAnchor="text" w:hAnchor="margin" w:xAlign="right" w:y="1"/>
      <w:rPr>
        <w:rStyle w:val="Sidnummer"/>
      </w:rPr>
    </w:pPr>
    <w:r w:rsidRPr="009E22BE">
      <w:rPr>
        <w:rStyle w:val="Sidnummer"/>
      </w:rPr>
      <w:fldChar w:fldCharType="begin" w:fldLock="1"/>
    </w:r>
    <w:r w:rsidRPr="009E22BE">
      <w:rPr>
        <w:rStyle w:val="Sidnummer"/>
      </w:rPr>
      <w:instrText xml:space="preserve">PAGE  </w:instrText>
    </w:r>
    <w:r w:rsidRPr="009E22BE">
      <w:rPr>
        <w:rStyle w:val="Sidnummer"/>
      </w:rPr>
      <w:fldChar w:fldCharType="separate"/>
    </w:r>
    <w:r w:rsidR="006A614A" w:rsidRPr="009E22BE">
      <w:rPr>
        <w:rStyle w:val="Sidnummer"/>
      </w:rPr>
      <w:t>5</w:t>
    </w:r>
    <w:r w:rsidRPr="009E22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14EB2" w:rsidRPr="009E22BE">
      <w:tblPrEx>
        <w:tblCellMar>
          <w:top w:w="0" w:type="dxa"/>
          <w:bottom w:w="0" w:type="dxa"/>
        </w:tblCellMar>
      </w:tblPrEx>
      <w:trPr>
        <w:cantSplit/>
      </w:trPr>
      <w:tc>
        <w:tcPr>
          <w:tcW w:w="3119" w:type="dxa"/>
        </w:tcPr>
        <w:p w:rsidR="00314EB2" w:rsidRPr="009E22BE" w:rsidRDefault="00314EB2">
          <w:pPr>
            <w:pStyle w:val="Sidhuvud"/>
            <w:spacing w:line="200" w:lineRule="atLeast"/>
            <w:ind w:right="357"/>
            <w:rPr>
              <w:rFonts w:ascii="TradeGothic" w:hAnsi="TradeGothic"/>
              <w:b/>
              <w:bCs/>
              <w:sz w:val="16"/>
            </w:rPr>
          </w:pPr>
        </w:p>
      </w:tc>
      <w:tc>
        <w:tcPr>
          <w:tcW w:w="4111" w:type="dxa"/>
          <w:tcMar>
            <w:left w:w="567" w:type="dxa"/>
          </w:tcMar>
        </w:tcPr>
        <w:p w:rsidR="00314EB2" w:rsidRPr="009E22BE" w:rsidRDefault="00314EB2">
          <w:pPr>
            <w:pStyle w:val="Sidhuvud"/>
            <w:ind w:right="360"/>
          </w:pPr>
        </w:p>
      </w:tc>
      <w:tc>
        <w:tcPr>
          <w:tcW w:w="1525" w:type="dxa"/>
        </w:tcPr>
        <w:p w:rsidR="00314EB2" w:rsidRPr="009E22BE" w:rsidRDefault="00314EB2">
          <w:pPr>
            <w:pStyle w:val="Sidhuvud"/>
            <w:ind w:right="360"/>
          </w:pPr>
        </w:p>
      </w:tc>
    </w:tr>
  </w:tbl>
  <w:p w:rsidR="00314EB2" w:rsidRPr="009E22BE" w:rsidRDefault="00314E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EB2" w:rsidRPr="009E22BE" w:rsidRDefault="009E22BE">
    <w:pPr>
      <w:framePr w:w="2948" w:h="1321" w:hRule="exact" w:wrap="notBeside" w:vAnchor="page" w:hAnchor="page" w:x="1362" w:y="653"/>
    </w:pPr>
    <w:r w:rsidRPr="009E22B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14EB2" w:rsidRPr="009E22BE" w:rsidRDefault="00314EB2">
    <w:pPr>
      <w:pStyle w:val="RKrubrik"/>
      <w:keepNext w:val="0"/>
      <w:tabs>
        <w:tab w:val="clear" w:pos="1134"/>
        <w:tab w:val="clear" w:pos="2835"/>
      </w:tabs>
      <w:spacing w:before="0" w:after="0" w:line="320" w:lineRule="atLeast"/>
      <w:rPr>
        <w:bCs/>
      </w:rPr>
    </w:pPr>
  </w:p>
  <w:p w:rsidR="00314EB2" w:rsidRPr="009E22BE" w:rsidRDefault="00314EB2">
    <w:pPr>
      <w:rPr>
        <w:rFonts w:ascii="TradeGothic" w:hAnsi="TradeGothic"/>
        <w:b/>
        <w:bCs/>
        <w:spacing w:val="12"/>
        <w:sz w:val="22"/>
      </w:rPr>
    </w:pPr>
  </w:p>
  <w:p w:rsidR="00314EB2" w:rsidRPr="009E22BE" w:rsidRDefault="00314EB2">
    <w:pPr>
      <w:pStyle w:val="RKrubrik"/>
      <w:keepNext w:val="0"/>
      <w:tabs>
        <w:tab w:val="clear" w:pos="1134"/>
        <w:tab w:val="clear" w:pos="2835"/>
      </w:tabs>
      <w:spacing w:before="0" w:after="0" w:line="320" w:lineRule="atLeast"/>
      <w:rPr>
        <w:bCs/>
      </w:rPr>
    </w:pPr>
  </w:p>
  <w:p w:rsidR="00314EB2" w:rsidRPr="009E22BE" w:rsidRDefault="00314EB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1539"/>
    <w:multiLevelType w:val="hybridMultilevel"/>
    <w:tmpl w:val="E6ACE9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num w:numId="1" w16cid:durableId="1585987643">
    <w:abstractNumId w:val="0"/>
  </w:num>
  <w:num w:numId="2" w16cid:durableId="151264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ED1566"/>
    <w:rsid w:val="00002F77"/>
    <w:rsid w:val="0003433B"/>
    <w:rsid w:val="000D46B9"/>
    <w:rsid w:val="00104B8F"/>
    <w:rsid w:val="0013288F"/>
    <w:rsid w:val="00133E83"/>
    <w:rsid w:val="00150384"/>
    <w:rsid w:val="0016550E"/>
    <w:rsid w:val="001805B7"/>
    <w:rsid w:val="00190C24"/>
    <w:rsid w:val="002C0211"/>
    <w:rsid w:val="002C35A0"/>
    <w:rsid w:val="002F30BF"/>
    <w:rsid w:val="002F626A"/>
    <w:rsid w:val="00300002"/>
    <w:rsid w:val="00314EB2"/>
    <w:rsid w:val="003249B1"/>
    <w:rsid w:val="0035502C"/>
    <w:rsid w:val="00360B80"/>
    <w:rsid w:val="00382F1C"/>
    <w:rsid w:val="00391DA0"/>
    <w:rsid w:val="003C3980"/>
    <w:rsid w:val="0040403F"/>
    <w:rsid w:val="004805D1"/>
    <w:rsid w:val="00482EEA"/>
    <w:rsid w:val="004A328D"/>
    <w:rsid w:val="004B7261"/>
    <w:rsid w:val="004D5314"/>
    <w:rsid w:val="00512C36"/>
    <w:rsid w:val="00563500"/>
    <w:rsid w:val="0058762B"/>
    <w:rsid w:val="005E49C3"/>
    <w:rsid w:val="00621F8C"/>
    <w:rsid w:val="00644FEB"/>
    <w:rsid w:val="00654CC5"/>
    <w:rsid w:val="0065765E"/>
    <w:rsid w:val="006A614A"/>
    <w:rsid w:val="006E4E11"/>
    <w:rsid w:val="007242A3"/>
    <w:rsid w:val="007459AD"/>
    <w:rsid w:val="00772127"/>
    <w:rsid w:val="007773B7"/>
    <w:rsid w:val="007A28AA"/>
    <w:rsid w:val="007A6855"/>
    <w:rsid w:val="00810253"/>
    <w:rsid w:val="008D23B1"/>
    <w:rsid w:val="009019A2"/>
    <w:rsid w:val="009E22BE"/>
    <w:rsid w:val="00A44C51"/>
    <w:rsid w:val="00A859FD"/>
    <w:rsid w:val="00B3604D"/>
    <w:rsid w:val="00B36D42"/>
    <w:rsid w:val="00B961AF"/>
    <w:rsid w:val="00B96328"/>
    <w:rsid w:val="00BC60B3"/>
    <w:rsid w:val="00BF007B"/>
    <w:rsid w:val="00BF177A"/>
    <w:rsid w:val="00C04D91"/>
    <w:rsid w:val="00C945D1"/>
    <w:rsid w:val="00C95613"/>
    <w:rsid w:val="00CB19FE"/>
    <w:rsid w:val="00CD0E41"/>
    <w:rsid w:val="00CF3749"/>
    <w:rsid w:val="00D133D7"/>
    <w:rsid w:val="00DC5457"/>
    <w:rsid w:val="00E313E0"/>
    <w:rsid w:val="00E45789"/>
    <w:rsid w:val="00EA76E2"/>
    <w:rsid w:val="00EC25F9"/>
    <w:rsid w:val="00ED1566"/>
    <w:rsid w:val="00ED583F"/>
    <w:rsid w:val="00F07B3D"/>
    <w:rsid w:val="00F460B2"/>
    <w:rsid w:val="00F64EDA"/>
    <w:rsid w:val="00FD62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73B23-5B48-4A04-977C-56052367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019A2"/>
    <w:rPr>
      <w:color w:val="0000FF"/>
      <w:u w:val="single"/>
    </w:rPr>
  </w:style>
  <w:style w:type="paragraph" w:styleId="Dokumentversikt">
    <w:name w:val="Document Map"/>
    <w:basedOn w:val="Normal"/>
    <w:semiHidden/>
    <w:rsid w:val="00BC60B3"/>
    <w:pPr>
      <w:shd w:val="clear" w:color="auto" w:fill="000080"/>
    </w:pPr>
    <w:rPr>
      <w:rFonts w:ascii="Tahoma" w:hAnsi="Tahoma" w:cs="Tahoma"/>
      <w:sz w:val="20"/>
    </w:rPr>
  </w:style>
  <w:style w:type="character" w:customStyle="1" w:styleId="RKnormalChar">
    <w:name w:val="RKnormal Char"/>
    <w:basedOn w:val="Standardstycketeckensnitt"/>
    <w:link w:val="RKnormal"/>
    <w:rsid w:val="003C3980"/>
    <w:rPr>
      <w:rFonts w:ascii="OrigGarmnd BT" w:hAnsi="OrigGarmnd BT"/>
      <w:sz w:val="24"/>
      <w:lang w:val="sv-SE" w:eastAsia="en-US" w:bidi="ar-SA"/>
    </w:rPr>
  </w:style>
  <w:style w:type="paragraph" w:customStyle="1" w:styleId="Par-number1">
    <w:name w:val="Par-number 1)"/>
    <w:basedOn w:val="Normal"/>
    <w:next w:val="Normal"/>
    <w:rsid w:val="007773B7"/>
    <w:pPr>
      <w:widowControl w:val="0"/>
      <w:numPr>
        <w:numId w:val="2"/>
      </w:numPr>
      <w:overflowPunct/>
      <w:autoSpaceDE/>
      <w:autoSpaceDN/>
      <w:adjustRightInd/>
      <w:spacing w:line="360" w:lineRule="auto"/>
      <w:textAlignment w:val="auto"/>
    </w:pPr>
    <w:rPr>
      <w:rFonts w:ascii="Times New Roman" w:hAnsi="Times New Roman"/>
      <w:lang w:eastAsia="fr-BE"/>
    </w:rPr>
  </w:style>
  <w:style w:type="character" w:styleId="Kommentarsreferens">
    <w:name w:val="annotation reference"/>
    <w:basedOn w:val="Standardstycketeckensnitt"/>
    <w:semiHidden/>
    <w:rsid w:val="004D5314"/>
    <w:rPr>
      <w:sz w:val="16"/>
      <w:szCs w:val="16"/>
    </w:rPr>
  </w:style>
  <w:style w:type="paragraph" w:styleId="Kommentarer">
    <w:name w:val="annotation text"/>
    <w:basedOn w:val="Normal"/>
    <w:semiHidden/>
    <w:rsid w:val="004D5314"/>
    <w:rPr>
      <w:sz w:val="20"/>
    </w:rPr>
  </w:style>
  <w:style w:type="paragraph" w:styleId="Kommentarsmne">
    <w:name w:val="annotation subject"/>
    <w:basedOn w:val="Kommentarer"/>
    <w:next w:val="Kommentarer"/>
    <w:semiHidden/>
    <w:rsid w:val="004D5314"/>
    <w:rPr>
      <w:b/>
      <w:bCs/>
    </w:rPr>
  </w:style>
  <w:style w:type="paragraph" w:styleId="Ballongtext">
    <w:name w:val="Balloon Text"/>
    <w:basedOn w:val="Normal"/>
    <w:semiHidden/>
    <w:rsid w:val="004D5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8234</Characters>
  <Application>Microsoft Office Word</Application>
  <DocSecurity>4</DocSecurity>
  <Lines>191</Lines>
  <Paragraphs>49</Paragraphs>
  <ScaleCrop>false</ScaleCrop>
  <HeadingPairs>
    <vt:vector size="2" baseType="variant">
      <vt:variant>
        <vt:lpstr>Rubrik</vt:lpstr>
      </vt:variant>
      <vt:variant>
        <vt:i4>1</vt:i4>
      </vt:variant>
    </vt:vector>
  </HeadingPairs>
  <TitlesOfParts>
    <vt:vector size="1" baseType="lpstr">
      <vt:lpstr>Rådspromemoria </vt:lpstr>
    </vt:vector>
  </TitlesOfParts>
  <Company>Regeringskansliet</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Rådspromemoria </dc:subject>
  <dc:creator>Riksdagen</dc:creator>
  <cp:keywords>Riksdagen</cp:keywords>
  <dc:description/>
  <cp:lastModifiedBy>Lars Brink</cp:lastModifiedBy>
  <cp:revision>2</cp:revision>
  <cp:lastPrinted>2011-10-03T13:02:00Z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