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juni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2018/19:149 Återkallelse av proposition 2017/18:285 Avtal om politisk dialog och samarbete mellan Europeiska unionen och dess medlemsstater, å ena sidan, och Republiken Kuba, å andra sidan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för denna skrivelse utgår den 19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2019:19 Jämställd sjukfrånvaro – bedöms män och kvinnor likvärdigt i sjukskrivningsprocessen?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2018/19:126 Ändring i det nordiska skatteavtalet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2018/19:136 Ett modernt public service nära publiken – villkor 2020–2025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2018/19:138 Straffet för mord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2018/19:139 Fortsatt giltighet av lagen om försök med tillgänglighetsdelgivning i brottmål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2018/19:CU17 Åtgärder mot handel med hyreskontrakt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2018/19:CU18 Fler tillval för hyresgäster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2018/19:FiU24 Utvärdering av penningpolitiken för perioden 2016–2018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2018/19:UbU16 Långsiktiga effekter av utökade valmöjligheter till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2018/19:UbU17 Frågor om otillåten spridning av nationella prov och om att införa särskilda regleringar för idrottsgymnasier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2018/19:UbU18 Myndighetsreformen då Universitets- och högskolerådet och Universitetskanslersämbetet inrättades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2018/19:UbU19 Stiftelsen Riksbankens Jubileumsfonds verksamhet och årsredovisning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2018/19:UbU21 Ny ordning för att främja god sed och hantera oredlighet i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2018/19:MJU17 Riksrevisionens rapport om Landsbygdsprogrammet 2014–2020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2018/19:MJU18 Miljömålen – med sikte på framtiden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2018/19:NU14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2018/19:MJU16 Ändamålsenliga sanktioner mot otillåtna avfallstransporter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2018/19:UFöU3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2018/19:KU33 Indelning i utgiftsområden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2018/19:KU37 Granskning av meddelande om att ytterligare stärka rättsstatsprincipen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2018/19:TU14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2018/19:TU16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2018/19:SfU25 Åtgärder som underlättar för brittiska medborgare i Sverige vid ett avtalslöst brexit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2018/19:SoU20 Omedelbart omhändertagande av barn i vissa internationella situationer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2018/19:SkU23 Redovisning av skatteutgifter 2019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2018/19:UU9 Strategisk exportkontroll 2018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2018/19:UU12 Säkerhetspolitik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juni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2019-06-12</SAFIR_Sammantradesdatum_Doc>
    <SAFIR_SammantradeID xmlns="C07A1A6C-0B19-41D9-BDF8-F523BA3921EB">ff742e78-c996-42c5-86e5-82cb8b4b7fbb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E52F7-5B31-4398-B14B-62F3E26E5BF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