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315" w:rsidRPr="00647D14" w:rsidRDefault="00AD4315" w:rsidP="008F1ECA">
      <w:pPr>
        <w:pStyle w:val="Hemstlrubrik"/>
      </w:pPr>
      <w:r w:rsidRPr="00647D14">
        <w:t>Förslag till riksdagsbeslut</w:t>
      </w:r>
    </w:p>
    <w:p w:rsidR="00AD4315" w:rsidRPr="00647D14" w:rsidRDefault="00AD4315" w:rsidP="00AD4315">
      <w:pPr>
        <w:pStyle w:val="Hemstlatt"/>
      </w:pPr>
      <w:r w:rsidRPr="00647D14">
        <w:t>Riksdagen tillkännager för regeringen som sin mening vad i motionen anförs om brottsskadeersättning till personer med riskfyllda arbeten, t.ex. poliser.</w:t>
      </w:r>
    </w:p>
    <w:p w:rsidR="00AD4315" w:rsidRPr="00647D14" w:rsidRDefault="00AD4315" w:rsidP="00AD4315">
      <w:pPr>
        <w:pStyle w:val="Rubrik1"/>
      </w:pPr>
      <w:r w:rsidRPr="00647D14">
        <w:t>Motivering</w:t>
      </w:r>
    </w:p>
    <w:p w:rsidR="00AD4315" w:rsidRPr="00647D14" w:rsidRDefault="00AD4315" w:rsidP="00AD4315">
      <w:r w:rsidRPr="00647D14">
        <w:t>I en departementspromemoria från 1997 (Ds 1997:45) behandlades vissa frågor om brottsskadeersättning. I detta sammanhang behandlades även fr</w:t>
      </w:r>
      <w:r w:rsidRPr="00647D14">
        <w:t>å</w:t>
      </w:r>
      <w:r w:rsidRPr="00647D14">
        <w:t>gan om brottsskador som uppkommit i arbetet. Den fråga som aktualiserades i promemorian var huruvida arbetsskador skall undantas från BrL:s tilläm</w:t>
      </w:r>
      <w:r w:rsidRPr="00647D14">
        <w:t>p</w:t>
      </w:r>
      <w:r w:rsidRPr="00647D14">
        <w:t>ningsområde. I promemorian skrivs bland annat att arbetsgivarna bör åläggas en skyldighet att i samma utsträckning som föreskrivs i BrL utge ersättning för sådana brottsskador som är att bedöma som arbetsskador enligt lagen om arbetsskadeförsäkring. För att uppnå detta skulle arbetsgivarna bli tvungna att försäkra arbetstagarna mot de aktuella skadorna och se till att ersättning för kränkning ingår i försäkringsskyddet.</w:t>
      </w:r>
    </w:p>
    <w:p w:rsidR="00AD4315" w:rsidRPr="00647D14" w:rsidRDefault="00AD4315" w:rsidP="008F1ECA">
      <w:pPr>
        <w:pStyle w:val="Normaltindrag"/>
      </w:pPr>
      <w:r w:rsidRPr="00647D14">
        <w:t>Departementets s</w:t>
      </w:r>
      <w:r w:rsidR="008F1ECA" w:rsidRPr="00647D14">
        <w:t>lutsats i promemorian blev:</w:t>
      </w:r>
    </w:p>
    <w:p w:rsidR="00AD4315" w:rsidRPr="00647D14" w:rsidRDefault="00AD4315" w:rsidP="008F1ECA">
      <w:pPr>
        <w:pStyle w:val="Citat"/>
      </w:pPr>
      <w:r w:rsidRPr="00647D14">
        <w:t>Mot denna bakgrund bör frågan om arbetsskador skall undantas från BrL:s tillämpningsområde inte slutligt avgöras förrän utvecklingen b</w:t>
      </w:r>
      <w:r w:rsidRPr="00647D14">
        <w:t>e</w:t>
      </w:r>
      <w:r w:rsidRPr="00647D14">
        <w:t>träffande kollektiva och privata försäkringar avvaktats en tid. Arbet</w:t>
      </w:r>
      <w:r w:rsidRPr="00647D14">
        <w:t>s</w:t>
      </w:r>
      <w:r w:rsidRPr="00647D14">
        <w:t>marknadens parter bör ges tid att komplettera trygghetsförsäkringarna och PSA, liksom de privata försäkringsbolagen bör ges tid att ta fram en försäkring som ingår eller kan knytas till företagsförsäkringarna. I fall förhoppningen om en frivillig lösning inte infrias, bör frågan om arbet</w:t>
      </w:r>
      <w:r w:rsidRPr="00647D14">
        <w:t>s</w:t>
      </w:r>
      <w:r w:rsidRPr="00647D14">
        <w:t>skador skall undantas från BrL:s till</w:t>
      </w:r>
      <w:r w:rsidR="008F1ECA" w:rsidRPr="00647D14">
        <w:t>ämpningsområde tas upp på nytt.</w:t>
      </w:r>
      <w:r w:rsidRPr="00647D14">
        <w:t xml:space="preserve"> </w:t>
      </w:r>
    </w:p>
    <w:p w:rsidR="00AD4315" w:rsidRPr="00647D14" w:rsidRDefault="00AD4315" w:rsidP="00AD4315">
      <w:r w:rsidRPr="00647D14">
        <w:t>Det är nu åtta år sedan departementspromemorian skrevs</w:t>
      </w:r>
      <w:r w:rsidR="008F1ECA" w:rsidRPr="00647D14">
        <w:t>,</w:t>
      </w:r>
      <w:r w:rsidRPr="00647D14">
        <w:t xml:space="preserve"> och arbetsmarkn</w:t>
      </w:r>
      <w:r w:rsidRPr="00647D14">
        <w:t>a</w:t>
      </w:r>
      <w:r w:rsidRPr="00647D14">
        <w:t>dens parter har ännu ej hörsammat regeringens önskan om att teckna försä</w:t>
      </w:r>
      <w:r w:rsidRPr="00647D14">
        <w:t>k</w:t>
      </w:r>
      <w:r w:rsidRPr="00647D14">
        <w:t>ringar som fullt ut kan täcka brottsskador som är att betrakta som arbetssk</w:t>
      </w:r>
      <w:r w:rsidRPr="00647D14">
        <w:t>a</w:t>
      </w:r>
      <w:r w:rsidRPr="00647D14">
        <w:t>dor. I stället växer antalet ansökningar om brott</w:t>
      </w:r>
      <w:r w:rsidR="008F1ECA" w:rsidRPr="00647D14">
        <w:t>s</w:t>
      </w:r>
      <w:r w:rsidRPr="00647D14">
        <w:t>skadeersättning – och då främst kränkningsersättning – för arbetsrelaterade skador som når Brottso</w:t>
      </w:r>
      <w:r w:rsidRPr="00647D14">
        <w:t>f</w:t>
      </w:r>
      <w:r w:rsidRPr="00647D14">
        <w:lastRenderedPageBreak/>
        <w:t xml:space="preserve">fermyndigheten. Ansökningarna kommer huvudsakligen från poliser, men också </w:t>
      </w:r>
      <w:r w:rsidR="00FC3E34" w:rsidRPr="00647D14">
        <w:t xml:space="preserve">från </w:t>
      </w:r>
      <w:r w:rsidRPr="00647D14">
        <w:t>personer</w:t>
      </w:r>
      <w:r w:rsidR="00FC3E34" w:rsidRPr="00647D14">
        <w:t xml:space="preserve"> verksamma inom kriminalvården.</w:t>
      </w:r>
    </w:p>
    <w:p w:rsidR="00AD4315" w:rsidRPr="00647D14" w:rsidRDefault="00AD4315" w:rsidP="008F1ECA">
      <w:pPr>
        <w:pStyle w:val="Normaltindrag"/>
      </w:pPr>
      <w:r w:rsidRPr="00647D14">
        <w:t>Enligt vår mening kan det inte vara rimligt att BrL skall omfatta de pers</w:t>
      </w:r>
      <w:r w:rsidRPr="00647D14">
        <w:t>o</w:t>
      </w:r>
      <w:r w:rsidRPr="00647D14">
        <w:t xml:space="preserve">ner som har </w:t>
      </w:r>
      <w:r w:rsidR="00BD0CED" w:rsidRPr="00647D14">
        <w:t>som yrke att utsätta sig för faror</w:t>
      </w:r>
      <w:r w:rsidRPr="00647D14">
        <w:t>. Precis som det sägs i depart</w:t>
      </w:r>
      <w:r w:rsidRPr="00647D14">
        <w:t>e</w:t>
      </w:r>
      <w:r w:rsidRPr="00647D14">
        <w:t>ment</w:t>
      </w:r>
      <w:r w:rsidRPr="00647D14">
        <w:t>s</w:t>
      </w:r>
      <w:r w:rsidRPr="00647D14">
        <w:t>promemorian från 1997 bör ersättningen för dessa personers skador i tjänsten ersättas genom en av arbetsgivaren tecknad försäkring. Detta skulle leda till att anstäl</w:t>
      </w:r>
      <w:r w:rsidR="008F1ECA" w:rsidRPr="00647D14">
        <w:t>lda som skadas i tjänsten slapp</w:t>
      </w:r>
      <w:r w:rsidRPr="00647D14">
        <w:t xml:space="preserve"> att</w:t>
      </w:r>
      <w:r w:rsidR="008F1ECA" w:rsidRPr="00647D14">
        <w:t>,</w:t>
      </w:r>
      <w:r w:rsidRPr="00647D14">
        <w:t xml:space="preserve"> som i dag, vända sig till två i</w:t>
      </w:r>
      <w:r w:rsidRPr="00647D14">
        <w:t>n</w:t>
      </w:r>
      <w:r w:rsidRPr="00647D14">
        <w:t>stanser (AFA och Brottsoffermyndigheten) för att få sina rättigheter prövade.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1ECA" w:rsidRPr="00647D14">
        <w:tblPrEx>
          <w:tblCellMar>
            <w:top w:w="0" w:type="dxa"/>
            <w:bottom w:w="0" w:type="dxa"/>
          </w:tblCellMar>
        </w:tblPrEx>
        <w:trPr>
          <w:cantSplit/>
        </w:trPr>
        <w:tc>
          <w:tcPr>
            <w:tcW w:w="3046" w:type="dxa"/>
          </w:tcPr>
          <w:p w:rsidR="008F1ECA" w:rsidRPr="00647D14" w:rsidRDefault="008F1ECA" w:rsidP="008F1ECA">
            <w:pPr>
              <w:pStyle w:val="UnderskriftDatum"/>
              <w:spacing w:before="240"/>
            </w:pPr>
            <w:r w:rsidRPr="00647D14">
              <w:t>Stockholm den 4 oktober 2005</w:t>
            </w:r>
          </w:p>
        </w:tc>
        <w:tc>
          <w:tcPr>
            <w:tcW w:w="3047" w:type="dxa"/>
          </w:tcPr>
          <w:p w:rsidR="008F1ECA" w:rsidRPr="00647D14" w:rsidRDefault="008F1ECA" w:rsidP="008F1ECA">
            <w:pPr>
              <w:pStyle w:val="Underskrifter"/>
              <w:spacing w:before="240"/>
            </w:pPr>
          </w:p>
        </w:tc>
      </w:tr>
      <w:tr w:rsidR="008F1ECA" w:rsidRPr="00647D14">
        <w:tblPrEx>
          <w:tblCellMar>
            <w:top w:w="0" w:type="dxa"/>
            <w:bottom w:w="0" w:type="dxa"/>
          </w:tblCellMar>
        </w:tblPrEx>
        <w:trPr>
          <w:cantSplit/>
        </w:trPr>
        <w:tc>
          <w:tcPr>
            <w:tcW w:w="3046" w:type="dxa"/>
          </w:tcPr>
          <w:p w:rsidR="008F1ECA" w:rsidRPr="00647D14" w:rsidRDefault="008F1ECA" w:rsidP="008F1ECA">
            <w:pPr>
              <w:pStyle w:val="Underskrifter"/>
            </w:pPr>
            <w:r w:rsidRPr="00647D14">
              <w:t>Ulla Löfgren (m)</w:t>
            </w:r>
          </w:p>
        </w:tc>
        <w:tc>
          <w:tcPr>
            <w:tcW w:w="3047" w:type="dxa"/>
          </w:tcPr>
          <w:p w:rsidR="008F1ECA" w:rsidRPr="00647D14" w:rsidRDefault="008F1ECA" w:rsidP="008F1ECA">
            <w:pPr>
              <w:pStyle w:val="Underskrifter"/>
            </w:pPr>
            <w:r w:rsidRPr="00647D14">
              <w:t>Jan-Evert Rådhström (m)</w:t>
            </w:r>
          </w:p>
        </w:tc>
      </w:tr>
    </w:tbl>
    <w:p w:rsidR="00AD4315" w:rsidRPr="00647D14" w:rsidRDefault="00AD4315" w:rsidP="008F1ECA">
      <w:pPr>
        <w:pStyle w:val="Normaltindrag"/>
      </w:pPr>
    </w:p>
    <w:sectPr w:rsidR="00AD4315" w:rsidRPr="00647D14" w:rsidSect="008F1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E85" w:rsidRPr="00647D14" w:rsidRDefault="00FE4E85">
      <w:r w:rsidRPr="00647D14">
        <w:separator/>
      </w:r>
    </w:p>
  </w:endnote>
  <w:endnote w:type="continuationSeparator" w:id="0">
    <w:p w:rsidR="00FE4E85" w:rsidRPr="00647D14" w:rsidRDefault="00FE4E85">
      <w:r w:rsidRPr="00647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34" w:rsidRPr="00647D14" w:rsidRDefault="00647D14" w:rsidP="008F1ECA">
    <w:pPr>
      <w:pStyle w:val="Sidfot"/>
    </w:pPr>
    <w:r w:rsidRPr="00647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989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ECA" w:rsidRDefault="008F1E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ECA" w:rsidRDefault="008F1E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34" w:rsidRPr="00647D14" w:rsidRDefault="00647D14" w:rsidP="008F1ECA">
    <w:pPr>
      <w:pStyle w:val="Sidfot"/>
    </w:pPr>
    <w:r w:rsidRPr="00647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960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ECA" w:rsidRDefault="008F1E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ECA" w:rsidRDefault="008F1E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34" w:rsidRPr="00647D14" w:rsidRDefault="00647D14" w:rsidP="008F1ECA">
    <w:pPr>
      <w:pStyle w:val="Sidfot"/>
    </w:pPr>
    <w:r w:rsidRPr="00647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564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ECA" w:rsidRDefault="008F1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ECA" w:rsidRDefault="008F1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E85" w:rsidRPr="00647D14" w:rsidRDefault="00FE4E85">
      <w:r w:rsidRPr="00647D14">
        <w:separator/>
      </w:r>
    </w:p>
  </w:footnote>
  <w:footnote w:type="continuationSeparator" w:id="0">
    <w:p w:rsidR="00FE4E85" w:rsidRPr="00647D14" w:rsidRDefault="00FE4E85">
      <w:r w:rsidRPr="00647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34" w:rsidRPr="00647D14" w:rsidRDefault="00647D14" w:rsidP="008F1ECA">
    <w:pPr>
      <w:pStyle w:val="Sidhuvud"/>
    </w:pPr>
    <w:r w:rsidRPr="00647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691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ECA" w:rsidRDefault="008F1E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ECA" w:rsidRDefault="008F1E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34" w:rsidRPr="00647D14" w:rsidRDefault="00647D14" w:rsidP="008F1ECA">
    <w:pPr>
      <w:pStyle w:val="Sidhuvud"/>
    </w:pPr>
    <w:r w:rsidRPr="00647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398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ECA" w:rsidRDefault="008F1E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ECA" w:rsidRDefault="008F1E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ECA" w:rsidRPr="00647D14" w:rsidRDefault="008F1ECA">
    <w:pPr>
      <w:pStyle w:val="FSHNormal"/>
      <w:tabs>
        <w:tab w:val="right" w:pos="5840"/>
      </w:tabs>
    </w:pPr>
    <w:r w:rsidRPr="00647D14">
      <w:br/>
    </w:r>
    <w:r w:rsidRPr="00647D14">
      <w:fldChar w:fldCharType="begin" w:fldLock="1"/>
    </w:r>
    <w:r w:rsidRPr="00647D14">
      <w:instrText xml:space="preserve"> DOCPROPERTY</w:instrText>
    </w:r>
    <w:r w:rsidRPr="00647D14">
      <w:rPr>
        <w:sz w:val="18"/>
      </w:rPr>
      <w:instrText xml:space="preserve"> "YearUser" *\charformat </w:instrText>
    </w:r>
    <w:r w:rsidRPr="00647D14">
      <w:fldChar w:fldCharType="separate"/>
    </w:r>
    <w:r w:rsidRPr="00647D14">
      <w:t>2005/06</w:t>
    </w:r>
    <w:r w:rsidRPr="00647D14">
      <w:fldChar w:fldCharType="end"/>
    </w:r>
    <w:r w:rsidRPr="00647D14">
      <w:t xml:space="preserve"> </w:t>
    </w:r>
    <w:r w:rsidRPr="00647D14">
      <w:tab/>
      <w:t xml:space="preserve">mnr: </w:t>
    </w:r>
    <w:r w:rsidRPr="00647D14">
      <w:fldChar w:fldCharType="begin" w:fldLock="1"/>
    </w:r>
    <w:r w:rsidRPr="00647D14">
      <w:instrText xml:space="preserve"> DOCPROPERTY</w:instrText>
    </w:r>
    <w:r w:rsidRPr="00647D14">
      <w:rPr>
        <w:sz w:val="18"/>
      </w:rPr>
      <w:instrText xml:space="preserve"> "Motionsnummer" *\charformat </w:instrText>
    </w:r>
    <w:r w:rsidRPr="00647D14">
      <w:fldChar w:fldCharType="separate"/>
    </w:r>
    <w:r w:rsidRPr="00647D14">
      <w:t>Ju498</w:t>
    </w:r>
    <w:r w:rsidRPr="00647D14">
      <w:fldChar w:fldCharType="end"/>
    </w:r>
    <w:r w:rsidRPr="00647D14">
      <w:br/>
    </w:r>
    <w:r w:rsidRPr="00647D14">
      <w:fldChar w:fldCharType="begin" w:fldLock="1"/>
    </w:r>
    <w:r w:rsidRPr="00647D14">
      <w:instrText xml:space="preserve"> DOCPROPERTY</w:instrText>
    </w:r>
    <w:r w:rsidRPr="00647D14">
      <w:rPr>
        <w:sz w:val="18"/>
      </w:rPr>
      <w:instrText xml:space="preserve"> "Samling" *\charformat </w:instrText>
    </w:r>
    <w:r w:rsidRPr="00647D14">
      <w:fldChar w:fldCharType="end"/>
    </w:r>
    <w:r w:rsidRPr="00647D14">
      <w:tab/>
      <w:t xml:space="preserve">pnr: </w:t>
    </w:r>
    <w:r w:rsidRPr="00647D14">
      <w:fldChar w:fldCharType="begin" w:fldLock="1"/>
    </w:r>
    <w:r w:rsidRPr="00647D14">
      <w:instrText xml:space="preserve"> DOCPROPERTY</w:instrText>
    </w:r>
    <w:r w:rsidRPr="00647D14">
      <w:rPr>
        <w:sz w:val="18"/>
      </w:rPr>
      <w:instrText xml:space="preserve"> "Partinummer" *\charformat </w:instrText>
    </w:r>
    <w:r w:rsidRPr="00647D14">
      <w:fldChar w:fldCharType="separate"/>
    </w:r>
    <w:r w:rsidRPr="00647D14">
      <w:t>m1668</w:t>
    </w:r>
    <w:r w:rsidRPr="00647D14">
      <w:fldChar w:fldCharType="end"/>
    </w:r>
  </w:p>
  <w:p w:rsidR="008F1ECA" w:rsidRPr="00647D14" w:rsidRDefault="008F1ECA">
    <w:pPr>
      <w:pStyle w:val="FSHRub1"/>
    </w:pPr>
    <w:r w:rsidRPr="00647D14">
      <w:t>Motion till riksdagen</w:t>
    </w:r>
    <w:r w:rsidRPr="00647D14">
      <w:br/>
    </w:r>
    <w:r w:rsidRPr="00647D14">
      <w:fldChar w:fldCharType="begin" w:fldLock="1"/>
    </w:r>
    <w:r w:rsidRPr="00647D14">
      <w:instrText xml:space="preserve"> DOCPROPERTY "YearUser" *\charformat </w:instrText>
    </w:r>
    <w:r w:rsidRPr="00647D14">
      <w:fldChar w:fldCharType="separate"/>
    </w:r>
    <w:r w:rsidRPr="00647D14">
      <w:t>2005/06</w:t>
    </w:r>
    <w:r w:rsidRPr="00647D14">
      <w:fldChar w:fldCharType="end"/>
    </w:r>
    <w:r w:rsidRPr="00647D14">
      <w:t>:</w:t>
    </w:r>
    <w:r w:rsidRPr="00647D14">
      <w:fldChar w:fldCharType="begin" w:fldLock="1"/>
    </w:r>
    <w:r w:rsidRPr="00647D14">
      <w:instrText xml:space="preserve"> DOCPROPERTY "Motionsnummer" *\charformat </w:instrText>
    </w:r>
    <w:r w:rsidRPr="00647D14">
      <w:fldChar w:fldCharType="separate"/>
    </w:r>
    <w:r w:rsidRPr="00647D14">
      <w:t>Ju498</w:t>
    </w:r>
    <w:r w:rsidRPr="00647D14">
      <w:fldChar w:fldCharType="end"/>
    </w:r>
  </w:p>
  <w:p w:rsidR="008F1ECA" w:rsidRPr="00647D14" w:rsidRDefault="008F1ECA">
    <w:pPr>
      <w:pStyle w:val="FSHNormalS5"/>
    </w:pPr>
    <w:r w:rsidRPr="00647D14">
      <w:fldChar w:fldCharType="begin" w:fldLock="1"/>
    </w:r>
    <w:r w:rsidRPr="00647D14">
      <w:instrText xml:space="preserve"> DOCPROPERTY "MotionarText" *\charformat </w:instrText>
    </w:r>
    <w:r w:rsidRPr="00647D14">
      <w:fldChar w:fldCharType="separate"/>
    </w:r>
    <w:r w:rsidRPr="00647D14">
      <w:t>av Ulla Löfgren och Jan-Evert Rådhström (m)</w:t>
    </w:r>
    <w:r w:rsidRPr="00647D14">
      <w:fldChar w:fldCharType="end"/>
    </w:r>
    <w:r w:rsidRPr="00647D14">
      <w:br/>
    </w:r>
    <w:r w:rsidRPr="00647D14">
      <w:fldChar w:fldCharType="begin" w:fldLock="1"/>
    </w:r>
    <w:r w:rsidRPr="00647D14">
      <w:instrText xml:space="preserve"> DOCPROPERTY "SvarFrasKort" *\charformat </w:instrText>
    </w:r>
    <w:r w:rsidRPr="00647D14">
      <w:fldChar w:fldCharType="end"/>
    </w:r>
  </w:p>
  <w:p w:rsidR="008F1ECA" w:rsidRPr="00647D14" w:rsidRDefault="008F1ECA">
    <w:pPr>
      <w:pStyle w:val="FSHTitel"/>
    </w:pPr>
    <w:r w:rsidRPr="00647D14">
      <w:fldChar w:fldCharType="begin" w:fldLock="1"/>
    </w:r>
    <w:r w:rsidRPr="00647D14">
      <w:instrText xml:space="preserve"> DOCPROPERTY</w:instrText>
    </w:r>
    <w:r w:rsidRPr="00647D14">
      <w:rPr>
        <w:sz w:val="18"/>
      </w:rPr>
      <w:instrText xml:space="preserve"> "RubrikSvar" *\charformat </w:instrText>
    </w:r>
    <w:r w:rsidRPr="00647D14">
      <w:fldChar w:fldCharType="separate"/>
    </w:r>
    <w:r w:rsidRPr="00647D14">
      <w:t>Brottsskadeersättning till poliser</w:t>
    </w:r>
    <w:r w:rsidRPr="00647D14">
      <w:fldChar w:fldCharType="end"/>
    </w:r>
  </w:p>
  <w:p w:rsidR="008F1ECA" w:rsidRPr="00647D14" w:rsidRDefault="008F1ECA" w:rsidP="008F1EC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5148074">
    <w:abstractNumId w:val="13"/>
  </w:num>
  <w:num w:numId="2" w16cid:durableId="1441677445">
    <w:abstractNumId w:val="10"/>
  </w:num>
  <w:num w:numId="3" w16cid:durableId="1832059333">
    <w:abstractNumId w:val="11"/>
  </w:num>
  <w:num w:numId="4" w16cid:durableId="332995012">
    <w:abstractNumId w:val="12"/>
  </w:num>
  <w:num w:numId="5" w16cid:durableId="979189858">
    <w:abstractNumId w:val="8"/>
  </w:num>
  <w:num w:numId="6" w16cid:durableId="1017972211">
    <w:abstractNumId w:val="3"/>
  </w:num>
  <w:num w:numId="7" w16cid:durableId="1699308386">
    <w:abstractNumId w:val="2"/>
  </w:num>
  <w:num w:numId="8" w16cid:durableId="1684167301">
    <w:abstractNumId w:val="1"/>
  </w:num>
  <w:num w:numId="9" w16cid:durableId="1459302500">
    <w:abstractNumId w:val="0"/>
  </w:num>
  <w:num w:numId="10" w16cid:durableId="967054063">
    <w:abstractNumId w:val="9"/>
  </w:num>
  <w:num w:numId="11" w16cid:durableId="2124153254">
    <w:abstractNumId w:val="7"/>
  </w:num>
  <w:num w:numId="12" w16cid:durableId="1666546991">
    <w:abstractNumId w:val="6"/>
  </w:num>
  <w:num w:numId="13" w16cid:durableId="887642440">
    <w:abstractNumId w:val="5"/>
  </w:num>
  <w:num w:numId="14" w16cid:durableId="157123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D0CED"/>
    <w:rsid w:val="0004381F"/>
    <w:rsid w:val="00064BC3"/>
    <w:rsid w:val="00066775"/>
    <w:rsid w:val="00072FB9"/>
    <w:rsid w:val="00100531"/>
    <w:rsid w:val="00135C76"/>
    <w:rsid w:val="0018512B"/>
    <w:rsid w:val="00201DFB"/>
    <w:rsid w:val="00204A63"/>
    <w:rsid w:val="00212FF1"/>
    <w:rsid w:val="00230193"/>
    <w:rsid w:val="0025068A"/>
    <w:rsid w:val="002818D3"/>
    <w:rsid w:val="002D11A8"/>
    <w:rsid w:val="003B6303"/>
    <w:rsid w:val="00445271"/>
    <w:rsid w:val="004A0504"/>
    <w:rsid w:val="004E38D9"/>
    <w:rsid w:val="004E55F5"/>
    <w:rsid w:val="005B145B"/>
    <w:rsid w:val="00647D14"/>
    <w:rsid w:val="006C1FCD"/>
    <w:rsid w:val="00740D6D"/>
    <w:rsid w:val="00794149"/>
    <w:rsid w:val="007B67A7"/>
    <w:rsid w:val="007C6092"/>
    <w:rsid w:val="008F1ECA"/>
    <w:rsid w:val="00A01361"/>
    <w:rsid w:val="00A053C6"/>
    <w:rsid w:val="00AD4315"/>
    <w:rsid w:val="00B13BF0"/>
    <w:rsid w:val="00BC132C"/>
    <w:rsid w:val="00BD0CED"/>
    <w:rsid w:val="00C1285C"/>
    <w:rsid w:val="00C27B7D"/>
    <w:rsid w:val="00CF7A43"/>
    <w:rsid w:val="00D1174F"/>
    <w:rsid w:val="00DB2626"/>
    <w:rsid w:val="00DC6C70"/>
    <w:rsid w:val="00E22893"/>
    <w:rsid w:val="00E360DE"/>
    <w:rsid w:val="00E75D28"/>
    <w:rsid w:val="00E84F25"/>
    <w:rsid w:val="00FA3374"/>
    <w:rsid w:val="00FC3E34"/>
    <w:rsid w:val="00FE4E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B525A7-ECAF-4F82-8A01-97A08275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C1FCD"/>
    <w:rPr>
      <w:rFonts w:ascii="Tahoma" w:hAnsi="Tahoma" w:cs="Tahoma"/>
      <w:sz w:val="16"/>
      <w:szCs w:val="16"/>
    </w:rPr>
  </w:style>
  <w:style w:type="paragraph" w:customStyle="1" w:styleId="Hemstlrubrik">
    <w:name w:val="Hemstl_rubrik"/>
    <w:basedOn w:val="Rubrik1"/>
    <w:next w:val="Normal"/>
    <w:rsid w:val="008F1EC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Words>
  <Characters>2193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Ju498</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Ju498</dc:title>
  <dc:subject>Ju498</dc:subject>
  <dc:creator>Riksdagen</dc:creator>
  <cp:keywords>Riksdagen</cp:keywords>
  <dc:description/>
  <cp:lastModifiedBy>Lars Brink</cp:lastModifiedBy>
  <cp:revision>2</cp:revision>
  <cp:lastPrinted>2005-11-21T14:00:00Z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Brottsskadeersättning till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Brottsskadeersättning till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louise edlund</vt:lpwstr>
  </property>
  <property fmtid="{D5CDD505-2E9C-101B-9397-08002B2CF9AE}" pid="46" name="MotionID">
    <vt:lpwstr>20052006000000000109000016680069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20052006000000000109000016680069</vt:lpwstr>
  </property>
  <property fmtid="{D5CDD505-2E9C-101B-9397-08002B2CF9AE}" pid="50" name="nummer">
    <vt:lpwstr>498</vt:lpwstr>
  </property>
  <property fmtid="{D5CDD505-2E9C-101B-9397-08002B2CF9AE}" pid="51" name="utskottsbeteckning">
    <vt:lpwstr>Ju</vt:lpwstr>
  </property>
</Properties>
</file>