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F7085A" w:rsidTr="00215E50">
        <w:tblPrEx>
          <w:tblCellMar>
            <w:top w:w="0" w:type="dxa"/>
            <w:bottom w:w="0" w:type="dxa"/>
          </w:tblCellMar>
        </w:tblPrEx>
        <w:tc>
          <w:tcPr>
            <w:tcW w:w="2268" w:type="dxa"/>
          </w:tcPr>
          <w:p w:rsidR="006E4E11" w:rsidRPr="00F7085A"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F7085A" w:rsidRDefault="006E4E11" w:rsidP="007242A3">
            <w:pPr>
              <w:framePr w:w="5035" w:h="1644" w:wrap="notBeside" w:vAnchor="page" w:hAnchor="page" w:x="6573" w:y="721"/>
              <w:rPr>
                <w:rFonts w:ascii="TradeGothic" w:hAnsi="TradeGothic"/>
                <w:i/>
                <w:sz w:val="18"/>
              </w:rPr>
            </w:pPr>
          </w:p>
        </w:tc>
      </w:tr>
      <w:tr w:rsidR="00215E50" w:rsidRPr="00F7085A" w:rsidTr="00215E50">
        <w:tblPrEx>
          <w:tblCellMar>
            <w:top w:w="0" w:type="dxa"/>
            <w:bottom w:w="0" w:type="dxa"/>
          </w:tblCellMar>
        </w:tblPrEx>
        <w:tc>
          <w:tcPr>
            <w:tcW w:w="5267" w:type="dxa"/>
            <w:gridSpan w:val="3"/>
          </w:tcPr>
          <w:p w:rsidR="00215E50" w:rsidRPr="00F7085A" w:rsidRDefault="00215E50" w:rsidP="007242A3">
            <w:pPr>
              <w:framePr w:w="5035" w:h="1644" w:wrap="notBeside" w:vAnchor="page" w:hAnchor="page" w:x="6573" w:y="721"/>
              <w:rPr>
                <w:rFonts w:ascii="TradeGothic" w:hAnsi="TradeGothic"/>
                <w:b/>
                <w:sz w:val="22"/>
              </w:rPr>
            </w:pPr>
            <w:r w:rsidRPr="00F7085A">
              <w:rPr>
                <w:rFonts w:ascii="TradeGothic" w:hAnsi="TradeGothic"/>
                <w:b/>
                <w:sz w:val="22"/>
              </w:rPr>
              <w:t>Rådspromemoria</w:t>
            </w:r>
          </w:p>
        </w:tc>
      </w:tr>
      <w:tr w:rsidR="006E4E11" w:rsidRPr="00F7085A" w:rsidTr="00215E50">
        <w:tblPrEx>
          <w:tblCellMar>
            <w:top w:w="0" w:type="dxa"/>
            <w:bottom w:w="0" w:type="dxa"/>
          </w:tblCellMar>
        </w:tblPrEx>
        <w:tc>
          <w:tcPr>
            <w:tcW w:w="3402" w:type="dxa"/>
            <w:gridSpan w:val="2"/>
          </w:tcPr>
          <w:p w:rsidR="006E4E11" w:rsidRPr="00F7085A" w:rsidRDefault="006E4E11" w:rsidP="007242A3">
            <w:pPr>
              <w:framePr w:w="5035" w:h="1644" w:wrap="notBeside" w:vAnchor="page" w:hAnchor="page" w:x="6573" w:y="721"/>
            </w:pPr>
          </w:p>
        </w:tc>
        <w:tc>
          <w:tcPr>
            <w:tcW w:w="1865" w:type="dxa"/>
          </w:tcPr>
          <w:p w:rsidR="006E4E11" w:rsidRPr="00F7085A" w:rsidRDefault="006E4E11" w:rsidP="007242A3">
            <w:pPr>
              <w:framePr w:w="5035" w:h="1644" w:wrap="notBeside" w:vAnchor="page" w:hAnchor="page" w:x="6573" w:y="721"/>
            </w:pPr>
          </w:p>
        </w:tc>
      </w:tr>
      <w:tr w:rsidR="006E4E11" w:rsidRPr="00F7085A" w:rsidTr="00215E50">
        <w:tblPrEx>
          <w:tblCellMar>
            <w:top w:w="0" w:type="dxa"/>
            <w:bottom w:w="0" w:type="dxa"/>
          </w:tblCellMar>
        </w:tblPrEx>
        <w:tc>
          <w:tcPr>
            <w:tcW w:w="2268" w:type="dxa"/>
          </w:tcPr>
          <w:p w:rsidR="006E4E11" w:rsidRPr="00F7085A" w:rsidRDefault="00215E50" w:rsidP="007242A3">
            <w:pPr>
              <w:framePr w:w="5035" w:h="1644" w:wrap="notBeside" w:vAnchor="page" w:hAnchor="page" w:x="6573" w:y="721"/>
            </w:pPr>
            <w:r w:rsidRPr="00F7085A">
              <w:t>201</w:t>
            </w:r>
            <w:r w:rsidR="0059189B" w:rsidRPr="00F7085A">
              <w:t>2</w:t>
            </w:r>
            <w:r w:rsidRPr="00F7085A">
              <w:t>-0</w:t>
            </w:r>
            <w:r w:rsidR="009304E9" w:rsidRPr="00F7085A">
              <w:t>2</w:t>
            </w:r>
            <w:r w:rsidRPr="00F7085A">
              <w:t>-</w:t>
            </w:r>
            <w:r w:rsidR="009304E9" w:rsidRPr="00F7085A">
              <w:t>2</w:t>
            </w:r>
            <w:r w:rsidR="003C0855" w:rsidRPr="00F7085A">
              <w:t>4</w:t>
            </w:r>
          </w:p>
        </w:tc>
        <w:tc>
          <w:tcPr>
            <w:tcW w:w="2999" w:type="dxa"/>
            <w:gridSpan w:val="2"/>
          </w:tcPr>
          <w:p w:rsidR="006E4E11" w:rsidRPr="00F7085A" w:rsidRDefault="006E4E11" w:rsidP="007242A3">
            <w:pPr>
              <w:framePr w:w="5035" w:h="1644" w:wrap="notBeside" w:vAnchor="page" w:hAnchor="page" w:x="6573" w:y="721"/>
            </w:pPr>
          </w:p>
        </w:tc>
      </w:tr>
      <w:tr w:rsidR="006E4E11" w:rsidRPr="00F7085A" w:rsidTr="00215E50">
        <w:tblPrEx>
          <w:tblCellMar>
            <w:top w:w="0" w:type="dxa"/>
            <w:bottom w:w="0" w:type="dxa"/>
          </w:tblCellMar>
        </w:tblPrEx>
        <w:tc>
          <w:tcPr>
            <w:tcW w:w="2268" w:type="dxa"/>
          </w:tcPr>
          <w:p w:rsidR="006E4E11" w:rsidRPr="00F7085A" w:rsidRDefault="006E4E11" w:rsidP="007242A3">
            <w:pPr>
              <w:framePr w:w="5035" w:h="1644" w:wrap="notBeside" w:vAnchor="page" w:hAnchor="page" w:x="6573" w:y="721"/>
            </w:pPr>
          </w:p>
        </w:tc>
        <w:tc>
          <w:tcPr>
            <w:tcW w:w="2999" w:type="dxa"/>
            <w:gridSpan w:val="2"/>
          </w:tcPr>
          <w:p w:rsidR="006E4E11" w:rsidRPr="00F7085A" w:rsidRDefault="006E4E11" w:rsidP="007242A3">
            <w:pPr>
              <w:framePr w:w="5035" w:h="1644" w:wrap="notBeside" w:vAnchor="page" w:hAnchor="page" w:x="6573" w:y="721"/>
            </w:pPr>
          </w:p>
        </w:tc>
      </w:tr>
    </w:tbl>
    <w:p w:rsidR="001648B3" w:rsidRPr="00F7085A" w:rsidRDefault="001648B3" w:rsidP="001648B3">
      <w:pPr>
        <w:rPr>
          <w:vanish/>
        </w:rPr>
      </w:pPr>
    </w:p>
    <w:tbl>
      <w:tblPr>
        <w:tblW w:w="0" w:type="auto"/>
        <w:tblLayout w:type="fixed"/>
        <w:tblLook w:val="0000" w:firstRow="0" w:lastRow="0" w:firstColumn="0" w:lastColumn="0" w:noHBand="0" w:noVBand="0"/>
      </w:tblPr>
      <w:tblGrid>
        <w:gridCol w:w="4911"/>
      </w:tblGrid>
      <w:tr w:rsidR="006E4E11" w:rsidRPr="00F7085A">
        <w:tblPrEx>
          <w:tblCellMar>
            <w:top w:w="0" w:type="dxa"/>
            <w:bottom w:w="0" w:type="dxa"/>
          </w:tblCellMar>
        </w:tblPrEx>
        <w:trPr>
          <w:trHeight w:val="284"/>
        </w:trPr>
        <w:tc>
          <w:tcPr>
            <w:tcW w:w="4911" w:type="dxa"/>
          </w:tcPr>
          <w:p w:rsidR="006E4E11" w:rsidRPr="00F7085A" w:rsidRDefault="00215E50">
            <w:pPr>
              <w:pStyle w:val="Avsndare"/>
              <w:framePr w:h="2483" w:wrap="notBeside" w:x="1504"/>
              <w:rPr>
                <w:b/>
                <w:i w:val="0"/>
                <w:sz w:val="22"/>
              </w:rPr>
            </w:pPr>
            <w:r w:rsidRPr="00F7085A">
              <w:rPr>
                <w:b/>
                <w:i w:val="0"/>
                <w:sz w:val="22"/>
              </w:rPr>
              <w:t>Miljödepartementet</w:t>
            </w:r>
          </w:p>
        </w:tc>
      </w:tr>
      <w:tr w:rsidR="006E4E11" w:rsidRPr="00F7085A">
        <w:tblPrEx>
          <w:tblCellMar>
            <w:top w:w="0" w:type="dxa"/>
            <w:bottom w:w="0" w:type="dxa"/>
          </w:tblCellMar>
        </w:tblPrEx>
        <w:trPr>
          <w:trHeight w:val="284"/>
        </w:trPr>
        <w:tc>
          <w:tcPr>
            <w:tcW w:w="4911" w:type="dxa"/>
          </w:tcPr>
          <w:p w:rsidR="006E4E11" w:rsidRPr="00F7085A" w:rsidRDefault="006E4E11">
            <w:pPr>
              <w:pStyle w:val="Avsndare"/>
              <w:framePr w:h="2483" w:wrap="notBeside" w:x="1504"/>
              <w:rPr>
                <w:bCs/>
                <w:iCs/>
              </w:rPr>
            </w:pPr>
          </w:p>
        </w:tc>
      </w:tr>
      <w:tr w:rsidR="006E4E11" w:rsidRPr="00F7085A">
        <w:tblPrEx>
          <w:tblCellMar>
            <w:top w:w="0" w:type="dxa"/>
            <w:bottom w:w="0" w:type="dxa"/>
          </w:tblCellMar>
        </w:tblPrEx>
        <w:trPr>
          <w:trHeight w:val="284"/>
        </w:trPr>
        <w:tc>
          <w:tcPr>
            <w:tcW w:w="4911" w:type="dxa"/>
          </w:tcPr>
          <w:p w:rsidR="006E4E11" w:rsidRPr="00F7085A" w:rsidRDefault="001E15FC">
            <w:pPr>
              <w:pStyle w:val="Avsndare"/>
              <w:framePr w:h="2483" w:wrap="notBeside" w:x="1504"/>
              <w:rPr>
                <w:bCs/>
                <w:iCs/>
              </w:rPr>
            </w:pPr>
            <w:r w:rsidRPr="00F7085A">
              <w:rPr>
                <w:bCs/>
                <w:iCs/>
              </w:rPr>
              <w:t>Klimatenheten</w:t>
            </w:r>
          </w:p>
        </w:tc>
      </w:tr>
      <w:tr w:rsidR="006E4E11" w:rsidRPr="00F7085A">
        <w:tblPrEx>
          <w:tblCellMar>
            <w:top w:w="0" w:type="dxa"/>
            <w:bottom w:w="0" w:type="dxa"/>
          </w:tblCellMar>
        </w:tblPrEx>
        <w:trPr>
          <w:trHeight w:val="284"/>
        </w:trPr>
        <w:tc>
          <w:tcPr>
            <w:tcW w:w="4911" w:type="dxa"/>
          </w:tcPr>
          <w:p w:rsidR="006E4E11" w:rsidRPr="00F7085A" w:rsidRDefault="006E4E11">
            <w:pPr>
              <w:pStyle w:val="Avsndare"/>
              <w:framePr w:h="2483" w:wrap="notBeside" w:x="1504"/>
              <w:rPr>
                <w:bCs/>
                <w:iCs/>
              </w:rPr>
            </w:pPr>
          </w:p>
        </w:tc>
      </w:tr>
      <w:tr w:rsidR="006E4E11" w:rsidRPr="00F7085A">
        <w:tblPrEx>
          <w:tblCellMar>
            <w:top w:w="0" w:type="dxa"/>
            <w:bottom w:w="0" w:type="dxa"/>
          </w:tblCellMar>
        </w:tblPrEx>
        <w:trPr>
          <w:trHeight w:val="284"/>
        </w:trPr>
        <w:tc>
          <w:tcPr>
            <w:tcW w:w="4911" w:type="dxa"/>
          </w:tcPr>
          <w:p w:rsidR="006E4E11" w:rsidRPr="00F7085A" w:rsidRDefault="006E4E11" w:rsidP="001E15FC">
            <w:pPr>
              <w:pStyle w:val="Avsndare"/>
              <w:framePr w:h="2483" w:wrap="notBeside" w:x="1504"/>
              <w:rPr>
                <w:b/>
                <w:bCs/>
                <w:i w:val="0"/>
                <w:iCs/>
              </w:rPr>
            </w:pPr>
          </w:p>
        </w:tc>
      </w:tr>
      <w:tr w:rsidR="006E4E11" w:rsidRPr="00F7085A">
        <w:tblPrEx>
          <w:tblCellMar>
            <w:top w:w="0" w:type="dxa"/>
            <w:bottom w:w="0" w:type="dxa"/>
          </w:tblCellMar>
        </w:tblPrEx>
        <w:trPr>
          <w:trHeight w:val="284"/>
        </w:trPr>
        <w:tc>
          <w:tcPr>
            <w:tcW w:w="4911" w:type="dxa"/>
          </w:tcPr>
          <w:p w:rsidR="006E4E11" w:rsidRPr="00F7085A" w:rsidRDefault="006E4E11">
            <w:pPr>
              <w:pStyle w:val="Avsndare"/>
              <w:framePr w:h="2483" w:wrap="notBeside" w:x="1504"/>
              <w:rPr>
                <w:b/>
                <w:bCs/>
                <w:iCs/>
              </w:rPr>
            </w:pPr>
          </w:p>
        </w:tc>
      </w:tr>
      <w:tr w:rsidR="006E4E11" w:rsidRPr="00F7085A">
        <w:tblPrEx>
          <w:tblCellMar>
            <w:top w:w="0" w:type="dxa"/>
            <w:bottom w:w="0" w:type="dxa"/>
          </w:tblCellMar>
        </w:tblPrEx>
        <w:trPr>
          <w:trHeight w:val="284"/>
        </w:trPr>
        <w:tc>
          <w:tcPr>
            <w:tcW w:w="4911" w:type="dxa"/>
          </w:tcPr>
          <w:p w:rsidR="006E4E11" w:rsidRPr="00F7085A" w:rsidRDefault="006E4E11">
            <w:pPr>
              <w:pStyle w:val="Avsndare"/>
              <w:framePr w:h="2483" w:wrap="notBeside" w:x="1504"/>
              <w:rPr>
                <w:bCs/>
                <w:iCs/>
              </w:rPr>
            </w:pPr>
          </w:p>
        </w:tc>
      </w:tr>
      <w:tr w:rsidR="006E4E11" w:rsidRPr="00F7085A">
        <w:tblPrEx>
          <w:tblCellMar>
            <w:top w:w="0" w:type="dxa"/>
            <w:bottom w:w="0" w:type="dxa"/>
          </w:tblCellMar>
        </w:tblPrEx>
        <w:trPr>
          <w:trHeight w:val="284"/>
        </w:trPr>
        <w:tc>
          <w:tcPr>
            <w:tcW w:w="4911" w:type="dxa"/>
          </w:tcPr>
          <w:p w:rsidR="006E4E11" w:rsidRPr="00F7085A" w:rsidRDefault="006E4E11">
            <w:pPr>
              <w:pStyle w:val="Avsndare"/>
              <w:framePr w:h="2483" w:wrap="notBeside" w:x="1504"/>
              <w:rPr>
                <w:bCs/>
                <w:iCs/>
              </w:rPr>
            </w:pPr>
          </w:p>
        </w:tc>
      </w:tr>
      <w:tr w:rsidR="006E4E11" w:rsidRPr="00F7085A">
        <w:tblPrEx>
          <w:tblCellMar>
            <w:top w:w="0" w:type="dxa"/>
            <w:bottom w:w="0" w:type="dxa"/>
          </w:tblCellMar>
        </w:tblPrEx>
        <w:trPr>
          <w:trHeight w:val="284"/>
        </w:trPr>
        <w:tc>
          <w:tcPr>
            <w:tcW w:w="4911" w:type="dxa"/>
          </w:tcPr>
          <w:p w:rsidR="006E4E11" w:rsidRPr="00F7085A" w:rsidRDefault="006E4E11">
            <w:pPr>
              <w:pStyle w:val="Avsndare"/>
              <w:framePr w:h="2483" w:wrap="notBeside" w:x="1504"/>
              <w:rPr>
                <w:bCs/>
                <w:iCs/>
              </w:rPr>
            </w:pPr>
          </w:p>
        </w:tc>
      </w:tr>
    </w:tbl>
    <w:p w:rsidR="00215E50" w:rsidRPr="00F7085A" w:rsidRDefault="00215E50">
      <w:pPr>
        <w:pStyle w:val="RKrubrik"/>
        <w:pBdr>
          <w:bottom w:val="single" w:sz="6" w:space="1" w:color="auto"/>
        </w:pBdr>
      </w:pPr>
      <w:bookmarkStart w:id="0" w:name="bRubrik"/>
      <w:bookmarkEnd w:id="0"/>
      <w:r w:rsidRPr="00F7085A">
        <w:t>Rådets möte (</w:t>
      </w:r>
      <w:r w:rsidR="00C40232" w:rsidRPr="00F7085A">
        <w:t>Miljö</w:t>
      </w:r>
      <w:r w:rsidRPr="00F7085A">
        <w:t xml:space="preserve">) den </w:t>
      </w:r>
      <w:r w:rsidR="001E15FC" w:rsidRPr="00F7085A">
        <w:t>9</w:t>
      </w:r>
      <w:r w:rsidR="004876DF" w:rsidRPr="00F7085A">
        <w:t xml:space="preserve"> mars 2012</w:t>
      </w:r>
    </w:p>
    <w:p w:rsidR="00086FC1" w:rsidRPr="00F7085A" w:rsidRDefault="00086FC1">
      <w:pPr>
        <w:pStyle w:val="RKnormal"/>
      </w:pPr>
    </w:p>
    <w:p w:rsidR="00040B20" w:rsidRPr="00F7085A" w:rsidRDefault="00CD3821" w:rsidP="00040B20">
      <w:pPr>
        <w:spacing w:line="360" w:lineRule="auto"/>
        <w:rPr>
          <w:rFonts w:ascii="Garamond" w:hAnsi="Garamond"/>
        </w:rPr>
      </w:pPr>
      <w:r w:rsidRPr="00F7085A">
        <w:t xml:space="preserve">Dagordningspunkt </w:t>
      </w:r>
      <w:r w:rsidR="007E42CB" w:rsidRPr="00F7085A">
        <w:t>4</w:t>
      </w:r>
      <w:r w:rsidR="00040B20" w:rsidRPr="00F7085A">
        <w:t xml:space="preserve"> </w:t>
      </w:r>
    </w:p>
    <w:p w:rsidR="00215E50" w:rsidRPr="00F7085A" w:rsidRDefault="00215E50">
      <w:pPr>
        <w:pStyle w:val="RKnormal"/>
      </w:pPr>
    </w:p>
    <w:p w:rsidR="00040B20" w:rsidRPr="00F7085A" w:rsidRDefault="00215E50" w:rsidP="00040B20">
      <w:pPr>
        <w:spacing w:line="360" w:lineRule="auto"/>
      </w:pPr>
      <w:r w:rsidRPr="00F7085A">
        <w:t>Rubrik:</w:t>
      </w:r>
      <w:r w:rsidR="00040B20" w:rsidRPr="00F7085A">
        <w:t xml:space="preserve"> </w:t>
      </w:r>
    </w:p>
    <w:p w:rsidR="007E42CB" w:rsidRPr="00F7085A" w:rsidRDefault="007E42CB" w:rsidP="004D60B3">
      <w:pPr>
        <w:rPr>
          <w:i/>
        </w:rPr>
      </w:pPr>
      <w:r w:rsidRPr="00F7085A">
        <w:rPr>
          <w:rFonts w:eastAsia="Calibri"/>
        </w:rPr>
        <w:t>Uppföljning av klimatkonferensen i Durban (COP 17) till Förenta nationernas ramkonvention om klimatförändringar (UNFCCC) och 7e sessionsmötet mellan parterna i Kyotoprotokollet (CMP 7) (Durban, Sydafrika den 28 november- 9 december 2011)</w:t>
      </w:r>
      <w:r w:rsidRPr="00F7085A">
        <w:rPr>
          <w:i/>
        </w:rPr>
        <w:tab/>
        <w:t xml:space="preserve">          </w:t>
      </w:r>
    </w:p>
    <w:p w:rsidR="007E42CB" w:rsidRPr="00F7085A" w:rsidRDefault="007E42CB" w:rsidP="004D60B3">
      <w:pPr>
        <w:rPr>
          <w:i/>
        </w:rPr>
      </w:pPr>
      <w:r w:rsidRPr="00F7085A">
        <w:rPr>
          <w:i/>
        </w:rPr>
        <w:t xml:space="preserve"> – Antagande av rådets slutsatser</w:t>
      </w:r>
    </w:p>
    <w:p w:rsidR="00215E50" w:rsidRPr="00F7085A" w:rsidRDefault="00215E50">
      <w:pPr>
        <w:pStyle w:val="RKnormal"/>
      </w:pPr>
    </w:p>
    <w:p w:rsidR="00215E50" w:rsidRPr="00F7085A" w:rsidRDefault="00215E50">
      <w:pPr>
        <w:pStyle w:val="RKnormal"/>
      </w:pPr>
      <w:r w:rsidRPr="00F7085A">
        <w:t>Dokument:</w:t>
      </w:r>
      <w:r w:rsidR="00040B20" w:rsidRPr="00F7085A">
        <w:t xml:space="preserve"> </w:t>
      </w:r>
    </w:p>
    <w:p w:rsidR="008419A9" w:rsidRPr="00F7085A" w:rsidRDefault="004876DF" w:rsidP="008419A9">
      <w:pPr>
        <w:pStyle w:val="RKnormal"/>
      </w:pPr>
      <w:r w:rsidRPr="00F7085A">
        <w:rPr>
          <w:i/>
          <w:szCs w:val="24"/>
        </w:rPr>
        <w:t>Draft Council Conclusions: 5745</w:t>
      </w:r>
      <w:r w:rsidR="008419A9" w:rsidRPr="00F7085A">
        <w:rPr>
          <w:i/>
          <w:szCs w:val="24"/>
        </w:rPr>
        <w:t>/</w:t>
      </w:r>
      <w:r w:rsidRPr="00F7085A">
        <w:rPr>
          <w:i/>
          <w:szCs w:val="24"/>
        </w:rPr>
        <w:t>2/</w:t>
      </w:r>
      <w:r w:rsidR="008419A9" w:rsidRPr="00F7085A">
        <w:rPr>
          <w:i/>
          <w:szCs w:val="24"/>
        </w:rPr>
        <w:t>1</w:t>
      </w:r>
      <w:r w:rsidR="0049329E" w:rsidRPr="00F7085A">
        <w:rPr>
          <w:i/>
          <w:szCs w:val="24"/>
        </w:rPr>
        <w:t xml:space="preserve">2 REV2 LIMITE ENV 46 </w:t>
      </w:r>
      <w:r w:rsidRPr="00F7085A">
        <w:rPr>
          <w:i/>
          <w:szCs w:val="24"/>
        </w:rPr>
        <w:t>ONU 4 DEVGEN 12 ECOFIN 63 ENER 26 FORETS 5 MAR 2 AVIATION 9</w:t>
      </w:r>
    </w:p>
    <w:p w:rsidR="00215E50" w:rsidRPr="00F7085A" w:rsidRDefault="00215E50">
      <w:pPr>
        <w:pStyle w:val="RKnormal"/>
      </w:pPr>
    </w:p>
    <w:p w:rsidR="00215E50" w:rsidRPr="00F7085A" w:rsidRDefault="00215E50">
      <w:pPr>
        <w:pStyle w:val="RKnormal"/>
      </w:pPr>
      <w:r w:rsidRPr="00F7085A">
        <w:t xml:space="preserve">Tidigare dokument:  </w:t>
      </w:r>
      <w:r w:rsidR="00040B20" w:rsidRPr="00F7085A">
        <w:t xml:space="preserve">- </w:t>
      </w:r>
    </w:p>
    <w:p w:rsidR="00215E50" w:rsidRPr="00F7085A" w:rsidRDefault="00215E50">
      <w:pPr>
        <w:pStyle w:val="RKnormal"/>
      </w:pPr>
    </w:p>
    <w:p w:rsidR="00215E50" w:rsidRPr="00F7085A" w:rsidRDefault="00215E50">
      <w:pPr>
        <w:pStyle w:val="RKnormal"/>
      </w:pPr>
      <w:r w:rsidRPr="00F7085A">
        <w:t xml:space="preserve">Tidigare behandlad vid samråd med EU-nämnden: </w:t>
      </w:r>
      <w:r w:rsidR="007E42CB" w:rsidRPr="00F7085A">
        <w:rPr>
          <w:rFonts w:cs="OrigGarmnd BT"/>
          <w:iCs/>
          <w:color w:val="000000"/>
          <w:szCs w:val="24"/>
          <w:lang w:eastAsia="sv-SE"/>
        </w:rPr>
        <w:t>Frågan har tidigare behandlats i EU-nämnden den 7 oktober 2011.</w:t>
      </w:r>
    </w:p>
    <w:p w:rsidR="00215E50" w:rsidRPr="00F7085A" w:rsidRDefault="00215E50">
      <w:pPr>
        <w:pStyle w:val="RKrubrik"/>
      </w:pPr>
      <w:r w:rsidRPr="00F7085A">
        <w:t>Bakgrund</w:t>
      </w:r>
    </w:p>
    <w:p w:rsidR="00C40232" w:rsidRPr="00F7085A" w:rsidRDefault="004876DF">
      <w:pPr>
        <w:pStyle w:val="RKnormal"/>
      </w:pPr>
      <w:r w:rsidRPr="00F7085A">
        <w:t>Den sjuttond</w:t>
      </w:r>
      <w:r w:rsidR="00040B20" w:rsidRPr="00F7085A">
        <w:t>e partskonferensen inom klimatkonventionen (UN</w:t>
      </w:r>
      <w:r w:rsidRPr="00F7085A">
        <w:t>FCCC) respektive det sjunde</w:t>
      </w:r>
      <w:r w:rsidR="00040B20" w:rsidRPr="00F7085A">
        <w:t xml:space="preserve"> partsmötet inom Kyotoprotokollet ägde rum i </w:t>
      </w:r>
      <w:r w:rsidRPr="00F7085A">
        <w:t>Durban, Sydafrika, den 28 november – 9 december 2011</w:t>
      </w:r>
      <w:r w:rsidR="00040B20" w:rsidRPr="00F7085A">
        <w:t>.</w:t>
      </w:r>
      <w:r w:rsidRPr="00F7085A">
        <w:t xml:space="preserve"> På EU:s miljöministerråd den </w:t>
      </w:r>
      <w:r w:rsidR="005C4566" w:rsidRPr="00F7085A">
        <w:t>9</w:t>
      </w:r>
      <w:r w:rsidRPr="00F7085A">
        <w:t xml:space="preserve"> mars 2012</w:t>
      </w:r>
      <w:r w:rsidR="00040B20" w:rsidRPr="00F7085A">
        <w:t xml:space="preserve"> kommer rådsslutsatser att antas om EU:s syn på utfallet i </w:t>
      </w:r>
      <w:r w:rsidR="00C24A60" w:rsidRPr="00F7085A">
        <w:t xml:space="preserve">Durban </w:t>
      </w:r>
      <w:r w:rsidR="00040B20" w:rsidRPr="00F7085A">
        <w:t>och på processen fram</w:t>
      </w:r>
      <w:r w:rsidR="005C4566" w:rsidRPr="00F7085A">
        <w:t>över inklusive fram</w:t>
      </w:r>
      <w:r w:rsidR="00040B20" w:rsidRPr="00F7085A">
        <w:t xml:space="preserve"> </w:t>
      </w:r>
      <w:r w:rsidRPr="00F7085A">
        <w:t>till nästa partskonferens (COP18) i Doha, Qatar i slutet av 2012</w:t>
      </w:r>
      <w:r w:rsidR="00040B20" w:rsidRPr="00F7085A">
        <w:t xml:space="preserve">. </w:t>
      </w:r>
    </w:p>
    <w:p w:rsidR="00A121A0" w:rsidRPr="00F7085A" w:rsidRDefault="00A121A0" w:rsidP="00A121A0">
      <w:pPr>
        <w:pStyle w:val="RKnormal"/>
      </w:pPr>
    </w:p>
    <w:p w:rsidR="008278FE" w:rsidRPr="00F7085A" w:rsidRDefault="00C40232" w:rsidP="00A121A0">
      <w:pPr>
        <w:pStyle w:val="RKnormal"/>
      </w:pPr>
      <w:r w:rsidRPr="00F7085A">
        <w:t>Utestående frågor inför rådsmöt</w:t>
      </w:r>
      <w:r w:rsidR="00565335" w:rsidRPr="00F7085A">
        <w:t xml:space="preserve">et är framförallt </w:t>
      </w:r>
      <w:r w:rsidR="006A27FE" w:rsidRPr="00F7085A">
        <w:t xml:space="preserve">paragraf 13 om EU:s syn på hanteringen av AAU-överskottet från den första åtagandeperioden. Utestående är också </w:t>
      </w:r>
      <w:r w:rsidR="00565335" w:rsidRPr="00F7085A">
        <w:t>paragraf 10 åtagandeperiodens längd</w:t>
      </w:r>
      <w:r w:rsidR="006A27FE" w:rsidRPr="00F7085A">
        <w:t xml:space="preserve"> och </w:t>
      </w:r>
      <w:r w:rsidR="00565335" w:rsidRPr="00F7085A">
        <w:t>para</w:t>
      </w:r>
      <w:r w:rsidR="0059189B" w:rsidRPr="00F7085A">
        <w:t>graf</w:t>
      </w:r>
      <w:r w:rsidR="00565335" w:rsidRPr="00F7085A">
        <w:t xml:space="preserve"> 11-12 om </w:t>
      </w:r>
      <w:r w:rsidR="00273178" w:rsidRPr="00F7085A">
        <w:t xml:space="preserve">EU:s syn innehållet i den inlaga om </w:t>
      </w:r>
      <w:r w:rsidR="005C4566" w:rsidRPr="00F7085A">
        <w:t>EU:s</w:t>
      </w:r>
      <w:r w:rsidR="00273178" w:rsidRPr="00F7085A">
        <w:t xml:space="preserve"> kvantitativa åtagande under Kyotoprotokollets andra åtagandeperiod som </w:t>
      </w:r>
      <w:r w:rsidR="005C4566" w:rsidRPr="00F7085A">
        <w:t xml:space="preserve">enligt beslut i Durban </w:t>
      </w:r>
      <w:r w:rsidR="00273178" w:rsidRPr="00F7085A">
        <w:t>ska skickas in till Klimatkonventionens sekretariat 1 maj</w:t>
      </w:r>
      <w:r w:rsidR="00C24A60" w:rsidRPr="00F7085A">
        <w:t xml:space="preserve">. </w:t>
      </w:r>
    </w:p>
    <w:p w:rsidR="00215E50" w:rsidRPr="00F7085A" w:rsidRDefault="00215E50" w:rsidP="008278FE">
      <w:pPr>
        <w:pStyle w:val="RKrubrik"/>
      </w:pPr>
      <w:r w:rsidRPr="00F7085A">
        <w:lastRenderedPageBreak/>
        <w:t>Rättslig grund och beslutsförfarande</w:t>
      </w:r>
    </w:p>
    <w:p w:rsidR="00D2484D" w:rsidRPr="00F7085A" w:rsidRDefault="00D2484D" w:rsidP="00A121A0">
      <w:pPr>
        <w:pStyle w:val="RKnormal"/>
      </w:pPr>
      <w:r w:rsidRPr="00F7085A">
        <w:t>Råds</w:t>
      </w:r>
      <w:r w:rsidR="00C43C30" w:rsidRPr="00F7085A">
        <w:t>slutsatser antas i samförstånd</w:t>
      </w:r>
      <w:r w:rsidRPr="00F7085A">
        <w:t>.</w:t>
      </w:r>
    </w:p>
    <w:p w:rsidR="00215E50" w:rsidRPr="00F7085A" w:rsidRDefault="00215E50">
      <w:pPr>
        <w:pStyle w:val="RKrubrik"/>
        <w:rPr>
          <w:iCs/>
        </w:rPr>
      </w:pPr>
      <w:r w:rsidRPr="00F7085A">
        <w:rPr>
          <w:iCs/>
        </w:rPr>
        <w:t>Svensk ståndpunkt</w:t>
      </w:r>
    </w:p>
    <w:p w:rsidR="00C92544" w:rsidRPr="00F7085A" w:rsidRDefault="00672B3C" w:rsidP="000D487E">
      <w:pPr>
        <w:pStyle w:val="RKnormal"/>
      </w:pPr>
      <w:r w:rsidRPr="00F7085A">
        <w:t xml:space="preserve">Regeringen föreslår att Sverige </w:t>
      </w:r>
      <w:r w:rsidR="005D5B87" w:rsidRPr="00F7085A">
        <w:t xml:space="preserve">välkomnar förslaget till rådsslutsatser och betonar vikten </w:t>
      </w:r>
      <w:r w:rsidR="0024305A" w:rsidRPr="00F7085A">
        <w:t>av att hålla dessa tydliga, väl</w:t>
      </w:r>
      <w:r w:rsidR="005D5B87" w:rsidRPr="00F7085A">
        <w:t>strukturerade</w:t>
      </w:r>
      <w:r w:rsidR="008D1488" w:rsidRPr="00F7085A">
        <w:t>,</w:t>
      </w:r>
      <w:r w:rsidR="005D5B87" w:rsidRPr="00F7085A">
        <w:t xml:space="preserve"> korta och kärnfulla </w:t>
      </w:r>
      <w:r w:rsidR="008D1488" w:rsidRPr="00F7085A">
        <w:t xml:space="preserve">för att </w:t>
      </w:r>
      <w:r w:rsidR="005D5B87" w:rsidRPr="00F7085A">
        <w:t xml:space="preserve">tydligt förmedla EU:s </w:t>
      </w:r>
      <w:r w:rsidR="000D487E" w:rsidRPr="00F7085A">
        <w:t xml:space="preserve">positiva </w:t>
      </w:r>
      <w:r w:rsidR="005D5B87" w:rsidRPr="00F7085A">
        <w:t xml:space="preserve">syn på </w:t>
      </w:r>
      <w:r w:rsidR="00C43C30" w:rsidRPr="00F7085A">
        <w:t xml:space="preserve">utfallet från </w:t>
      </w:r>
      <w:r w:rsidR="002537CC" w:rsidRPr="00F7085A">
        <w:t>klimatförhandlingarna</w:t>
      </w:r>
      <w:r w:rsidR="00C43C30" w:rsidRPr="00F7085A">
        <w:t xml:space="preserve"> i Durban</w:t>
      </w:r>
      <w:r w:rsidR="008D1488" w:rsidRPr="00F7085A">
        <w:t xml:space="preserve"> inklusive</w:t>
      </w:r>
      <w:r w:rsidR="000D487E" w:rsidRPr="00F7085A">
        <w:t xml:space="preserve"> </w:t>
      </w:r>
      <w:r w:rsidR="00C92544" w:rsidRPr="00F7085A">
        <w:t>Durbanplattformen</w:t>
      </w:r>
      <w:r w:rsidR="00C62279" w:rsidRPr="00F7085A">
        <w:t>. Durbanplattformen stakar ut vägen</w:t>
      </w:r>
      <w:r w:rsidR="00C92544" w:rsidRPr="00F7085A">
        <w:t xml:space="preserve"> framåt</w:t>
      </w:r>
      <w:r w:rsidR="007E42CB" w:rsidRPr="00F7085A">
        <w:t>.</w:t>
      </w:r>
      <w:r w:rsidR="00C92544" w:rsidRPr="00F7085A">
        <w:t xml:space="preserve"> </w:t>
      </w:r>
    </w:p>
    <w:p w:rsidR="00C92544" w:rsidRPr="00F7085A" w:rsidRDefault="00C92544" w:rsidP="006A5D78">
      <w:pPr>
        <w:pStyle w:val="RKnormal"/>
      </w:pPr>
      <w:r w:rsidRPr="00F7085A">
        <w:br/>
      </w:r>
      <w:r w:rsidR="007714F7" w:rsidRPr="00F7085A">
        <w:t>Reg</w:t>
      </w:r>
      <w:r w:rsidR="00C24A60" w:rsidRPr="00F7085A">
        <w:t>er</w:t>
      </w:r>
      <w:r w:rsidR="007714F7" w:rsidRPr="00F7085A">
        <w:t xml:space="preserve">ingen </w:t>
      </w:r>
      <w:r w:rsidR="008D1488" w:rsidRPr="00F7085A">
        <w:t xml:space="preserve">vill dock att EU ska framhålla det bekymmersamma med att </w:t>
      </w:r>
      <w:r w:rsidRPr="00F7085A">
        <w:t xml:space="preserve">Durbanbesluten </w:t>
      </w:r>
      <w:r w:rsidR="008D1488" w:rsidRPr="00F7085A">
        <w:t xml:space="preserve">inte </w:t>
      </w:r>
      <w:r w:rsidRPr="00F7085A">
        <w:t xml:space="preserve">innebar </w:t>
      </w:r>
      <w:r w:rsidR="008D1488" w:rsidRPr="00F7085A">
        <w:t>några</w:t>
      </w:r>
      <w:r w:rsidR="00C62279" w:rsidRPr="00F7085A">
        <w:t xml:space="preserve"> </w:t>
      </w:r>
      <w:r w:rsidRPr="00F7085A">
        <w:t xml:space="preserve">fördjupade åtaganden från parterna och </w:t>
      </w:r>
      <w:r w:rsidR="008D1488" w:rsidRPr="00F7085A">
        <w:t xml:space="preserve">att </w:t>
      </w:r>
      <w:r w:rsidRPr="00F7085A">
        <w:t>d</w:t>
      </w:r>
      <w:r w:rsidR="006A5D78" w:rsidRPr="00F7085A">
        <w:t xml:space="preserve">e </w:t>
      </w:r>
      <w:r w:rsidR="00F207FF" w:rsidRPr="00F7085A">
        <w:t xml:space="preserve">hittills </w:t>
      </w:r>
      <w:r w:rsidR="006A5D78" w:rsidRPr="00F7085A">
        <w:t>utlovade utslä</w:t>
      </w:r>
      <w:r w:rsidR="004076A4" w:rsidRPr="00F7085A">
        <w:t>ppsminskningarna är för små för att hålla tvågradersmålet inom räckhåll. T</w:t>
      </w:r>
      <w:r w:rsidR="006A5D78" w:rsidRPr="00F7085A">
        <w:t>rycket på att höja ambitionerna</w:t>
      </w:r>
      <w:r w:rsidR="004076A4" w:rsidRPr="00F7085A">
        <w:t>, såväl före som efter 2020</w:t>
      </w:r>
      <w:r w:rsidRPr="00F7085A">
        <w:t>, måste öka</w:t>
      </w:r>
      <w:r w:rsidR="006A5D78" w:rsidRPr="00F7085A">
        <w:t xml:space="preserve">. </w:t>
      </w:r>
      <w:r w:rsidR="00C40232" w:rsidRPr="00F7085A">
        <w:t>H</w:t>
      </w:r>
      <w:r w:rsidR="00A7531C" w:rsidRPr="00F7085A">
        <w:t>ögre am</w:t>
      </w:r>
      <w:r w:rsidR="006A5D78" w:rsidRPr="00F7085A">
        <w:t xml:space="preserve">bitioner behövs </w:t>
      </w:r>
      <w:r w:rsidR="005C4566" w:rsidRPr="00F7085A">
        <w:t>framför allt</w:t>
      </w:r>
      <w:r w:rsidR="006A5D78" w:rsidRPr="00F7085A">
        <w:t xml:space="preserve"> i i-länderna</w:t>
      </w:r>
      <w:r w:rsidRPr="00F7085A">
        <w:t>,</w:t>
      </w:r>
      <w:r w:rsidR="006A5D78" w:rsidRPr="00F7085A">
        <w:t xml:space="preserve"> som </w:t>
      </w:r>
      <w:r w:rsidRPr="00F7085A">
        <w:t xml:space="preserve">även fortsatt </w:t>
      </w:r>
      <w:r w:rsidR="006A5D78" w:rsidRPr="00F7085A">
        <w:t xml:space="preserve">måste ta ledningen i det internationella klimatarbetet </w:t>
      </w:r>
      <w:r w:rsidR="005C4566" w:rsidRPr="00F7085A">
        <w:t xml:space="preserve">men också </w:t>
      </w:r>
      <w:r w:rsidR="006A5D78" w:rsidRPr="00F7085A">
        <w:t xml:space="preserve">i </w:t>
      </w:r>
      <w:r w:rsidR="005C4566" w:rsidRPr="00F7085A">
        <w:t xml:space="preserve">snabbt växande </w:t>
      </w:r>
      <w:r w:rsidR="006A5D78" w:rsidRPr="00F7085A">
        <w:t xml:space="preserve">utvecklingsländer. </w:t>
      </w:r>
      <w:r w:rsidR="007714F7" w:rsidRPr="00F7085A">
        <w:t xml:space="preserve">Regeringen </w:t>
      </w:r>
      <w:r w:rsidR="006A5D78" w:rsidRPr="00F7085A">
        <w:t>verkar för att lyfta fram d</w:t>
      </w:r>
      <w:r w:rsidR="004076A4" w:rsidRPr="00F7085A">
        <w:t>e</w:t>
      </w:r>
      <w:r w:rsidR="005C4566" w:rsidRPr="00F7085A">
        <w:t>tta</w:t>
      </w:r>
      <w:r w:rsidRPr="00F7085A">
        <w:t xml:space="preserve"> i rådsslutsatserna. </w:t>
      </w:r>
      <w:r w:rsidR="007714F7" w:rsidRPr="00F7085A">
        <w:t xml:space="preserve">Regeringen </w:t>
      </w:r>
      <w:r w:rsidR="00444040" w:rsidRPr="00F7085A">
        <w:t xml:space="preserve">driver också och verkar </w:t>
      </w:r>
      <w:r w:rsidRPr="00F7085A">
        <w:t xml:space="preserve">få gehör för att utfasning av </w:t>
      </w:r>
      <w:r w:rsidR="00444040" w:rsidRPr="00F7085A">
        <w:t xml:space="preserve">subventioner för </w:t>
      </w:r>
      <w:r w:rsidRPr="00F7085A">
        <w:t xml:space="preserve">fossila bränslen och åtgärder för att minska utsläppen av kortlivade, klimatpåverkande gaser </w:t>
      </w:r>
      <w:r w:rsidR="002537CC" w:rsidRPr="00F7085A">
        <w:t xml:space="preserve">kan bidra till ytterligare utsläppsminskningar. </w:t>
      </w:r>
    </w:p>
    <w:p w:rsidR="00AE478F" w:rsidRPr="00F7085A" w:rsidRDefault="00AE478F" w:rsidP="00C92544">
      <w:pPr>
        <w:pStyle w:val="RKnormal"/>
      </w:pPr>
    </w:p>
    <w:p w:rsidR="00444040" w:rsidRPr="00F7085A" w:rsidRDefault="00271B77" w:rsidP="00C92544">
      <w:pPr>
        <w:pStyle w:val="RKnormal"/>
      </w:pPr>
      <w:r w:rsidRPr="00F7085A">
        <w:t xml:space="preserve">Regeringen </w:t>
      </w:r>
      <w:r w:rsidR="008240FD" w:rsidRPr="00F7085A">
        <w:t xml:space="preserve">stödjer </w:t>
      </w:r>
      <w:r w:rsidR="00AE478F" w:rsidRPr="00F7085A">
        <w:t xml:space="preserve">en åttaårig </w:t>
      </w:r>
      <w:r w:rsidR="00444040" w:rsidRPr="00F7085A">
        <w:t xml:space="preserve">andra </w:t>
      </w:r>
      <w:r w:rsidR="00AE478F" w:rsidRPr="00F7085A">
        <w:t xml:space="preserve">åtagandeperiod </w:t>
      </w:r>
      <w:r w:rsidR="00444040" w:rsidRPr="00F7085A">
        <w:t xml:space="preserve">i Kyotoprotokollet 2013-2020 som </w:t>
      </w:r>
      <w:r w:rsidR="00AE478F" w:rsidRPr="00F7085A">
        <w:t xml:space="preserve">synkroniseras med ikraftträdandet av det nya globala avtalet och med tidsplanen för EU:s klimat- och energipaket. </w:t>
      </w:r>
    </w:p>
    <w:p w:rsidR="00444040" w:rsidRPr="00F7085A" w:rsidRDefault="00444040" w:rsidP="00C92544">
      <w:pPr>
        <w:pStyle w:val="RKnormal"/>
      </w:pPr>
    </w:p>
    <w:p w:rsidR="00AE478F" w:rsidRPr="00F7085A" w:rsidRDefault="00444040" w:rsidP="00C92544">
      <w:pPr>
        <w:pStyle w:val="RKnormal"/>
      </w:pPr>
      <w:r w:rsidRPr="00F7085A">
        <w:t xml:space="preserve">EU </w:t>
      </w:r>
      <w:r w:rsidR="00C62279" w:rsidRPr="00F7085A">
        <w:t>ska lämna</w:t>
      </w:r>
      <w:r w:rsidRPr="00F7085A">
        <w:t xml:space="preserve"> </w:t>
      </w:r>
      <w:r w:rsidR="00C62279" w:rsidRPr="00F7085A">
        <w:t>en inlaga</w:t>
      </w:r>
      <w:r w:rsidR="00565335" w:rsidRPr="00F7085A">
        <w:t xml:space="preserve"> </w:t>
      </w:r>
      <w:r w:rsidR="00C62279" w:rsidRPr="00F7085A">
        <w:t xml:space="preserve">till klimatkonventionens sekretariat senast 1 maj med information om </w:t>
      </w:r>
      <w:r w:rsidRPr="00F7085A">
        <w:t>vad EU</w:t>
      </w:r>
      <w:r w:rsidR="007714F7" w:rsidRPr="00F7085A">
        <w:t xml:space="preserve"> avser ha för</w:t>
      </w:r>
      <w:r w:rsidRPr="00F7085A">
        <w:t xml:space="preserve"> utsläpps</w:t>
      </w:r>
      <w:r w:rsidR="00565335" w:rsidRPr="00F7085A">
        <w:t>åtagande</w:t>
      </w:r>
      <w:r w:rsidRPr="00F7085A">
        <w:t xml:space="preserve"> för en andra åtagandeperiod 2013-2020</w:t>
      </w:r>
      <w:r w:rsidR="00C62279" w:rsidRPr="00F7085A">
        <w:t xml:space="preserve"> (en s.k. QELRO). </w:t>
      </w:r>
      <w:r w:rsidR="008240FD" w:rsidRPr="00F7085A">
        <w:t xml:space="preserve">Regeringen </w:t>
      </w:r>
      <w:r w:rsidR="007E42CB" w:rsidRPr="00F7085A">
        <w:t xml:space="preserve">betonar vikten av </w:t>
      </w:r>
      <w:r w:rsidR="00C62279" w:rsidRPr="00F7085A">
        <w:t xml:space="preserve"> att EU</w:t>
      </w:r>
      <w:r w:rsidR="008240FD" w:rsidRPr="00F7085A">
        <w:t xml:space="preserve"> </w:t>
      </w:r>
      <w:r w:rsidR="00C62279" w:rsidRPr="00F7085A">
        <w:t>lämna</w:t>
      </w:r>
      <w:r w:rsidR="007E42CB" w:rsidRPr="00F7085A">
        <w:t>r</w:t>
      </w:r>
      <w:r w:rsidR="00C62279" w:rsidRPr="00F7085A">
        <w:t xml:space="preserve"> information som</w:t>
      </w:r>
      <w:r w:rsidRPr="00F7085A">
        <w:t xml:space="preserve"> motsvarar </w:t>
      </w:r>
      <w:r w:rsidR="00AE478F" w:rsidRPr="00F7085A">
        <w:t xml:space="preserve">både </w:t>
      </w:r>
      <w:r w:rsidR="00815006" w:rsidRPr="00F7085A">
        <w:t xml:space="preserve">EU:s åtagande om </w:t>
      </w:r>
      <w:r w:rsidR="00AE478F" w:rsidRPr="00F7085A">
        <w:t>20</w:t>
      </w:r>
      <w:r w:rsidR="00C62279" w:rsidRPr="00F7085A">
        <w:t xml:space="preserve"> </w:t>
      </w:r>
      <w:r w:rsidR="00AE478F" w:rsidRPr="00F7085A">
        <w:t>%</w:t>
      </w:r>
      <w:r w:rsidR="00C62279" w:rsidRPr="00F7085A">
        <w:t xml:space="preserve"> </w:t>
      </w:r>
      <w:r w:rsidR="00AE478F" w:rsidRPr="00F7085A">
        <w:t xml:space="preserve">-målet och </w:t>
      </w:r>
      <w:r w:rsidR="00815006" w:rsidRPr="00F7085A">
        <w:t>d</w:t>
      </w:r>
      <w:r w:rsidR="007E3DAC" w:rsidRPr="00F7085A">
        <w:t>et</w:t>
      </w:r>
      <w:r w:rsidR="00815006" w:rsidRPr="00F7085A">
        <w:t xml:space="preserve"> villkorade</w:t>
      </w:r>
      <w:r w:rsidR="007E3DAC" w:rsidRPr="00F7085A">
        <w:t xml:space="preserve"> </w:t>
      </w:r>
      <w:r w:rsidR="00AE478F" w:rsidRPr="00F7085A">
        <w:t>30</w:t>
      </w:r>
      <w:r w:rsidR="00C62279" w:rsidRPr="00F7085A">
        <w:t xml:space="preserve"> </w:t>
      </w:r>
      <w:r w:rsidR="00AE478F" w:rsidRPr="00F7085A">
        <w:t>%</w:t>
      </w:r>
      <w:r w:rsidR="001E15FC" w:rsidRPr="00F7085A">
        <w:t xml:space="preserve"> </w:t>
      </w:r>
      <w:r w:rsidR="00AE478F" w:rsidRPr="00F7085A">
        <w:t>-mål</w:t>
      </w:r>
      <w:r w:rsidR="00815006" w:rsidRPr="00F7085A">
        <w:t>et</w:t>
      </w:r>
      <w:r w:rsidR="00AE478F" w:rsidRPr="00F7085A">
        <w:t>.</w:t>
      </w:r>
      <w:r w:rsidR="00C62279" w:rsidRPr="00F7085A">
        <w:t xml:space="preserve"> </w:t>
      </w:r>
      <w:r w:rsidR="007714F7" w:rsidRPr="00F7085A">
        <w:t>Regeringe</w:t>
      </w:r>
      <w:r w:rsidR="0030234C" w:rsidRPr="00F7085A">
        <w:t>n</w:t>
      </w:r>
      <w:r w:rsidR="007714F7" w:rsidRPr="00F7085A">
        <w:t xml:space="preserve"> </w:t>
      </w:r>
      <w:r w:rsidR="00AE478F" w:rsidRPr="00F7085A">
        <w:t xml:space="preserve">stödjer också tydliga skrivningar om </w:t>
      </w:r>
      <w:r w:rsidR="00F207FF" w:rsidRPr="00F7085A">
        <w:t>både vikten av att anta</w:t>
      </w:r>
      <w:r w:rsidR="00AE478F" w:rsidRPr="00F7085A">
        <w:t xml:space="preserve"> </w:t>
      </w:r>
      <w:r w:rsidR="00AE478F" w:rsidRPr="00F7085A">
        <w:rPr>
          <w:iCs/>
        </w:rPr>
        <w:t>ambitiösa utsläppsminskningsåtaganden vid inträdet</w:t>
      </w:r>
      <w:r w:rsidR="00F207FF" w:rsidRPr="00F7085A">
        <w:rPr>
          <w:iCs/>
        </w:rPr>
        <w:t xml:space="preserve"> i en andra åtagandeperiod</w:t>
      </w:r>
      <w:r w:rsidR="00AE478F" w:rsidRPr="00F7085A">
        <w:rPr>
          <w:iCs/>
        </w:rPr>
        <w:t xml:space="preserve"> och behovet av att förenkla processen för de parter som önskar höja sin ambitionsniv</w:t>
      </w:r>
      <w:r w:rsidR="00F207FF" w:rsidRPr="00F7085A">
        <w:rPr>
          <w:iCs/>
        </w:rPr>
        <w:t>å under åtagandeperioden</w:t>
      </w:r>
      <w:r w:rsidR="00AE478F" w:rsidRPr="00F7085A">
        <w:rPr>
          <w:iCs/>
        </w:rPr>
        <w:t>.</w:t>
      </w:r>
    </w:p>
    <w:p w:rsidR="00AE478F" w:rsidRPr="00F7085A" w:rsidRDefault="00AE478F" w:rsidP="00C92544">
      <w:pPr>
        <w:pStyle w:val="RKnormal"/>
      </w:pPr>
    </w:p>
    <w:p w:rsidR="00F207FF" w:rsidRPr="00F7085A" w:rsidRDefault="006F7AF0" w:rsidP="00F207FF">
      <w:pPr>
        <w:pStyle w:val="Liststycke"/>
        <w:overflowPunct/>
        <w:spacing w:line="240" w:lineRule="auto"/>
        <w:ind w:left="0"/>
        <w:textAlignment w:val="auto"/>
        <w:rPr>
          <w:color w:val="000000"/>
          <w:szCs w:val="24"/>
          <w:lang w:eastAsia="sv-SE"/>
        </w:rPr>
      </w:pPr>
      <w:r w:rsidRPr="00F7085A">
        <w:rPr>
          <w:color w:val="000000"/>
          <w:szCs w:val="24"/>
          <w:lang w:eastAsia="sv-SE"/>
        </w:rPr>
        <w:t xml:space="preserve">Regeringen </w:t>
      </w:r>
      <w:r w:rsidR="00F207FF" w:rsidRPr="00F7085A">
        <w:rPr>
          <w:color w:val="000000"/>
          <w:szCs w:val="24"/>
          <w:lang w:eastAsia="sv-SE"/>
        </w:rPr>
        <w:t xml:space="preserve">strävar också efter att </w:t>
      </w:r>
      <w:r w:rsidR="00C62279" w:rsidRPr="00F7085A">
        <w:rPr>
          <w:color w:val="000000"/>
          <w:szCs w:val="24"/>
          <w:lang w:eastAsia="sv-SE"/>
        </w:rPr>
        <w:t>frågan om AAU-</w:t>
      </w:r>
      <w:r w:rsidR="00444040" w:rsidRPr="00F7085A">
        <w:rPr>
          <w:color w:val="000000"/>
          <w:szCs w:val="24"/>
          <w:lang w:eastAsia="sv-SE"/>
        </w:rPr>
        <w:t xml:space="preserve">överskottet kan lösas under året eftersom detta behövs för att EU ska kunna ratificera en ändring av protokollet som lägger fast en andra åtagandeperiod av Kyotoprotokollet. </w:t>
      </w:r>
      <w:r w:rsidRPr="00F7085A">
        <w:rPr>
          <w:color w:val="000000"/>
          <w:szCs w:val="24"/>
          <w:lang w:eastAsia="sv-SE"/>
        </w:rPr>
        <w:t>Regeringen</w:t>
      </w:r>
      <w:r w:rsidR="00815006" w:rsidRPr="00F7085A">
        <w:rPr>
          <w:color w:val="000000"/>
          <w:szCs w:val="24"/>
          <w:lang w:eastAsia="sv-SE"/>
        </w:rPr>
        <w:t xml:space="preserve"> </w:t>
      </w:r>
      <w:r w:rsidR="00444040" w:rsidRPr="00F7085A">
        <w:rPr>
          <w:color w:val="000000"/>
          <w:szCs w:val="24"/>
          <w:lang w:eastAsia="sv-SE"/>
        </w:rPr>
        <w:t xml:space="preserve">strävar efter att </w:t>
      </w:r>
      <w:r w:rsidR="00F207FF" w:rsidRPr="00F7085A">
        <w:rPr>
          <w:color w:val="000000"/>
          <w:szCs w:val="24"/>
          <w:lang w:eastAsia="sv-SE"/>
        </w:rPr>
        <w:t>EU, tillsammans med andra parter</w:t>
      </w:r>
      <w:r w:rsidR="000D487E" w:rsidRPr="00F7085A">
        <w:rPr>
          <w:color w:val="000000"/>
          <w:szCs w:val="24"/>
          <w:lang w:eastAsia="sv-SE"/>
        </w:rPr>
        <w:t xml:space="preserve"> kan hitta en lösning som</w:t>
      </w:r>
      <w:r w:rsidR="00F207FF" w:rsidRPr="00F7085A">
        <w:rPr>
          <w:color w:val="000000"/>
          <w:szCs w:val="24"/>
          <w:lang w:eastAsia="sv-SE"/>
        </w:rPr>
        <w:t xml:space="preserve"> säkerställer miljöintegriteten och klimatmålen, samtidigt som incitament för länder att gå längre än sina åtaganden finns kvar</w:t>
      </w:r>
      <w:r w:rsidR="00C62279" w:rsidRPr="00F7085A">
        <w:rPr>
          <w:color w:val="000000"/>
          <w:szCs w:val="24"/>
          <w:lang w:eastAsia="sv-SE"/>
        </w:rPr>
        <w:t>.</w:t>
      </w:r>
    </w:p>
    <w:p w:rsidR="00F207FF" w:rsidRPr="00F7085A" w:rsidRDefault="00F207FF" w:rsidP="006A5D78">
      <w:pPr>
        <w:pStyle w:val="RKnormal"/>
      </w:pPr>
    </w:p>
    <w:p w:rsidR="006A5D78" w:rsidRPr="00F7085A" w:rsidRDefault="006F7AF0" w:rsidP="006A5D78">
      <w:pPr>
        <w:pStyle w:val="RKnormal"/>
      </w:pPr>
      <w:r w:rsidRPr="00F7085A">
        <w:rPr>
          <w:color w:val="000000"/>
          <w:szCs w:val="24"/>
          <w:lang w:eastAsia="sv-SE"/>
        </w:rPr>
        <w:t>Regeringen</w:t>
      </w:r>
      <w:r w:rsidR="00326836" w:rsidRPr="00F7085A">
        <w:t xml:space="preserve"> stödjer ett välkomnande av Durbanbeslutet att inkludera ett regelverk för hur man</w:t>
      </w:r>
      <w:r w:rsidR="002537CC" w:rsidRPr="00F7085A">
        <w:t xml:space="preserve"> ska räkna in upptag av koldioxid i skogsbruk och markanvändning</w:t>
      </w:r>
      <w:r w:rsidR="00326836" w:rsidRPr="00F7085A">
        <w:t xml:space="preserve"> (s.k. LULUCF) i Kyotoprotokollets andra åtagandeperiod</w:t>
      </w:r>
      <w:r w:rsidR="000D487E" w:rsidRPr="00F7085A">
        <w:t xml:space="preserve"> men är positiva till att de speciella omständigheter som gäller för</w:t>
      </w:r>
      <w:r w:rsidR="00326836" w:rsidRPr="00F7085A">
        <w:t xml:space="preserve"> skogsrika länder </w:t>
      </w:r>
      <w:r w:rsidR="000D487E" w:rsidRPr="00F7085A">
        <w:t xml:space="preserve">lyfts fram. </w:t>
      </w:r>
    </w:p>
    <w:p w:rsidR="00C62279" w:rsidRPr="00F7085A" w:rsidRDefault="00C62279" w:rsidP="006A5D78">
      <w:pPr>
        <w:pStyle w:val="RKnormal"/>
      </w:pPr>
    </w:p>
    <w:p w:rsidR="0073718B" w:rsidRPr="00F7085A" w:rsidRDefault="006F7AF0">
      <w:pPr>
        <w:pStyle w:val="RKnormal"/>
      </w:pPr>
      <w:r w:rsidRPr="00F7085A">
        <w:rPr>
          <w:color w:val="000000"/>
          <w:szCs w:val="24"/>
          <w:lang w:eastAsia="sv-SE"/>
        </w:rPr>
        <w:t>Regeringen</w:t>
      </w:r>
      <w:r w:rsidR="002537CC" w:rsidRPr="00F7085A">
        <w:t xml:space="preserve"> </w:t>
      </w:r>
      <w:r w:rsidR="00326836" w:rsidRPr="00F7085A">
        <w:t>verkar för</w:t>
      </w:r>
      <w:r w:rsidR="002537CC" w:rsidRPr="00F7085A">
        <w:t xml:space="preserve"> ett välkomnande av de framsteg som gjordes i Durban för att vidareutveckla Cancúnöverenskommelsen</w:t>
      </w:r>
      <w:r w:rsidR="000D487E" w:rsidRPr="00F7085A">
        <w:t xml:space="preserve"> vad</w:t>
      </w:r>
      <w:r w:rsidR="00C62279" w:rsidRPr="00F7085A">
        <w:t xml:space="preserve"> gäller </w:t>
      </w:r>
      <w:r w:rsidR="002537CC" w:rsidRPr="00F7085A">
        <w:t xml:space="preserve">anpassning, processen för att förtydliga parternas utsläppsminskande åtaganden, den översyn som ska ske 2013-15, transparensregelverket, teknologiöverföring, jordbruk, ramverket för att minska avskogning (REDD+) och den nya marknadsbaserade mekanism som etablerades i Durban. </w:t>
      </w:r>
    </w:p>
    <w:p w:rsidR="00C62279" w:rsidRPr="00F7085A" w:rsidRDefault="00C62279">
      <w:pPr>
        <w:pStyle w:val="RKnormal"/>
      </w:pPr>
    </w:p>
    <w:p w:rsidR="0073718B" w:rsidRPr="00F7085A" w:rsidRDefault="0073718B">
      <w:pPr>
        <w:pStyle w:val="RKnormal"/>
      </w:pPr>
      <w:r w:rsidRPr="00F7085A">
        <w:t xml:space="preserve">Alliansen mellan EU, de minst utvecklade länderna, de små ö-staterna och de afrikanska länderna var central för framgångarna i Durban. </w:t>
      </w:r>
      <w:r w:rsidR="006F7AF0" w:rsidRPr="00F7085A">
        <w:rPr>
          <w:color w:val="000000"/>
          <w:szCs w:val="24"/>
          <w:lang w:eastAsia="sv-SE"/>
        </w:rPr>
        <w:t>Regeringen</w:t>
      </w:r>
      <w:r w:rsidR="00815006" w:rsidRPr="00F7085A">
        <w:rPr>
          <w:color w:val="000000"/>
          <w:szCs w:val="24"/>
          <w:lang w:eastAsia="sv-SE"/>
        </w:rPr>
        <w:t xml:space="preserve"> </w:t>
      </w:r>
      <w:r w:rsidRPr="00F7085A">
        <w:t xml:space="preserve">anser att </w:t>
      </w:r>
      <w:r w:rsidR="000D487E" w:rsidRPr="00F7085A">
        <w:t xml:space="preserve">det är viktigt att lyfta fram att </w:t>
      </w:r>
      <w:r w:rsidRPr="00F7085A">
        <w:t>EU, genom aktivt utåtriktat arbete</w:t>
      </w:r>
      <w:r w:rsidR="00815006" w:rsidRPr="00F7085A">
        <w:t>,</w:t>
      </w:r>
      <w:r w:rsidRPr="00F7085A">
        <w:t xml:space="preserve"> även fortsatt bör värna om denna allians.</w:t>
      </w:r>
    </w:p>
    <w:p w:rsidR="00215E50" w:rsidRPr="00F7085A" w:rsidRDefault="00215E50">
      <w:pPr>
        <w:pStyle w:val="RKrubrik"/>
      </w:pPr>
      <w:r w:rsidRPr="00F7085A">
        <w:t>Europaparlamentets inställning</w:t>
      </w:r>
    </w:p>
    <w:p w:rsidR="00215E50" w:rsidRPr="00F7085A" w:rsidRDefault="00040B20">
      <w:pPr>
        <w:pStyle w:val="RKnormal"/>
      </w:pPr>
      <w:r w:rsidRPr="00F7085A">
        <w:t>Europaparlamentet har ingen formell roll vi</w:t>
      </w:r>
      <w:r w:rsidR="00D2484D" w:rsidRPr="00F7085A">
        <w:t>d antagandet av rådsslutsatser.</w:t>
      </w:r>
    </w:p>
    <w:p w:rsidR="00215E50" w:rsidRPr="00F7085A" w:rsidRDefault="00215E50">
      <w:pPr>
        <w:pStyle w:val="RKrubrik"/>
        <w:rPr>
          <w:i/>
          <w:iCs/>
        </w:rPr>
      </w:pPr>
      <w:r w:rsidRPr="00F7085A">
        <w:rPr>
          <w:i/>
          <w:iCs/>
        </w:rPr>
        <w:t>Förslaget</w:t>
      </w:r>
    </w:p>
    <w:p w:rsidR="00E138EB" w:rsidRPr="00F7085A" w:rsidRDefault="007E42CB" w:rsidP="00D2484D">
      <w:pPr>
        <w:pStyle w:val="RKnormal"/>
      </w:pPr>
      <w:r w:rsidRPr="00F7085A">
        <w:t xml:space="preserve">Förslaget till rådsslutsatser </w:t>
      </w:r>
      <w:r w:rsidR="00E138EB" w:rsidRPr="00F7085A">
        <w:t xml:space="preserve">välkomnar </w:t>
      </w:r>
      <w:r w:rsidR="00623A89" w:rsidRPr="00F7085A">
        <w:t xml:space="preserve">starkt </w:t>
      </w:r>
      <w:r w:rsidR="00E138EB" w:rsidRPr="00F7085A">
        <w:t xml:space="preserve">det positiva utfallet från </w:t>
      </w:r>
      <w:r w:rsidR="00623A89" w:rsidRPr="00F7085A">
        <w:t>Durban som tar</w:t>
      </w:r>
      <w:r w:rsidR="0030234C" w:rsidRPr="00F7085A">
        <w:t xml:space="preserve"> ytterligare</w:t>
      </w:r>
      <w:r w:rsidR="00623A89" w:rsidRPr="00F7085A">
        <w:t xml:space="preserve"> steg </w:t>
      </w:r>
      <w:r w:rsidR="0030234C" w:rsidRPr="00F7085A">
        <w:t xml:space="preserve">mot </w:t>
      </w:r>
      <w:r w:rsidR="00623A89" w:rsidRPr="00F7085A">
        <w:t>att genomföra Cancúnöverenskommelsen, banar</w:t>
      </w:r>
      <w:r w:rsidR="00E138EB" w:rsidRPr="00F7085A">
        <w:t xml:space="preserve"> väg för omedelbara och konkreta åtgärder samt ge</w:t>
      </w:r>
      <w:r w:rsidR="00623A89" w:rsidRPr="00F7085A">
        <w:t>r</w:t>
      </w:r>
      <w:r w:rsidR="00E138EB" w:rsidRPr="00F7085A">
        <w:t xml:space="preserve"> en solid grund för</w:t>
      </w:r>
      <w:r w:rsidR="00623A89" w:rsidRPr="00F7085A">
        <w:t xml:space="preserve"> att anta ett </w:t>
      </w:r>
      <w:r w:rsidR="008240FD" w:rsidRPr="00F7085A">
        <w:t xml:space="preserve">rättsligt </w:t>
      </w:r>
      <w:r w:rsidR="00623A89" w:rsidRPr="00F7085A">
        <w:t xml:space="preserve">bindande avtal för alla parter senast år 2015 så att avtalet kan </w:t>
      </w:r>
      <w:r w:rsidR="00F359ED" w:rsidRPr="00F7085A">
        <w:t>träda ikraft senast i början av år 2020.</w:t>
      </w:r>
      <w:r w:rsidR="00E138EB" w:rsidRPr="00F7085A">
        <w:t xml:space="preserve"> </w:t>
      </w:r>
    </w:p>
    <w:p w:rsidR="00E138EB" w:rsidRPr="00F7085A" w:rsidRDefault="00E138EB" w:rsidP="00D2484D">
      <w:pPr>
        <w:pStyle w:val="RKnormal"/>
      </w:pPr>
    </w:p>
    <w:p w:rsidR="00741093" w:rsidRPr="00F7085A" w:rsidRDefault="00F359ED" w:rsidP="00D2484D">
      <w:pPr>
        <w:pStyle w:val="RKnormal"/>
        <w:rPr>
          <w:iCs/>
        </w:rPr>
      </w:pPr>
      <w:r w:rsidRPr="00F7085A">
        <w:rPr>
          <w:iCs/>
        </w:rPr>
        <w:t xml:space="preserve">I rådsslutsatserna understryker rådet vikten av att arbetet inom den nya arbetsgrupp som beslutades i Durban (Ad Hoc Working Group on the Durban Platform -ADP) påbörjas omgående och betonar vikten av att en arbetsplan för arbetet antas under första halvan av 2012 samt att arbetet bör inriktas på dels ett starkt och effektivt multilateralt och regelbaserat system som bygger på Kyotoprotokollet och dels </w:t>
      </w:r>
      <w:r w:rsidR="00482652" w:rsidRPr="00F7085A">
        <w:rPr>
          <w:iCs/>
        </w:rPr>
        <w:t xml:space="preserve">på </w:t>
      </w:r>
      <w:r w:rsidRPr="00F7085A">
        <w:rPr>
          <w:iCs/>
        </w:rPr>
        <w:t xml:space="preserve">att förbättra ramverket för att genomföra de beslut som fattats i Cancún och Durban. </w:t>
      </w:r>
    </w:p>
    <w:p w:rsidR="00741093" w:rsidRPr="00F7085A" w:rsidRDefault="00741093" w:rsidP="00D2484D">
      <w:pPr>
        <w:pStyle w:val="RKnormal"/>
        <w:rPr>
          <w:iCs/>
        </w:rPr>
      </w:pPr>
    </w:p>
    <w:p w:rsidR="00482652" w:rsidRPr="00F7085A" w:rsidRDefault="00741093" w:rsidP="00D2484D">
      <w:pPr>
        <w:pStyle w:val="RKnormal"/>
        <w:rPr>
          <w:iCs/>
        </w:rPr>
      </w:pPr>
      <w:r w:rsidRPr="00F7085A">
        <w:rPr>
          <w:iCs/>
        </w:rPr>
        <w:t xml:space="preserve">EU </w:t>
      </w:r>
      <w:r w:rsidR="00482652" w:rsidRPr="00F7085A">
        <w:rPr>
          <w:iCs/>
        </w:rPr>
        <w:t xml:space="preserve">betonar </w:t>
      </w:r>
      <w:r w:rsidR="007E0CF4" w:rsidRPr="00F7085A">
        <w:rPr>
          <w:iCs/>
        </w:rPr>
        <w:t xml:space="preserve">i rådsslutsatserna </w:t>
      </w:r>
      <w:r w:rsidR="00482652" w:rsidRPr="00F7085A">
        <w:rPr>
          <w:iCs/>
        </w:rPr>
        <w:t xml:space="preserve">att ett stort gap återstår mellan parternas befintliga åtaganden att minska utsläppen och de utsläppsminskningar som behövs för att tvågradersmålet ska hållas inom räckhåll. Durbanbeslutet att lansera en arbetsplan för att för att höja ambitionsnivån under perioden fram till 2020 välkomnas och alla parter uppmanas att aktivt delta i detta arbete. Alla parter uppmanas därtill att både genomföra befintliga åtaganden och att åta sig mer ambitiösa åtaganden.  </w:t>
      </w:r>
    </w:p>
    <w:p w:rsidR="004C3615" w:rsidRPr="00F7085A" w:rsidRDefault="004C3615" w:rsidP="00D2484D">
      <w:pPr>
        <w:pStyle w:val="RKnormal"/>
        <w:rPr>
          <w:iCs/>
        </w:rPr>
      </w:pPr>
    </w:p>
    <w:p w:rsidR="00A85F46" w:rsidRPr="00F7085A" w:rsidRDefault="00B55EAA" w:rsidP="00D2484D">
      <w:pPr>
        <w:pStyle w:val="RKnormal"/>
        <w:rPr>
          <w:iCs/>
        </w:rPr>
      </w:pPr>
      <w:r w:rsidRPr="00F7085A">
        <w:rPr>
          <w:iCs/>
        </w:rPr>
        <w:t xml:space="preserve">I </w:t>
      </w:r>
      <w:r w:rsidR="00514D84" w:rsidRPr="00F7085A">
        <w:rPr>
          <w:iCs/>
        </w:rPr>
        <w:t xml:space="preserve">förslaget till </w:t>
      </w:r>
      <w:r w:rsidRPr="00F7085A">
        <w:rPr>
          <w:iCs/>
        </w:rPr>
        <w:t xml:space="preserve">rådsslutsatserna välkomnas också de framsteg som gjordes i Durban så att en andra åtagandeperiod under Kyotoprotokollet kan inledas 1 januari 2013, som en del av en övergång till ett bredare, </w:t>
      </w:r>
      <w:r w:rsidR="008D1488" w:rsidRPr="00F7085A">
        <w:rPr>
          <w:iCs/>
        </w:rPr>
        <w:t>rättsligt</w:t>
      </w:r>
      <w:r w:rsidRPr="00F7085A">
        <w:rPr>
          <w:iCs/>
        </w:rPr>
        <w:t xml:space="preserve"> bindande avtal.  Beslutet om att inkludera regler för skog- och markanvändning (s.k. LULUCF) för en andra åtagandeperiod under protokollet välkomnas samtidigt som de särskilda förutsättningar som beslutet innebär för skogsrika länder erkänns och </w:t>
      </w:r>
      <w:r w:rsidR="007E0CF4" w:rsidRPr="00F7085A">
        <w:rPr>
          <w:iCs/>
        </w:rPr>
        <w:t>k</w:t>
      </w:r>
      <w:r w:rsidR="00A85F46" w:rsidRPr="00F7085A">
        <w:rPr>
          <w:iCs/>
        </w:rPr>
        <w:t>ommissionen uppmanas hitta en lösning</w:t>
      </w:r>
      <w:r w:rsidR="004076A4" w:rsidRPr="00F7085A">
        <w:rPr>
          <w:iCs/>
        </w:rPr>
        <w:t xml:space="preserve"> för denna fråga</w:t>
      </w:r>
      <w:r w:rsidR="00A85F46" w:rsidRPr="00F7085A">
        <w:rPr>
          <w:iCs/>
        </w:rPr>
        <w:t xml:space="preserve">. </w:t>
      </w:r>
    </w:p>
    <w:p w:rsidR="00A85F46" w:rsidRPr="00F7085A" w:rsidRDefault="00A85F46" w:rsidP="00D2484D">
      <w:pPr>
        <w:pStyle w:val="RKnormal"/>
        <w:rPr>
          <w:iCs/>
        </w:rPr>
      </w:pPr>
    </w:p>
    <w:p w:rsidR="003607EA" w:rsidRPr="00F7085A" w:rsidRDefault="00A85F46" w:rsidP="00D2484D">
      <w:pPr>
        <w:pStyle w:val="RKnormal"/>
        <w:rPr>
          <w:iCs/>
        </w:rPr>
      </w:pPr>
      <w:r w:rsidRPr="00F7085A">
        <w:rPr>
          <w:iCs/>
        </w:rPr>
        <w:t xml:space="preserve">I </w:t>
      </w:r>
      <w:r w:rsidR="00565335" w:rsidRPr="00F7085A">
        <w:rPr>
          <w:iCs/>
        </w:rPr>
        <w:t xml:space="preserve">förslaget till </w:t>
      </w:r>
      <w:r w:rsidRPr="00F7085A">
        <w:rPr>
          <w:iCs/>
        </w:rPr>
        <w:t>rådsslutsatser förordar EU att en andra åtagandeperiod bör i</w:t>
      </w:r>
      <w:r w:rsidR="003607EA" w:rsidRPr="00F7085A">
        <w:rPr>
          <w:iCs/>
        </w:rPr>
        <w:t>nledas 2013 och avslutas 2020. V</w:t>
      </w:r>
      <w:r w:rsidRPr="00F7085A">
        <w:rPr>
          <w:iCs/>
        </w:rPr>
        <w:t xml:space="preserve">ikten av </w:t>
      </w:r>
      <w:r w:rsidR="003607EA" w:rsidRPr="00F7085A">
        <w:rPr>
          <w:iCs/>
        </w:rPr>
        <w:t>ambitiösa</w:t>
      </w:r>
      <w:r w:rsidRPr="00F7085A">
        <w:rPr>
          <w:iCs/>
        </w:rPr>
        <w:t xml:space="preserve"> utsläppsminskningsåtaganden</w:t>
      </w:r>
      <w:r w:rsidR="00936473" w:rsidRPr="00F7085A">
        <w:rPr>
          <w:iCs/>
        </w:rPr>
        <w:t xml:space="preserve"> vid inträde</w:t>
      </w:r>
      <w:r w:rsidR="003607EA" w:rsidRPr="00F7085A">
        <w:rPr>
          <w:iCs/>
        </w:rPr>
        <w:t xml:space="preserve">t i en andra åtagandeperiod och behovet av att förenkla processen för de parter som önskar höja sin ambitionsnivå under åtagandeperioden betonas. </w:t>
      </w:r>
      <w:r w:rsidR="001D133E" w:rsidRPr="00F7085A">
        <w:rPr>
          <w:iCs/>
        </w:rPr>
        <w:t xml:space="preserve">Rådsslutsatserna </w:t>
      </w:r>
      <w:r w:rsidR="003607EA" w:rsidRPr="00F7085A">
        <w:rPr>
          <w:iCs/>
        </w:rPr>
        <w:t xml:space="preserve">bekräftar att en inlaga med information om EU:s kvantitativa åtagande under åtagandeperioden (en s.k. QELRO) ska skickas in till UNFCCC-sekretariatet </w:t>
      </w:r>
      <w:r w:rsidR="001D133E" w:rsidRPr="00F7085A">
        <w:rPr>
          <w:iCs/>
        </w:rPr>
        <w:t xml:space="preserve">den </w:t>
      </w:r>
      <w:r w:rsidR="003607EA" w:rsidRPr="00F7085A">
        <w:rPr>
          <w:iCs/>
        </w:rPr>
        <w:t xml:space="preserve">1 maj men </w:t>
      </w:r>
      <w:r w:rsidR="001D133E" w:rsidRPr="00F7085A">
        <w:rPr>
          <w:iCs/>
        </w:rPr>
        <w:t xml:space="preserve">framhäver också </w:t>
      </w:r>
      <w:r w:rsidR="003607EA" w:rsidRPr="00F7085A">
        <w:rPr>
          <w:iCs/>
        </w:rPr>
        <w:t>att denna information är preliminär till</w:t>
      </w:r>
      <w:r w:rsidR="001D133E" w:rsidRPr="00F7085A">
        <w:rPr>
          <w:iCs/>
        </w:rPr>
        <w:t>s</w:t>
      </w:r>
      <w:r w:rsidR="003607EA" w:rsidRPr="00F7085A">
        <w:rPr>
          <w:iCs/>
        </w:rPr>
        <w:t xml:space="preserve"> dess att de </w:t>
      </w:r>
      <w:r w:rsidR="004076A4" w:rsidRPr="00F7085A">
        <w:rPr>
          <w:iCs/>
        </w:rPr>
        <w:t xml:space="preserve">i klimatförhandlingarna </w:t>
      </w:r>
      <w:r w:rsidR="003607EA" w:rsidRPr="00F7085A">
        <w:rPr>
          <w:iCs/>
        </w:rPr>
        <w:t>utestående frågorna om bl.a. åtagandeperiodens l</w:t>
      </w:r>
      <w:r w:rsidR="00565335" w:rsidRPr="00F7085A">
        <w:rPr>
          <w:iCs/>
        </w:rPr>
        <w:t xml:space="preserve">ängd </w:t>
      </w:r>
      <w:r w:rsidR="004076A4" w:rsidRPr="00F7085A">
        <w:rPr>
          <w:iCs/>
        </w:rPr>
        <w:t xml:space="preserve">och överföring av </w:t>
      </w:r>
      <w:r w:rsidR="008D1488" w:rsidRPr="00F7085A">
        <w:rPr>
          <w:iCs/>
        </w:rPr>
        <w:t>utsläppsenheter</w:t>
      </w:r>
      <w:r w:rsidR="0074744B" w:rsidRPr="00F7085A">
        <w:rPr>
          <w:iCs/>
        </w:rPr>
        <w:t xml:space="preserve"> (</w:t>
      </w:r>
      <w:r w:rsidR="004076A4" w:rsidRPr="00F7085A">
        <w:rPr>
          <w:iCs/>
        </w:rPr>
        <w:t>AAU-er</w:t>
      </w:r>
      <w:r w:rsidR="0074744B" w:rsidRPr="00F7085A">
        <w:rPr>
          <w:iCs/>
        </w:rPr>
        <w:t>)</w:t>
      </w:r>
      <w:r w:rsidR="004076A4" w:rsidRPr="00F7085A">
        <w:rPr>
          <w:iCs/>
        </w:rPr>
        <w:t xml:space="preserve"> ä</w:t>
      </w:r>
      <w:r w:rsidR="003607EA" w:rsidRPr="00F7085A">
        <w:rPr>
          <w:iCs/>
        </w:rPr>
        <w:t xml:space="preserve">r lösta. </w:t>
      </w:r>
      <w:r w:rsidR="0061644C" w:rsidRPr="00F7085A">
        <w:rPr>
          <w:iCs/>
        </w:rPr>
        <w:t>QELRO:n föreslås omfatta information om det i klimat- och energipaketet fastlagda 20</w:t>
      </w:r>
      <w:r w:rsidR="0074744B" w:rsidRPr="00F7085A">
        <w:rPr>
          <w:iCs/>
        </w:rPr>
        <w:t xml:space="preserve"> </w:t>
      </w:r>
      <w:r w:rsidR="0061644C" w:rsidRPr="00F7085A">
        <w:rPr>
          <w:iCs/>
        </w:rPr>
        <w:t xml:space="preserve">%-åtagande men även kvantitativ information om vad </w:t>
      </w:r>
      <w:r w:rsidR="008D1488" w:rsidRPr="00F7085A">
        <w:rPr>
          <w:iCs/>
        </w:rPr>
        <w:t xml:space="preserve">EU:s </w:t>
      </w:r>
      <w:r w:rsidR="0056156E" w:rsidRPr="00F7085A">
        <w:rPr>
          <w:iCs/>
        </w:rPr>
        <w:t xml:space="preserve">villkorade </w:t>
      </w:r>
      <w:r w:rsidR="004076A4" w:rsidRPr="00F7085A">
        <w:rPr>
          <w:iCs/>
        </w:rPr>
        <w:t>30</w:t>
      </w:r>
      <w:r w:rsidR="0074744B" w:rsidRPr="00F7085A">
        <w:rPr>
          <w:iCs/>
        </w:rPr>
        <w:t xml:space="preserve"> </w:t>
      </w:r>
      <w:r w:rsidR="004076A4" w:rsidRPr="00F7085A">
        <w:rPr>
          <w:iCs/>
        </w:rPr>
        <w:t xml:space="preserve">%-åtagande skulle innebära. </w:t>
      </w:r>
      <w:r w:rsidR="003607EA" w:rsidRPr="00F7085A">
        <w:rPr>
          <w:iCs/>
        </w:rPr>
        <w:t xml:space="preserve">Flera av de ovanstående frågorna är dock fortfarande utestående.  Utestående är även frågan om EU:s syn på hur det befintliga överskottet av tilldelat utsläppsutrymme (s.k. AAU-er) från den första åtagandeperioden ska hanteras. </w:t>
      </w:r>
    </w:p>
    <w:p w:rsidR="00482652" w:rsidRPr="00F7085A" w:rsidRDefault="00482652" w:rsidP="00D2484D">
      <w:pPr>
        <w:pStyle w:val="RKnormal"/>
        <w:rPr>
          <w:iCs/>
        </w:rPr>
      </w:pPr>
    </w:p>
    <w:p w:rsidR="004C3615" w:rsidRPr="00F7085A" w:rsidRDefault="007E3DAC" w:rsidP="00D2484D">
      <w:pPr>
        <w:pStyle w:val="RKnormal"/>
        <w:rPr>
          <w:iCs/>
        </w:rPr>
      </w:pPr>
      <w:r w:rsidRPr="00F7085A">
        <w:rPr>
          <w:iCs/>
        </w:rPr>
        <w:t>I fråga om de bestämmelser u</w:t>
      </w:r>
      <w:r w:rsidR="0061644C" w:rsidRPr="00F7085A">
        <w:rPr>
          <w:iCs/>
        </w:rPr>
        <w:t xml:space="preserve">nder </w:t>
      </w:r>
      <w:r w:rsidRPr="00F7085A">
        <w:rPr>
          <w:iCs/>
        </w:rPr>
        <w:t>klimat</w:t>
      </w:r>
      <w:r w:rsidR="0061644C" w:rsidRPr="00F7085A">
        <w:rPr>
          <w:iCs/>
        </w:rPr>
        <w:t>konvention</w:t>
      </w:r>
      <w:r w:rsidRPr="00F7085A">
        <w:rPr>
          <w:iCs/>
        </w:rPr>
        <w:t xml:space="preserve">en som rör alla parter i klimatförhandlingarna </w:t>
      </w:r>
      <w:r w:rsidR="0061644C" w:rsidRPr="00F7085A">
        <w:rPr>
          <w:iCs/>
        </w:rPr>
        <w:t xml:space="preserve">välkomnas de framsteg som gjordes i Durban rörande genomförande av </w:t>
      </w:r>
      <w:r w:rsidR="00A7531C" w:rsidRPr="00F7085A">
        <w:rPr>
          <w:iCs/>
        </w:rPr>
        <w:t>Cancún</w:t>
      </w:r>
      <w:r w:rsidR="0061644C" w:rsidRPr="00F7085A">
        <w:rPr>
          <w:iCs/>
        </w:rPr>
        <w:t xml:space="preserve">överenskommelsen på områden som anpassning, utsläppsminskningar, teknologi, finansiering och kapacitetsuppbyggnad. Vikten av att fortsätta förbättra ramverket för mätning, rapportering och verifiering </w:t>
      </w:r>
      <w:r w:rsidR="006B5F32" w:rsidRPr="00F7085A">
        <w:rPr>
          <w:iCs/>
        </w:rPr>
        <w:t xml:space="preserve">(MRV) </w:t>
      </w:r>
      <w:r w:rsidR="0061644C" w:rsidRPr="00F7085A">
        <w:rPr>
          <w:iCs/>
        </w:rPr>
        <w:t>betonas</w:t>
      </w:r>
      <w:r w:rsidR="006B5F32" w:rsidRPr="00F7085A">
        <w:rPr>
          <w:iCs/>
        </w:rPr>
        <w:t xml:space="preserve">. </w:t>
      </w:r>
      <w:r w:rsidR="0061644C" w:rsidRPr="00F7085A">
        <w:rPr>
          <w:iCs/>
        </w:rPr>
        <w:t>Etableringen av ett arbetsprogram för jordbruk och Durbanbesluten om hållbar skogsskötsel (REDD+) välkomnas liksom etableringen av en ny marknadsbaserad mekanism.</w:t>
      </w:r>
    </w:p>
    <w:p w:rsidR="00D54A85" w:rsidRPr="00F7085A" w:rsidRDefault="00D54A85" w:rsidP="00D54A85">
      <w:pPr>
        <w:pStyle w:val="RKnormal"/>
      </w:pPr>
    </w:p>
    <w:p w:rsidR="00D54A85" w:rsidRPr="00F7085A" w:rsidRDefault="00D54A85" w:rsidP="00D2484D">
      <w:pPr>
        <w:pStyle w:val="RKnormal"/>
      </w:pPr>
      <w:r w:rsidRPr="00F7085A">
        <w:t xml:space="preserve">Rådsslutsatserna </w:t>
      </w:r>
      <w:r w:rsidR="004C560F" w:rsidRPr="00F7085A">
        <w:t>välkomnar</w:t>
      </w:r>
      <w:r w:rsidR="00623A89" w:rsidRPr="00F7085A">
        <w:t xml:space="preserve"> därtill</w:t>
      </w:r>
      <w:r w:rsidRPr="00F7085A">
        <w:t xml:space="preserve"> </w:t>
      </w:r>
      <w:r w:rsidR="004C560F" w:rsidRPr="00F7085A">
        <w:t>den konstruktiva dialog som etablerades före och under Durbanmötet mellan framförallt EU,</w:t>
      </w:r>
      <w:r w:rsidR="00623A89" w:rsidRPr="00F7085A">
        <w:t xml:space="preserve"> de små ö-staterna och de minst </w:t>
      </w:r>
      <w:r w:rsidR="004C560F" w:rsidRPr="00F7085A">
        <w:t xml:space="preserve">utvecklade länderna och </w:t>
      </w:r>
      <w:r w:rsidR="00623A89" w:rsidRPr="00F7085A">
        <w:t>betonar vikten av att</w:t>
      </w:r>
      <w:r w:rsidRPr="00F7085A">
        <w:t xml:space="preserve"> </w:t>
      </w:r>
      <w:r w:rsidR="00623A89" w:rsidRPr="00F7085A">
        <w:t xml:space="preserve">vidareutveckla och </w:t>
      </w:r>
      <w:r w:rsidRPr="00F7085A">
        <w:t xml:space="preserve">stärka </w:t>
      </w:r>
      <w:r w:rsidR="00623A89" w:rsidRPr="00F7085A">
        <w:t xml:space="preserve">sådana dialoger med alla parter för att etablera en stark och effektiv internationell klimatregim. </w:t>
      </w:r>
    </w:p>
    <w:p w:rsidR="00215E50" w:rsidRPr="00F7085A" w:rsidRDefault="00215E50">
      <w:pPr>
        <w:pStyle w:val="RKrubrik"/>
      </w:pPr>
      <w:r w:rsidRPr="00F7085A">
        <w:t>Ekonomiska konsekvenser</w:t>
      </w:r>
    </w:p>
    <w:p w:rsidR="00215E50" w:rsidRPr="00F7085A" w:rsidRDefault="00040B20">
      <w:pPr>
        <w:pStyle w:val="RKnormal"/>
      </w:pPr>
      <w:r w:rsidRPr="00F7085A">
        <w:t>Dessa rådsslutsatser bedöm</w:t>
      </w:r>
      <w:r w:rsidR="00EC5DD5" w:rsidRPr="00F7085A">
        <w:t>s inte påverka statens finanser</w:t>
      </w:r>
      <w:r w:rsidRPr="00F7085A">
        <w:t xml:space="preserve"> utan de förslag och bedömningar som presenteras syftar till att tydliggöra den klimatpol</w:t>
      </w:r>
      <w:r w:rsidR="004C560F" w:rsidRPr="00F7085A">
        <w:t>itiska inriktningen efter COP 17</w:t>
      </w:r>
      <w:r w:rsidRPr="00F7085A">
        <w:t xml:space="preserve"> i </w:t>
      </w:r>
      <w:r w:rsidR="004C560F" w:rsidRPr="00F7085A">
        <w:t>Durban</w:t>
      </w:r>
      <w:r w:rsidRPr="00F7085A">
        <w:t>.</w:t>
      </w:r>
    </w:p>
    <w:p w:rsidR="00215E50" w:rsidRPr="00F7085A" w:rsidRDefault="00215E50">
      <w:pPr>
        <w:pStyle w:val="RKrubrik"/>
      </w:pPr>
      <w:r w:rsidRPr="00F7085A">
        <w:t>Övrigt</w:t>
      </w:r>
    </w:p>
    <w:p w:rsidR="003D1B55" w:rsidRPr="00F7085A" w:rsidRDefault="001D133E" w:rsidP="003D1B55">
      <w:pPr>
        <w:tabs>
          <w:tab w:val="left" w:pos="2835"/>
        </w:tabs>
        <w:rPr>
          <w:rFonts w:cs="OrigGarmnd BT"/>
          <w:color w:val="000000"/>
          <w:lang w:eastAsia="sv-SE"/>
        </w:rPr>
      </w:pPr>
      <w:r w:rsidRPr="00F7085A">
        <w:rPr>
          <w:rFonts w:cs="OrigGarmnd BT"/>
          <w:color w:val="000000"/>
          <w:lang w:eastAsia="sv-SE"/>
        </w:rPr>
        <w:t xml:space="preserve">Rådsformationen </w:t>
      </w:r>
      <w:r w:rsidR="009655F8" w:rsidRPr="00F7085A">
        <w:rPr>
          <w:rFonts w:cs="OrigGarmnd BT"/>
          <w:color w:val="000000"/>
          <w:lang w:eastAsia="sv-SE"/>
        </w:rPr>
        <w:t>Ekofin ant</w:t>
      </w:r>
      <w:r w:rsidR="007E3DAC" w:rsidRPr="00F7085A">
        <w:rPr>
          <w:rFonts w:cs="OrigGarmnd BT"/>
          <w:color w:val="000000"/>
          <w:lang w:eastAsia="sv-SE"/>
        </w:rPr>
        <w:t xml:space="preserve">og </w:t>
      </w:r>
      <w:r w:rsidR="009655F8" w:rsidRPr="00F7085A">
        <w:rPr>
          <w:rFonts w:cs="OrigGarmnd BT"/>
          <w:color w:val="000000"/>
          <w:lang w:eastAsia="sv-SE"/>
        </w:rPr>
        <w:t>rådsslutsa</w:t>
      </w:r>
      <w:r w:rsidR="004C560F" w:rsidRPr="00F7085A">
        <w:rPr>
          <w:rFonts w:cs="OrigGarmnd BT"/>
          <w:color w:val="000000"/>
          <w:lang w:eastAsia="sv-SE"/>
        </w:rPr>
        <w:t xml:space="preserve">tser om klimatfinansiering den </w:t>
      </w:r>
      <w:r w:rsidR="0074744B" w:rsidRPr="00F7085A">
        <w:rPr>
          <w:rFonts w:cs="OrigGarmnd BT"/>
          <w:color w:val="000000"/>
          <w:lang w:eastAsia="sv-SE"/>
        </w:rPr>
        <w:t xml:space="preserve">21 </w:t>
      </w:r>
      <w:r w:rsidR="007E3DAC" w:rsidRPr="00F7085A">
        <w:rPr>
          <w:rFonts w:cs="OrigGarmnd BT"/>
          <w:color w:val="000000"/>
          <w:lang w:eastAsia="sv-SE"/>
        </w:rPr>
        <w:t>feb</w:t>
      </w:r>
      <w:r w:rsidRPr="00F7085A">
        <w:rPr>
          <w:rFonts w:cs="OrigGarmnd BT"/>
          <w:color w:val="000000"/>
          <w:lang w:eastAsia="sv-SE"/>
        </w:rPr>
        <w:t>ruari</w:t>
      </w:r>
      <w:r w:rsidR="009655F8" w:rsidRPr="00F7085A">
        <w:rPr>
          <w:rFonts w:cs="OrigGarmnd BT"/>
          <w:color w:val="000000"/>
          <w:lang w:eastAsia="sv-SE"/>
        </w:rPr>
        <w:t xml:space="preserve"> </w:t>
      </w:r>
      <w:r w:rsidR="00815006" w:rsidRPr="00F7085A">
        <w:rPr>
          <w:rFonts w:cs="OrigGarmnd BT"/>
          <w:color w:val="000000"/>
          <w:lang w:eastAsia="sv-SE"/>
        </w:rPr>
        <w:t>2012</w:t>
      </w:r>
      <w:r w:rsidRPr="00F7085A">
        <w:rPr>
          <w:rFonts w:cs="OrigGarmnd BT"/>
          <w:color w:val="000000"/>
          <w:lang w:eastAsia="sv-SE"/>
        </w:rPr>
        <w:t>.</w:t>
      </w:r>
    </w:p>
    <w:p w:rsidR="00040B20" w:rsidRPr="00F7085A" w:rsidRDefault="00040B20" w:rsidP="003D1B55">
      <w:pPr>
        <w:tabs>
          <w:tab w:val="left" w:pos="2835"/>
        </w:tabs>
        <w:rPr>
          <w:szCs w:val="24"/>
        </w:rPr>
      </w:pPr>
    </w:p>
    <w:p w:rsidR="00040B20" w:rsidRPr="00F7085A" w:rsidRDefault="00040B20">
      <w:pPr>
        <w:pStyle w:val="RKnormal"/>
      </w:pPr>
    </w:p>
    <w:p w:rsidR="00215E50" w:rsidRPr="00F7085A" w:rsidRDefault="00215E50">
      <w:pPr>
        <w:pStyle w:val="RKnormal"/>
        <w:rPr>
          <w:i/>
          <w:iCs/>
        </w:rPr>
      </w:pPr>
    </w:p>
    <w:p w:rsidR="00215E50" w:rsidRPr="00F7085A" w:rsidRDefault="00215E50">
      <w:pPr>
        <w:pStyle w:val="RKnormal"/>
        <w:ind w:left="-1134"/>
      </w:pPr>
    </w:p>
    <w:p w:rsidR="006E4E11" w:rsidRPr="00F7085A" w:rsidRDefault="006E4E11">
      <w:pPr>
        <w:pStyle w:val="RKrubrik"/>
        <w:spacing w:before="0" w:after="0"/>
      </w:pPr>
    </w:p>
    <w:p w:rsidR="006E4E11" w:rsidRPr="00F7085A" w:rsidRDefault="006E4E11">
      <w:pPr>
        <w:pStyle w:val="RKnormal"/>
      </w:pPr>
    </w:p>
    <w:p w:rsidR="00215E50" w:rsidRPr="00F7085A" w:rsidRDefault="00215E50">
      <w:pPr>
        <w:pStyle w:val="RKnormal"/>
      </w:pPr>
    </w:p>
    <w:sectPr w:rsidR="00215E50" w:rsidRPr="00F7085A">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50EB" w:rsidRPr="00F7085A" w:rsidRDefault="004250EB">
      <w:r w:rsidRPr="00F7085A">
        <w:separator/>
      </w:r>
    </w:p>
  </w:endnote>
  <w:endnote w:type="continuationSeparator" w:id="0">
    <w:p w:rsidR="004250EB" w:rsidRPr="00F7085A" w:rsidRDefault="004250EB">
      <w:r w:rsidRPr="00F708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50EB" w:rsidRPr="00F7085A" w:rsidRDefault="004250EB">
      <w:r w:rsidRPr="00F7085A">
        <w:separator/>
      </w:r>
    </w:p>
  </w:footnote>
  <w:footnote w:type="continuationSeparator" w:id="0">
    <w:p w:rsidR="004250EB" w:rsidRPr="00F7085A" w:rsidRDefault="004250EB">
      <w:r w:rsidRPr="00F708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2CB" w:rsidRPr="00F7085A" w:rsidRDefault="007E42CB">
    <w:pPr>
      <w:pStyle w:val="Sidhuvud"/>
      <w:framePr w:wrap="around" w:vAnchor="text" w:hAnchor="margin" w:xAlign="right" w:y="1"/>
      <w:rPr>
        <w:rStyle w:val="Sidnummer"/>
        <w:rPrChange w:id="1" w:author="Lars Brink" w:date="2025-12-17T22:41:00Z" w16du:dateUtc="2025-12-17T21:41:00Z">
          <w:rPr>
            <w:rStyle w:val="Sidnummer"/>
          </w:rPr>
        </w:rPrChange>
      </w:rPr>
    </w:pPr>
    <w:r w:rsidRPr="00F7085A">
      <w:rPr>
        <w:rStyle w:val="Sidnummer"/>
      </w:rPr>
      <w:fldChar w:fldCharType="begin" w:fldLock="1"/>
    </w:r>
    <w:r w:rsidRPr="00F7085A">
      <w:rPr>
        <w:rStyle w:val="Sidnummer"/>
      </w:rPr>
      <w:instrText xml:space="preserve">PAGE  </w:instrText>
    </w:r>
    <w:r w:rsidRPr="00F7085A">
      <w:rPr>
        <w:rStyle w:val="Sidnummer"/>
      </w:rPr>
      <w:fldChar w:fldCharType="separate"/>
    </w:r>
    <w:r w:rsidR="00934D5F" w:rsidRPr="00F7085A">
      <w:rPr>
        <w:rStyle w:val="Sidnummer"/>
        <w:rPrChange w:id="2" w:author="Lars Brink" w:date="2025-12-17T22:41:00Z" w16du:dateUtc="2025-12-17T21:41:00Z">
          <w:rPr>
            <w:rStyle w:val="Sidnummer"/>
            <w:noProof/>
          </w:rPr>
        </w:rPrChange>
      </w:rPr>
      <w:t>4</w:t>
    </w:r>
    <w:r w:rsidRPr="00F7085A">
      <w:rPr>
        <w:rStyle w:val="Sidnummer"/>
        <w:rPrChange w:id="3" w:author="Lars Brink" w:date="2025-12-17T22:41:00Z" w16du:dateUtc="2025-12-17T21:41: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7E42CB" w:rsidRPr="00F7085A">
      <w:tblPrEx>
        <w:tblCellMar>
          <w:top w:w="0" w:type="dxa"/>
          <w:bottom w:w="0" w:type="dxa"/>
        </w:tblCellMar>
      </w:tblPrEx>
      <w:trPr>
        <w:cantSplit/>
      </w:trPr>
      <w:tc>
        <w:tcPr>
          <w:tcW w:w="3119" w:type="dxa"/>
        </w:tcPr>
        <w:p w:rsidR="007E42CB" w:rsidRPr="00F7085A" w:rsidRDefault="007E42CB">
          <w:pPr>
            <w:pStyle w:val="Sidhuvud"/>
            <w:spacing w:line="200" w:lineRule="atLeast"/>
            <w:ind w:right="357"/>
            <w:rPr>
              <w:rFonts w:ascii="TradeGothic" w:hAnsi="TradeGothic"/>
              <w:b/>
              <w:bCs/>
              <w:sz w:val="16"/>
              <w:rPrChange w:id="4" w:author="Lars Brink" w:date="2025-12-17T22:41:00Z" w16du:dateUtc="2025-12-17T21:41:00Z">
                <w:rPr>
                  <w:rFonts w:ascii="TradeGothic" w:hAnsi="TradeGothic"/>
                  <w:b/>
                  <w:bCs/>
                  <w:sz w:val="16"/>
                </w:rPr>
              </w:rPrChange>
            </w:rPr>
          </w:pPr>
        </w:p>
      </w:tc>
      <w:tc>
        <w:tcPr>
          <w:tcW w:w="4111" w:type="dxa"/>
          <w:tcMar>
            <w:left w:w="567" w:type="dxa"/>
          </w:tcMar>
        </w:tcPr>
        <w:p w:rsidR="007E42CB" w:rsidRPr="00F7085A" w:rsidRDefault="007E42CB">
          <w:pPr>
            <w:pStyle w:val="Sidhuvud"/>
            <w:ind w:right="360"/>
            <w:rPr>
              <w:rPrChange w:id="5" w:author="Lars Brink" w:date="2025-12-17T22:41:00Z" w16du:dateUtc="2025-12-17T21:41:00Z">
                <w:rPr/>
              </w:rPrChange>
            </w:rPr>
          </w:pPr>
        </w:p>
      </w:tc>
      <w:tc>
        <w:tcPr>
          <w:tcW w:w="1525" w:type="dxa"/>
        </w:tcPr>
        <w:p w:rsidR="007E42CB" w:rsidRPr="00F7085A" w:rsidRDefault="007E42CB">
          <w:pPr>
            <w:pStyle w:val="Sidhuvud"/>
            <w:ind w:right="360"/>
            <w:rPr>
              <w:rPrChange w:id="6" w:author="Lars Brink" w:date="2025-12-17T22:41:00Z" w16du:dateUtc="2025-12-17T21:41:00Z">
                <w:rPr/>
              </w:rPrChange>
            </w:rPr>
          </w:pPr>
        </w:p>
      </w:tc>
    </w:tr>
  </w:tbl>
  <w:p w:rsidR="007E42CB" w:rsidRPr="00F7085A" w:rsidRDefault="007E42CB">
    <w:pPr>
      <w:pStyle w:val="Sidhuvud"/>
      <w:ind w:right="357" w:firstLine="357"/>
      <w:rPr>
        <w:rPrChange w:id="7" w:author="Lars Brink" w:date="2025-12-17T22:41:00Z" w16du:dateUtc="2025-12-17T21:41: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2CB" w:rsidRPr="00F7085A" w:rsidRDefault="007E42CB">
    <w:pPr>
      <w:pStyle w:val="Sidhuvud"/>
      <w:framePr w:wrap="around" w:vAnchor="text" w:hAnchor="margin" w:xAlign="right" w:y="1"/>
      <w:rPr>
        <w:rStyle w:val="Sidnummer"/>
        <w:rPrChange w:id="8" w:author="Lars Brink" w:date="2025-12-17T22:41:00Z" w16du:dateUtc="2025-12-17T21:41:00Z">
          <w:rPr>
            <w:rStyle w:val="Sidnummer"/>
          </w:rPr>
        </w:rPrChange>
      </w:rPr>
    </w:pPr>
    <w:r w:rsidRPr="00F7085A">
      <w:rPr>
        <w:rStyle w:val="Sidnummer"/>
      </w:rPr>
      <w:fldChar w:fldCharType="begin" w:fldLock="1"/>
    </w:r>
    <w:r w:rsidRPr="00F7085A">
      <w:rPr>
        <w:rStyle w:val="Sidnummer"/>
      </w:rPr>
      <w:instrText xml:space="preserve">PAGE  </w:instrText>
    </w:r>
    <w:r w:rsidRPr="00F7085A">
      <w:rPr>
        <w:rStyle w:val="Sidnummer"/>
      </w:rPr>
      <w:fldChar w:fldCharType="separate"/>
    </w:r>
    <w:r w:rsidR="00934D5F" w:rsidRPr="00F7085A">
      <w:rPr>
        <w:rStyle w:val="Sidnummer"/>
        <w:rPrChange w:id="9" w:author="Lars Brink" w:date="2025-12-17T22:41:00Z" w16du:dateUtc="2025-12-17T21:41:00Z">
          <w:rPr>
            <w:rStyle w:val="Sidnummer"/>
            <w:noProof/>
          </w:rPr>
        </w:rPrChange>
      </w:rPr>
      <w:t>5</w:t>
    </w:r>
    <w:r w:rsidRPr="00F7085A">
      <w:rPr>
        <w:rStyle w:val="Sidnummer"/>
        <w:rPrChange w:id="10" w:author="Lars Brink" w:date="2025-12-17T22:41:00Z" w16du:dateUtc="2025-12-17T21:41: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7E42CB" w:rsidRPr="00F7085A">
      <w:tblPrEx>
        <w:tblCellMar>
          <w:top w:w="0" w:type="dxa"/>
          <w:bottom w:w="0" w:type="dxa"/>
        </w:tblCellMar>
      </w:tblPrEx>
      <w:trPr>
        <w:cantSplit/>
      </w:trPr>
      <w:tc>
        <w:tcPr>
          <w:tcW w:w="3119" w:type="dxa"/>
        </w:tcPr>
        <w:p w:rsidR="007E42CB" w:rsidRPr="00F7085A" w:rsidRDefault="007E42CB">
          <w:pPr>
            <w:pStyle w:val="Sidhuvud"/>
            <w:spacing w:line="200" w:lineRule="atLeast"/>
            <w:ind w:right="357"/>
            <w:rPr>
              <w:rFonts w:ascii="TradeGothic" w:hAnsi="TradeGothic"/>
              <w:b/>
              <w:bCs/>
              <w:sz w:val="16"/>
              <w:rPrChange w:id="11" w:author="Lars Brink" w:date="2025-12-17T22:41:00Z" w16du:dateUtc="2025-12-17T21:41:00Z">
                <w:rPr>
                  <w:rFonts w:ascii="TradeGothic" w:hAnsi="TradeGothic"/>
                  <w:b/>
                  <w:bCs/>
                  <w:sz w:val="16"/>
                </w:rPr>
              </w:rPrChange>
            </w:rPr>
          </w:pPr>
        </w:p>
      </w:tc>
      <w:tc>
        <w:tcPr>
          <w:tcW w:w="4111" w:type="dxa"/>
          <w:tcMar>
            <w:left w:w="567" w:type="dxa"/>
          </w:tcMar>
        </w:tcPr>
        <w:p w:rsidR="007E42CB" w:rsidRPr="00F7085A" w:rsidRDefault="007E42CB">
          <w:pPr>
            <w:pStyle w:val="Sidhuvud"/>
            <w:ind w:right="360"/>
            <w:rPr>
              <w:rPrChange w:id="12" w:author="Lars Brink" w:date="2025-12-17T22:41:00Z" w16du:dateUtc="2025-12-17T21:41:00Z">
                <w:rPr/>
              </w:rPrChange>
            </w:rPr>
          </w:pPr>
        </w:p>
      </w:tc>
      <w:tc>
        <w:tcPr>
          <w:tcW w:w="1525" w:type="dxa"/>
        </w:tcPr>
        <w:p w:rsidR="007E42CB" w:rsidRPr="00F7085A" w:rsidRDefault="007E42CB">
          <w:pPr>
            <w:pStyle w:val="Sidhuvud"/>
            <w:ind w:right="360"/>
            <w:rPr>
              <w:rPrChange w:id="13" w:author="Lars Brink" w:date="2025-12-17T22:41:00Z" w16du:dateUtc="2025-12-17T21:41:00Z">
                <w:rPr/>
              </w:rPrChange>
            </w:rPr>
          </w:pPr>
        </w:p>
      </w:tc>
    </w:tr>
  </w:tbl>
  <w:p w:rsidR="007E42CB" w:rsidRPr="00F7085A" w:rsidRDefault="007E42CB">
    <w:pPr>
      <w:pStyle w:val="Sidhuvud"/>
      <w:ind w:right="357" w:firstLine="357"/>
      <w:rPr>
        <w:rPrChange w:id="14" w:author="Lars Brink" w:date="2025-12-17T22:41:00Z" w16du:dateUtc="2025-12-17T21:41: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2CB" w:rsidRPr="00F7085A" w:rsidRDefault="00F7085A">
    <w:pPr>
      <w:framePr w:w="2948" w:h="1321" w:hRule="exact" w:wrap="notBeside" w:vAnchor="page" w:hAnchor="page" w:x="1362" w:y="653"/>
    </w:pPr>
    <w:r w:rsidRPr="00F7085A">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7E42CB" w:rsidRPr="00F7085A" w:rsidRDefault="007E42CB">
    <w:pPr>
      <w:pStyle w:val="RKrubrik"/>
      <w:keepNext w:val="0"/>
      <w:tabs>
        <w:tab w:val="clear" w:pos="1134"/>
        <w:tab w:val="clear" w:pos="2835"/>
      </w:tabs>
      <w:spacing w:before="0" w:after="0" w:line="320" w:lineRule="atLeast"/>
      <w:rPr>
        <w:bCs/>
      </w:rPr>
    </w:pPr>
  </w:p>
  <w:p w:rsidR="007E42CB" w:rsidRPr="00F7085A" w:rsidRDefault="007E42CB">
    <w:pPr>
      <w:rPr>
        <w:rFonts w:ascii="TradeGothic" w:hAnsi="TradeGothic"/>
        <w:b/>
        <w:bCs/>
        <w:spacing w:val="12"/>
        <w:sz w:val="22"/>
      </w:rPr>
    </w:pPr>
  </w:p>
  <w:p w:rsidR="007E42CB" w:rsidRPr="00F7085A" w:rsidRDefault="007E42CB">
    <w:pPr>
      <w:pStyle w:val="RKrubrik"/>
      <w:keepNext w:val="0"/>
      <w:tabs>
        <w:tab w:val="clear" w:pos="1134"/>
        <w:tab w:val="clear" w:pos="2835"/>
      </w:tabs>
      <w:spacing w:before="0" w:after="0" w:line="320" w:lineRule="atLeast"/>
      <w:rPr>
        <w:bCs/>
      </w:rPr>
    </w:pPr>
  </w:p>
  <w:p w:rsidR="007E42CB" w:rsidRPr="00F7085A" w:rsidRDefault="007E42CB">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53EC6"/>
    <w:multiLevelType w:val="hybridMultilevel"/>
    <w:tmpl w:val="08CE05EA"/>
    <w:lvl w:ilvl="0" w:tplc="9FC2552A">
      <w:start w:val="1"/>
      <w:numFmt w:val="bullet"/>
      <w:lvlText w:val="-"/>
      <w:lvlJc w:val="left"/>
      <w:pPr>
        <w:tabs>
          <w:tab w:val="num" w:pos="1674"/>
        </w:tabs>
        <w:ind w:left="1674" w:hanging="567"/>
      </w:pPr>
      <w:rPr>
        <w:rFonts w:ascii="Times New Roman" w:hAnsi="Times New Roman" w:cs="Times New Roman" w:hint="default"/>
      </w:rPr>
    </w:lvl>
    <w:lvl w:ilvl="1" w:tplc="080C0003" w:tentative="1">
      <w:start w:val="1"/>
      <w:numFmt w:val="bullet"/>
      <w:lvlText w:val="o"/>
      <w:lvlJc w:val="left"/>
      <w:pPr>
        <w:tabs>
          <w:tab w:val="num" w:pos="2547"/>
        </w:tabs>
        <w:ind w:left="2547" w:hanging="360"/>
      </w:pPr>
      <w:rPr>
        <w:rFonts w:ascii="Courier New" w:hAnsi="Courier New" w:cs="Courier New" w:hint="default"/>
      </w:rPr>
    </w:lvl>
    <w:lvl w:ilvl="2" w:tplc="080C0005" w:tentative="1">
      <w:start w:val="1"/>
      <w:numFmt w:val="bullet"/>
      <w:lvlText w:val=""/>
      <w:lvlJc w:val="left"/>
      <w:pPr>
        <w:tabs>
          <w:tab w:val="num" w:pos="3267"/>
        </w:tabs>
        <w:ind w:left="3267" w:hanging="360"/>
      </w:pPr>
      <w:rPr>
        <w:rFonts w:ascii="Wingdings" w:hAnsi="Wingdings" w:hint="default"/>
      </w:rPr>
    </w:lvl>
    <w:lvl w:ilvl="3" w:tplc="080C0001" w:tentative="1">
      <w:start w:val="1"/>
      <w:numFmt w:val="bullet"/>
      <w:lvlText w:val=""/>
      <w:lvlJc w:val="left"/>
      <w:pPr>
        <w:tabs>
          <w:tab w:val="num" w:pos="3987"/>
        </w:tabs>
        <w:ind w:left="3987" w:hanging="360"/>
      </w:pPr>
      <w:rPr>
        <w:rFonts w:ascii="Symbol" w:hAnsi="Symbol" w:hint="default"/>
      </w:rPr>
    </w:lvl>
    <w:lvl w:ilvl="4" w:tplc="080C0003" w:tentative="1">
      <w:start w:val="1"/>
      <w:numFmt w:val="bullet"/>
      <w:lvlText w:val="o"/>
      <w:lvlJc w:val="left"/>
      <w:pPr>
        <w:tabs>
          <w:tab w:val="num" w:pos="4707"/>
        </w:tabs>
        <w:ind w:left="4707" w:hanging="360"/>
      </w:pPr>
      <w:rPr>
        <w:rFonts w:ascii="Courier New" w:hAnsi="Courier New" w:cs="Courier New" w:hint="default"/>
      </w:rPr>
    </w:lvl>
    <w:lvl w:ilvl="5" w:tplc="080C0005" w:tentative="1">
      <w:start w:val="1"/>
      <w:numFmt w:val="bullet"/>
      <w:lvlText w:val=""/>
      <w:lvlJc w:val="left"/>
      <w:pPr>
        <w:tabs>
          <w:tab w:val="num" w:pos="5427"/>
        </w:tabs>
        <w:ind w:left="5427" w:hanging="360"/>
      </w:pPr>
      <w:rPr>
        <w:rFonts w:ascii="Wingdings" w:hAnsi="Wingdings" w:hint="default"/>
      </w:rPr>
    </w:lvl>
    <w:lvl w:ilvl="6" w:tplc="080C0001" w:tentative="1">
      <w:start w:val="1"/>
      <w:numFmt w:val="bullet"/>
      <w:lvlText w:val=""/>
      <w:lvlJc w:val="left"/>
      <w:pPr>
        <w:tabs>
          <w:tab w:val="num" w:pos="6147"/>
        </w:tabs>
        <w:ind w:left="6147" w:hanging="360"/>
      </w:pPr>
      <w:rPr>
        <w:rFonts w:ascii="Symbol" w:hAnsi="Symbol" w:hint="default"/>
      </w:rPr>
    </w:lvl>
    <w:lvl w:ilvl="7" w:tplc="080C0003" w:tentative="1">
      <w:start w:val="1"/>
      <w:numFmt w:val="bullet"/>
      <w:lvlText w:val="o"/>
      <w:lvlJc w:val="left"/>
      <w:pPr>
        <w:tabs>
          <w:tab w:val="num" w:pos="6867"/>
        </w:tabs>
        <w:ind w:left="6867" w:hanging="360"/>
      </w:pPr>
      <w:rPr>
        <w:rFonts w:ascii="Courier New" w:hAnsi="Courier New" w:cs="Courier New" w:hint="default"/>
      </w:rPr>
    </w:lvl>
    <w:lvl w:ilvl="8" w:tplc="080C0005" w:tentative="1">
      <w:start w:val="1"/>
      <w:numFmt w:val="bullet"/>
      <w:lvlText w:val=""/>
      <w:lvlJc w:val="left"/>
      <w:pPr>
        <w:tabs>
          <w:tab w:val="num" w:pos="7587"/>
        </w:tabs>
        <w:ind w:left="7587" w:hanging="360"/>
      </w:pPr>
      <w:rPr>
        <w:rFonts w:ascii="Wingdings" w:hAnsi="Wingdings" w:hint="default"/>
      </w:rPr>
    </w:lvl>
  </w:abstractNum>
  <w:abstractNum w:abstractNumId="1" w15:restartNumberingAfterBreak="0">
    <w:nsid w:val="66DA0949"/>
    <w:multiLevelType w:val="hybridMultilevel"/>
    <w:tmpl w:val="2116CF68"/>
    <w:lvl w:ilvl="0" w:tplc="243210E4">
      <w:numFmt w:val="bullet"/>
      <w:lvlText w:val="-"/>
      <w:lvlJc w:val="left"/>
      <w:pPr>
        <w:ind w:left="375" w:hanging="360"/>
      </w:pPr>
      <w:rPr>
        <w:rFonts w:ascii="OrigGarmnd BT" w:eastAsia="Times New Roman" w:hAnsi="OrigGarmnd BT" w:cs="Times New Roman" w:hint="default"/>
      </w:rPr>
    </w:lvl>
    <w:lvl w:ilvl="1" w:tplc="041D0003" w:tentative="1">
      <w:start w:val="1"/>
      <w:numFmt w:val="bullet"/>
      <w:lvlText w:val="o"/>
      <w:lvlJc w:val="left"/>
      <w:pPr>
        <w:ind w:left="1095" w:hanging="360"/>
      </w:pPr>
      <w:rPr>
        <w:rFonts w:ascii="Courier New" w:hAnsi="Courier New" w:cs="Courier New" w:hint="default"/>
      </w:rPr>
    </w:lvl>
    <w:lvl w:ilvl="2" w:tplc="041D0005" w:tentative="1">
      <w:start w:val="1"/>
      <w:numFmt w:val="bullet"/>
      <w:lvlText w:val=""/>
      <w:lvlJc w:val="left"/>
      <w:pPr>
        <w:ind w:left="1815" w:hanging="360"/>
      </w:pPr>
      <w:rPr>
        <w:rFonts w:ascii="Wingdings" w:hAnsi="Wingdings" w:hint="default"/>
      </w:rPr>
    </w:lvl>
    <w:lvl w:ilvl="3" w:tplc="041D0001" w:tentative="1">
      <w:start w:val="1"/>
      <w:numFmt w:val="bullet"/>
      <w:lvlText w:val=""/>
      <w:lvlJc w:val="left"/>
      <w:pPr>
        <w:ind w:left="2535" w:hanging="360"/>
      </w:pPr>
      <w:rPr>
        <w:rFonts w:ascii="Symbol" w:hAnsi="Symbol" w:hint="default"/>
      </w:rPr>
    </w:lvl>
    <w:lvl w:ilvl="4" w:tplc="041D0003" w:tentative="1">
      <w:start w:val="1"/>
      <w:numFmt w:val="bullet"/>
      <w:lvlText w:val="o"/>
      <w:lvlJc w:val="left"/>
      <w:pPr>
        <w:ind w:left="3255" w:hanging="360"/>
      </w:pPr>
      <w:rPr>
        <w:rFonts w:ascii="Courier New" w:hAnsi="Courier New" w:cs="Courier New" w:hint="default"/>
      </w:rPr>
    </w:lvl>
    <w:lvl w:ilvl="5" w:tplc="041D0005" w:tentative="1">
      <w:start w:val="1"/>
      <w:numFmt w:val="bullet"/>
      <w:lvlText w:val=""/>
      <w:lvlJc w:val="left"/>
      <w:pPr>
        <w:ind w:left="3975" w:hanging="360"/>
      </w:pPr>
      <w:rPr>
        <w:rFonts w:ascii="Wingdings" w:hAnsi="Wingdings" w:hint="default"/>
      </w:rPr>
    </w:lvl>
    <w:lvl w:ilvl="6" w:tplc="041D0001" w:tentative="1">
      <w:start w:val="1"/>
      <w:numFmt w:val="bullet"/>
      <w:lvlText w:val=""/>
      <w:lvlJc w:val="left"/>
      <w:pPr>
        <w:ind w:left="4695" w:hanging="360"/>
      </w:pPr>
      <w:rPr>
        <w:rFonts w:ascii="Symbol" w:hAnsi="Symbol" w:hint="default"/>
      </w:rPr>
    </w:lvl>
    <w:lvl w:ilvl="7" w:tplc="041D0003" w:tentative="1">
      <w:start w:val="1"/>
      <w:numFmt w:val="bullet"/>
      <w:lvlText w:val="o"/>
      <w:lvlJc w:val="left"/>
      <w:pPr>
        <w:ind w:left="5415" w:hanging="360"/>
      </w:pPr>
      <w:rPr>
        <w:rFonts w:ascii="Courier New" w:hAnsi="Courier New" w:cs="Courier New" w:hint="default"/>
      </w:rPr>
    </w:lvl>
    <w:lvl w:ilvl="8" w:tplc="041D0005" w:tentative="1">
      <w:start w:val="1"/>
      <w:numFmt w:val="bullet"/>
      <w:lvlText w:val=""/>
      <w:lvlJc w:val="left"/>
      <w:pPr>
        <w:ind w:left="6135" w:hanging="360"/>
      </w:pPr>
      <w:rPr>
        <w:rFonts w:ascii="Wingdings" w:hAnsi="Wingdings" w:hint="default"/>
      </w:rPr>
    </w:lvl>
  </w:abstractNum>
  <w:num w:numId="1" w16cid:durableId="1415856970">
    <w:abstractNumId w:val="0"/>
  </w:num>
  <w:num w:numId="2" w16cid:durableId="10630675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215E50"/>
    <w:rsid w:val="00013044"/>
    <w:rsid w:val="00030FA0"/>
    <w:rsid w:val="000369E6"/>
    <w:rsid w:val="00040B20"/>
    <w:rsid w:val="00086FC1"/>
    <w:rsid w:val="00095702"/>
    <w:rsid w:val="000A0E8A"/>
    <w:rsid w:val="000D487E"/>
    <w:rsid w:val="00126CA7"/>
    <w:rsid w:val="00150384"/>
    <w:rsid w:val="00155EA2"/>
    <w:rsid w:val="001648B3"/>
    <w:rsid w:val="001764DD"/>
    <w:rsid w:val="001805B7"/>
    <w:rsid w:val="0019797A"/>
    <w:rsid w:val="001B6069"/>
    <w:rsid w:val="001D0406"/>
    <w:rsid w:val="001D133E"/>
    <w:rsid w:val="001E15FC"/>
    <w:rsid w:val="00215E50"/>
    <w:rsid w:val="0024305A"/>
    <w:rsid w:val="002537CC"/>
    <w:rsid w:val="00253CC0"/>
    <w:rsid w:val="00271B77"/>
    <w:rsid w:val="00272085"/>
    <w:rsid w:val="00273178"/>
    <w:rsid w:val="002D2111"/>
    <w:rsid w:val="0030234C"/>
    <w:rsid w:val="00326836"/>
    <w:rsid w:val="003467DF"/>
    <w:rsid w:val="00355B17"/>
    <w:rsid w:val="003607EA"/>
    <w:rsid w:val="003C0855"/>
    <w:rsid w:val="003D1B55"/>
    <w:rsid w:val="003D6A85"/>
    <w:rsid w:val="004076A4"/>
    <w:rsid w:val="004250EB"/>
    <w:rsid w:val="00440CB7"/>
    <w:rsid w:val="00444040"/>
    <w:rsid w:val="00466FBB"/>
    <w:rsid w:val="004775DB"/>
    <w:rsid w:val="00482652"/>
    <w:rsid w:val="004876DF"/>
    <w:rsid w:val="0049329E"/>
    <w:rsid w:val="004A328D"/>
    <w:rsid w:val="004C3615"/>
    <w:rsid w:val="004C560F"/>
    <w:rsid w:val="004D60B3"/>
    <w:rsid w:val="004E5CA4"/>
    <w:rsid w:val="005129F6"/>
    <w:rsid w:val="00514D84"/>
    <w:rsid w:val="00523F2F"/>
    <w:rsid w:val="00532DDE"/>
    <w:rsid w:val="005367EE"/>
    <w:rsid w:val="005379B9"/>
    <w:rsid w:val="0056156E"/>
    <w:rsid w:val="00565335"/>
    <w:rsid w:val="00573D13"/>
    <w:rsid w:val="0059189B"/>
    <w:rsid w:val="0059312A"/>
    <w:rsid w:val="005C2BD0"/>
    <w:rsid w:val="005C4566"/>
    <w:rsid w:val="005D5B87"/>
    <w:rsid w:val="0061644C"/>
    <w:rsid w:val="00623A89"/>
    <w:rsid w:val="00637197"/>
    <w:rsid w:val="00645B15"/>
    <w:rsid w:val="00672B3C"/>
    <w:rsid w:val="006A27FE"/>
    <w:rsid w:val="006A5D78"/>
    <w:rsid w:val="006B5F32"/>
    <w:rsid w:val="006D2A6E"/>
    <w:rsid w:val="006E4E11"/>
    <w:rsid w:val="006F1677"/>
    <w:rsid w:val="006F29F7"/>
    <w:rsid w:val="006F7AF0"/>
    <w:rsid w:val="00701562"/>
    <w:rsid w:val="007242A3"/>
    <w:rsid w:val="0073262A"/>
    <w:rsid w:val="0073718B"/>
    <w:rsid w:val="00741093"/>
    <w:rsid w:val="0074744B"/>
    <w:rsid w:val="007714F7"/>
    <w:rsid w:val="00781FEB"/>
    <w:rsid w:val="007A1AF2"/>
    <w:rsid w:val="007E0CF4"/>
    <w:rsid w:val="007E1DAB"/>
    <w:rsid w:val="007E3DAC"/>
    <w:rsid w:val="007E42CB"/>
    <w:rsid w:val="007F0D54"/>
    <w:rsid w:val="00800C89"/>
    <w:rsid w:val="00815006"/>
    <w:rsid w:val="00817FDF"/>
    <w:rsid w:val="008240FD"/>
    <w:rsid w:val="008278FE"/>
    <w:rsid w:val="008419A9"/>
    <w:rsid w:val="00844075"/>
    <w:rsid w:val="00853196"/>
    <w:rsid w:val="00875090"/>
    <w:rsid w:val="008B2E73"/>
    <w:rsid w:val="008C418B"/>
    <w:rsid w:val="008D1488"/>
    <w:rsid w:val="00907449"/>
    <w:rsid w:val="009304E9"/>
    <w:rsid w:val="00931BC9"/>
    <w:rsid w:val="00934D5F"/>
    <w:rsid w:val="00936473"/>
    <w:rsid w:val="0094076C"/>
    <w:rsid w:val="00955C9E"/>
    <w:rsid w:val="009655F8"/>
    <w:rsid w:val="00987B7A"/>
    <w:rsid w:val="009C17B9"/>
    <w:rsid w:val="009E652D"/>
    <w:rsid w:val="009F7673"/>
    <w:rsid w:val="009F7846"/>
    <w:rsid w:val="00A01DFC"/>
    <w:rsid w:val="00A121A0"/>
    <w:rsid w:val="00A7531C"/>
    <w:rsid w:val="00A85F46"/>
    <w:rsid w:val="00AA6178"/>
    <w:rsid w:val="00AE478F"/>
    <w:rsid w:val="00B0732E"/>
    <w:rsid w:val="00B31701"/>
    <w:rsid w:val="00B408D7"/>
    <w:rsid w:val="00B55EAA"/>
    <w:rsid w:val="00B95A35"/>
    <w:rsid w:val="00BA7844"/>
    <w:rsid w:val="00BB3C90"/>
    <w:rsid w:val="00BB4600"/>
    <w:rsid w:val="00BD1B59"/>
    <w:rsid w:val="00BE6B82"/>
    <w:rsid w:val="00C01CD5"/>
    <w:rsid w:val="00C24A60"/>
    <w:rsid w:val="00C40232"/>
    <w:rsid w:val="00C43C30"/>
    <w:rsid w:val="00C62279"/>
    <w:rsid w:val="00C92544"/>
    <w:rsid w:val="00CA4EC9"/>
    <w:rsid w:val="00CB68B3"/>
    <w:rsid w:val="00CD3821"/>
    <w:rsid w:val="00CF7806"/>
    <w:rsid w:val="00D03720"/>
    <w:rsid w:val="00D2484D"/>
    <w:rsid w:val="00D54A85"/>
    <w:rsid w:val="00D5504F"/>
    <w:rsid w:val="00D758D5"/>
    <w:rsid w:val="00D82F03"/>
    <w:rsid w:val="00D905F9"/>
    <w:rsid w:val="00DE60FA"/>
    <w:rsid w:val="00DF7D13"/>
    <w:rsid w:val="00E138EB"/>
    <w:rsid w:val="00E84804"/>
    <w:rsid w:val="00EA2F85"/>
    <w:rsid w:val="00EC25F9"/>
    <w:rsid w:val="00EC5DD5"/>
    <w:rsid w:val="00F06951"/>
    <w:rsid w:val="00F12A3F"/>
    <w:rsid w:val="00F207FF"/>
    <w:rsid w:val="00F359ED"/>
    <w:rsid w:val="00F61856"/>
    <w:rsid w:val="00F7085A"/>
    <w:rsid w:val="00F97285"/>
    <w:rsid w:val="00FB12BB"/>
    <w:rsid w:val="00FB1E24"/>
    <w:rsid w:val="00FE1DBC"/>
    <w:rsid w:val="00FE31C7"/>
    <w:rsid w:val="00FF006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26515C-989A-4C52-AEA7-6EE5703B3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040B20"/>
    <w:rPr>
      <w:rFonts w:ascii="OrigGarmnd BT" w:hAnsi="OrigGarmnd BT"/>
      <w:sz w:val="24"/>
      <w:lang w:val="sv-SE" w:eastAsia="en-US" w:bidi="ar-SA"/>
    </w:rPr>
  </w:style>
  <w:style w:type="character" w:styleId="Hyperlnk">
    <w:name w:val="Hyperlink"/>
    <w:rsid w:val="00B408D7"/>
    <w:rPr>
      <w:color w:val="0000FF"/>
      <w:u w:val="single"/>
    </w:rPr>
  </w:style>
  <w:style w:type="paragraph" w:styleId="Ballongtext">
    <w:name w:val="Balloon Text"/>
    <w:basedOn w:val="Normal"/>
    <w:semiHidden/>
    <w:rsid w:val="00BA7844"/>
    <w:rPr>
      <w:rFonts w:ascii="Tahoma" w:hAnsi="Tahoma" w:cs="Tahoma"/>
      <w:sz w:val="16"/>
      <w:szCs w:val="16"/>
    </w:rPr>
  </w:style>
  <w:style w:type="paragraph" w:customStyle="1" w:styleId="CharChar">
    <w:name w:val=" Char Char"/>
    <w:basedOn w:val="Normal"/>
    <w:rsid w:val="004876DF"/>
    <w:pPr>
      <w:overflowPunct/>
      <w:autoSpaceDE/>
      <w:autoSpaceDN/>
      <w:adjustRightInd/>
      <w:spacing w:line="240" w:lineRule="auto"/>
      <w:textAlignment w:val="auto"/>
    </w:pPr>
    <w:rPr>
      <w:rFonts w:ascii="Times New Roman" w:hAnsi="Times New Roman"/>
      <w:szCs w:val="24"/>
      <w:lang w:val="pl-PL" w:eastAsia="pl-PL"/>
    </w:rPr>
  </w:style>
  <w:style w:type="paragraph" w:customStyle="1" w:styleId="Akapitzlist">
    <w:name w:val="Akapit z listą"/>
    <w:basedOn w:val="Normal"/>
    <w:qFormat/>
    <w:rsid w:val="004876DF"/>
    <w:pPr>
      <w:overflowPunct/>
      <w:autoSpaceDE/>
      <w:autoSpaceDN/>
      <w:adjustRightInd/>
      <w:spacing w:after="120" w:line="240" w:lineRule="auto"/>
      <w:ind w:left="708"/>
      <w:jc w:val="both"/>
      <w:textAlignment w:val="auto"/>
    </w:pPr>
    <w:rPr>
      <w:rFonts w:ascii="Times New Roman" w:eastAsia="Calibri" w:hAnsi="Times New Roman"/>
      <w:szCs w:val="22"/>
      <w:lang w:val="pl-PL"/>
    </w:rPr>
  </w:style>
  <w:style w:type="paragraph" w:styleId="Liststycke">
    <w:name w:val="List Paragraph"/>
    <w:basedOn w:val="Normal"/>
    <w:uiPriority w:val="34"/>
    <w:qFormat/>
    <w:rsid w:val="00F207FF"/>
    <w:pPr>
      <w:ind w:left="720"/>
      <w:contextualSpacing/>
    </w:pPr>
  </w:style>
  <w:style w:type="character" w:styleId="Kommentarsreferens">
    <w:name w:val="annotation reference"/>
    <w:rsid w:val="00672B3C"/>
    <w:rPr>
      <w:sz w:val="16"/>
      <w:szCs w:val="16"/>
    </w:rPr>
  </w:style>
  <w:style w:type="paragraph" w:styleId="Kommentarer">
    <w:name w:val="annotation text"/>
    <w:basedOn w:val="Normal"/>
    <w:link w:val="KommentarerChar"/>
    <w:rsid w:val="00672B3C"/>
    <w:rPr>
      <w:sz w:val="20"/>
    </w:rPr>
  </w:style>
  <w:style w:type="character" w:customStyle="1" w:styleId="KommentarerChar">
    <w:name w:val="Kommentarer Char"/>
    <w:link w:val="Kommentarer"/>
    <w:rsid w:val="00672B3C"/>
    <w:rPr>
      <w:rFonts w:ascii="OrigGarmnd BT" w:hAnsi="OrigGarmnd BT"/>
      <w:lang w:eastAsia="en-US"/>
    </w:rPr>
  </w:style>
  <w:style w:type="paragraph" w:styleId="Kommentarsmne">
    <w:name w:val="annotation subject"/>
    <w:basedOn w:val="Kommentarer"/>
    <w:next w:val="Kommentarer"/>
    <w:link w:val="KommentarsmneChar"/>
    <w:rsid w:val="00672B3C"/>
    <w:rPr>
      <w:b/>
      <w:bCs/>
    </w:rPr>
  </w:style>
  <w:style w:type="character" w:customStyle="1" w:styleId="KommentarsmneChar">
    <w:name w:val="Kommentarsämne Char"/>
    <w:link w:val="Kommentarsmne"/>
    <w:rsid w:val="00672B3C"/>
    <w:rPr>
      <w:rFonts w:ascii="OrigGarmnd BT" w:hAnsi="OrigGarmnd BT"/>
      <w:b/>
      <w:bCs/>
      <w:lang w:eastAsia="en-US"/>
    </w:rPr>
  </w:style>
  <w:style w:type="paragraph" w:styleId="Revision">
    <w:name w:val="Revision"/>
    <w:hidden/>
    <w:uiPriority w:val="99"/>
    <w:semiHidden/>
    <w:rsid w:val="00F7085A"/>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1282</Words>
  <Characters>7914</Characters>
  <Application>Microsoft Office Word</Application>
  <DocSecurity>4</DocSecurity>
  <Lines>188</Lines>
  <Paragraphs>47</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cp:lastModifiedBy>Lars Brink</cp:lastModifiedBy>
  <cp:revision>2</cp:revision>
  <cp:lastPrinted>2012-02-24T15:59:00Z</cp:lastPrinted>
  <dcterms:created xsi:type="dcterms:W3CDTF">2025-12-17T21:41:00Z</dcterms:created>
  <dcterms:modified xsi:type="dcterms:W3CDTF">2025-12-17T21:41:00Z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Miljödepartementet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RKOrdnaActivityCategory2">
    <vt:lpwstr>4.1. Europeiska unionen</vt:lpwstr>
  </property>
  <property fmtid="{D5CDD505-2E9C-101B-9397-08002B2CF9AE}" pid="12" name="RKOrdnaCheckInComment">
    <vt:lpwstr/>
  </property>
  <property fmtid="{D5CDD505-2E9C-101B-9397-08002B2CF9AE}" pid="13" name="RKOrdnaDepartement2">
    <vt:lpwstr>Miljödepartementet</vt:lpwstr>
  </property>
  <property fmtid="{D5CDD505-2E9C-101B-9397-08002B2CF9AE}" pid="14" name="RKOrdnaClass">
    <vt:lpwstr/>
  </property>
  <property fmtid="{D5CDD505-2E9C-101B-9397-08002B2CF9AE}" pid="15" name="ContentTypeId">
    <vt:lpwstr>0x010100D4E2D80DC721422ABBDF033BB3857F490300E7F7D60620BFEA4EAC1DFCD18BAF88E4</vt:lpwstr>
  </property>
</Properties>
</file>